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104F" w14:textId="77777777" w:rsidR="0065335D" w:rsidRPr="005E3629" w:rsidRDefault="0065335D" w:rsidP="0065335D">
      <w:pPr>
        <w:pStyle w:val="Heading3"/>
        <w:spacing w:line="480" w:lineRule="auto"/>
        <w:rPr>
          <w:rFonts w:ascii="Times New Roman" w:hAnsi="Times New Roman" w:cs="Times New Roman"/>
          <w:i/>
          <w:color w:val="auto"/>
          <w:lang w:val="en-US"/>
        </w:rPr>
      </w:pPr>
      <w:r w:rsidRPr="005E3629">
        <w:rPr>
          <w:rFonts w:ascii="Times New Roman" w:hAnsi="Times New Roman" w:cs="Times New Roman"/>
          <w:i/>
          <w:iCs/>
          <w:color w:val="auto"/>
          <w:lang w:val="en-US"/>
        </w:rPr>
        <w:t>S2.</w:t>
      </w:r>
      <w:r>
        <w:rPr>
          <w:rFonts w:ascii="Times New Roman" w:hAnsi="Times New Roman" w:cs="Times New Roman"/>
          <w:i/>
          <w:iCs/>
          <w:color w:val="auto"/>
          <w:lang w:val="en-US"/>
        </w:rPr>
        <w:t xml:space="preserve"> Supplementary material 2.</w:t>
      </w:r>
      <w:r w:rsidRPr="005E3629">
        <w:rPr>
          <w:rFonts w:ascii="Times New Roman" w:hAnsi="Times New Roman" w:cs="Times New Roman"/>
          <w:i/>
          <w:iCs/>
          <w:color w:val="auto"/>
          <w:lang w:val="en-US"/>
        </w:rPr>
        <w:t xml:space="preserve"> Site Specific Scenarios</w:t>
      </w:r>
    </w:p>
    <w:p w14:paraId="34C47E97" w14:textId="77777777" w:rsidR="0065335D" w:rsidRPr="009B13E7" w:rsidRDefault="0065335D" w:rsidP="0065335D">
      <w:pPr>
        <w:pStyle w:val="Heading5"/>
        <w:rPr>
          <w:rStyle w:val="SubtleEmphasis"/>
          <w:rFonts w:ascii="Times New Roman" w:hAnsi="Times New Roman" w:cs="Times New Roman"/>
          <w:i w:val="0"/>
          <w:iCs w:val="0"/>
          <w:color w:val="auto"/>
          <w:sz w:val="24"/>
          <w:lang w:val="en-US"/>
        </w:rPr>
      </w:pPr>
      <w:r w:rsidRPr="009B13E7">
        <w:rPr>
          <w:rStyle w:val="SubtleEmphasis"/>
          <w:rFonts w:ascii="Times New Roman" w:hAnsi="Times New Roman" w:cs="Times New Roman"/>
          <w:color w:val="auto"/>
          <w:sz w:val="24"/>
          <w:lang w:val="en-US"/>
        </w:rPr>
        <w:t>General linear models (GLM’s) and relative importance</w:t>
      </w:r>
    </w:p>
    <w:p w14:paraId="7139432A" w14:textId="77777777" w:rsidR="0065335D" w:rsidRDefault="0065335D" w:rsidP="0065335D">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Significant variables also varied depending on the thermal profile of all sites. Above average SST sites were mainly coastal areas distributed above Punta Baja, while below average SST sites were islands distributed along Baja California’s coastline; only one site displayed an average SST profile (ST), with only urchin catch and SST as significant variables in the GLM (Table III).</w:t>
      </w:r>
    </w:p>
    <w:p w14:paraId="3CD29A12" w14:textId="77777777" w:rsidR="0065335D" w:rsidRDefault="0065335D" w:rsidP="0065335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S2.1. Site specific GLM’s significant variables, coefficients (± errors). Only significant variables coefficients and intercepts are shown.</w:t>
      </w:r>
    </w:p>
    <w:tbl>
      <w:tblPr>
        <w:tblStyle w:val="PlainTable2"/>
        <w:tblW w:w="0" w:type="auto"/>
        <w:jc w:val="center"/>
        <w:tblLook w:val="04A0" w:firstRow="1" w:lastRow="0" w:firstColumn="1" w:lastColumn="0" w:noHBand="0" w:noVBand="1"/>
      </w:tblPr>
      <w:tblGrid>
        <w:gridCol w:w="1897"/>
        <w:gridCol w:w="1897"/>
        <w:gridCol w:w="1678"/>
        <w:gridCol w:w="1678"/>
      </w:tblGrid>
      <w:tr w:rsidR="0065335D" w:rsidRPr="006213AA" w14:paraId="259DA33F" w14:textId="77777777" w:rsidTr="001E38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7" w:type="dxa"/>
          </w:tcPr>
          <w:p w14:paraId="766D6918" w14:textId="77777777" w:rsidR="0065335D" w:rsidRPr="006213AA" w:rsidRDefault="0065335D" w:rsidP="001E3846">
            <w:pPr>
              <w:jc w:val="both"/>
              <w:rPr>
                <w:rFonts w:ascii="Times New Roman" w:hAnsi="Times New Roman" w:cs="Times New Roman"/>
                <w:sz w:val="20"/>
                <w:szCs w:val="20"/>
                <w:lang w:val="en-US"/>
              </w:rPr>
            </w:pPr>
            <w:r w:rsidRPr="006213AA">
              <w:rPr>
                <w:rFonts w:ascii="Times New Roman" w:hAnsi="Times New Roman" w:cs="Times New Roman"/>
                <w:sz w:val="20"/>
                <w:szCs w:val="20"/>
                <w:lang w:val="en-US"/>
              </w:rPr>
              <w:t>Variable /Model</w:t>
            </w:r>
          </w:p>
        </w:tc>
        <w:tc>
          <w:tcPr>
            <w:tcW w:w="1897" w:type="dxa"/>
          </w:tcPr>
          <w:p w14:paraId="5E65C5A3" w14:textId="77777777" w:rsidR="0065335D" w:rsidRPr="006213AA" w:rsidRDefault="0065335D" w:rsidP="001E38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Above average</w:t>
            </w:r>
          </w:p>
          <w:p w14:paraId="015BEB3D" w14:textId="77777777" w:rsidR="0065335D" w:rsidRPr="006213AA" w:rsidRDefault="0065335D" w:rsidP="001E38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6213AA">
              <w:rPr>
                <w:rFonts w:ascii="Times New Roman" w:hAnsi="Times New Roman" w:cs="Times New Roman"/>
                <w:sz w:val="20"/>
                <w:szCs w:val="20"/>
                <w:lang w:val="en-US"/>
              </w:rPr>
              <w:t>(</w:t>
            </w:r>
            <w:proofErr w:type="spellStart"/>
            <w:r w:rsidRPr="006213AA">
              <w:rPr>
                <w:rFonts w:ascii="Times New Roman" w:hAnsi="Times New Roman" w:cs="Times New Roman"/>
                <w:sz w:val="20"/>
                <w:szCs w:val="20"/>
                <w:lang w:val="en-US"/>
              </w:rPr>
              <w:t>GLM</w:t>
            </w:r>
            <w:r>
              <w:rPr>
                <w:rFonts w:ascii="Times New Roman" w:hAnsi="Times New Roman" w:cs="Times New Roman"/>
                <w:sz w:val="20"/>
                <w:szCs w:val="20"/>
                <w:vertAlign w:val="subscript"/>
                <w:lang w:val="en-US"/>
              </w:rPr>
              <w:t>ab</w:t>
            </w:r>
            <w:proofErr w:type="spellEnd"/>
            <w:r w:rsidRPr="006213AA">
              <w:rPr>
                <w:rFonts w:ascii="Times New Roman" w:hAnsi="Times New Roman" w:cs="Times New Roman"/>
                <w:sz w:val="20"/>
                <w:szCs w:val="20"/>
                <w:lang w:val="en-US"/>
              </w:rPr>
              <w:t>)</w:t>
            </w:r>
          </w:p>
        </w:tc>
        <w:tc>
          <w:tcPr>
            <w:tcW w:w="1678" w:type="dxa"/>
          </w:tcPr>
          <w:p w14:paraId="3E5C41A7" w14:textId="77777777" w:rsidR="0065335D" w:rsidRPr="006213AA" w:rsidRDefault="0065335D" w:rsidP="001E38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Below average</w:t>
            </w:r>
            <w:r w:rsidRPr="006213AA">
              <w:rPr>
                <w:rFonts w:ascii="Times New Roman" w:hAnsi="Times New Roman" w:cs="Times New Roman"/>
                <w:sz w:val="20"/>
                <w:szCs w:val="20"/>
                <w:lang w:val="en-US"/>
              </w:rPr>
              <w:t xml:space="preserve"> (</w:t>
            </w:r>
            <w:proofErr w:type="spellStart"/>
            <w:r w:rsidRPr="006213AA">
              <w:rPr>
                <w:rFonts w:ascii="Times New Roman" w:hAnsi="Times New Roman" w:cs="Times New Roman"/>
                <w:sz w:val="20"/>
                <w:szCs w:val="20"/>
                <w:lang w:val="en-US"/>
              </w:rPr>
              <w:t>GLM</w:t>
            </w:r>
            <w:r>
              <w:rPr>
                <w:rFonts w:ascii="Times New Roman" w:hAnsi="Times New Roman" w:cs="Times New Roman"/>
                <w:sz w:val="20"/>
                <w:szCs w:val="20"/>
                <w:vertAlign w:val="subscript"/>
                <w:lang w:val="en-US"/>
              </w:rPr>
              <w:t>be</w:t>
            </w:r>
            <w:proofErr w:type="spellEnd"/>
            <w:r w:rsidRPr="006213AA">
              <w:rPr>
                <w:rFonts w:ascii="Times New Roman" w:hAnsi="Times New Roman" w:cs="Times New Roman"/>
                <w:sz w:val="20"/>
                <w:szCs w:val="20"/>
                <w:lang w:val="en-US"/>
              </w:rPr>
              <w:t>)</w:t>
            </w:r>
          </w:p>
        </w:tc>
        <w:tc>
          <w:tcPr>
            <w:tcW w:w="1678" w:type="dxa"/>
          </w:tcPr>
          <w:p w14:paraId="744F69E0" w14:textId="77777777" w:rsidR="0065335D" w:rsidRPr="006213AA" w:rsidRDefault="0065335D" w:rsidP="001E384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Average</w:t>
            </w:r>
            <w:r w:rsidRPr="006213AA">
              <w:rPr>
                <w:rFonts w:ascii="Times New Roman" w:hAnsi="Times New Roman" w:cs="Times New Roman"/>
                <w:sz w:val="20"/>
                <w:szCs w:val="20"/>
                <w:lang w:val="en-US"/>
              </w:rPr>
              <w:t xml:space="preserve"> (GLM</w:t>
            </w:r>
            <w:r w:rsidRPr="009B13E7">
              <w:rPr>
                <w:rFonts w:ascii="Times New Roman" w:hAnsi="Times New Roman" w:cs="Times New Roman"/>
                <w:sz w:val="24"/>
                <w:szCs w:val="24"/>
                <w:vertAlign w:val="subscript"/>
                <w:lang w:val="en-US"/>
              </w:rPr>
              <w:t>µ</w:t>
            </w:r>
            <w:r w:rsidRPr="006213AA">
              <w:rPr>
                <w:rFonts w:ascii="Times New Roman" w:hAnsi="Times New Roman" w:cs="Times New Roman"/>
                <w:sz w:val="20"/>
                <w:szCs w:val="20"/>
                <w:lang w:val="en-US"/>
              </w:rPr>
              <w:t>)</w:t>
            </w:r>
          </w:p>
        </w:tc>
      </w:tr>
      <w:tr w:rsidR="0065335D" w14:paraId="3E9C1587" w14:textId="77777777" w:rsidTr="001E3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7" w:type="dxa"/>
            <w:vAlign w:val="center"/>
          </w:tcPr>
          <w:p w14:paraId="2B8C7EE1" w14:textId="77777777" w:rsidR="0065335D" w:rsidRPr="006213AA" w:rsidRDefault="0065335D" w:rsidP="001E3846">
            <w:pPr>
              <w:jc w:val="both"/>
              <w:rPr>
                <w:rFonts w:ascii="Times New Roman" w:hAnsi="Times New Roman" w:cs="Times New Roman"/>
                <w:i/>
                <w:sz w:val="20"/>
                <w:szCs w:val="20"/>
                <w:lang w:val="en-US"/>
              </w:rPr>
            </w:pPr>
            <w:r>
              <w:rPr>
                <w:rFonts w:ascii="Times New Roman" w:hAnsi="Times New Roman" w:cs="Times New Roman"/>
                <w:i/>
                <w:sz w:val="20"/>
                <w:szCs w:val="20"/>
                <w:lang w:val="en-US"/>
              </w:rPr>
              <w:t>Site code</w:t>
            </w:r>
          </w:p>
        </w:tc>
        <w:tc>
          <w:tcPr>
            <w:tcW w:w="1897" w:type="dxa"/>
            <w:vAlign w:val="center"/>
          </w:tcPr>
          <w:p w14:paraId="47EC5328"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ICS, Pop, SM, </w:t>
            </w:r>
            <w:proofErr w:type="spellStart"/>
            <w:r>
              <w:rPr>
                <w:rFonts w:ascii="Times New Roman" w:hAnsi="Times New Roman" w:cs="Times New Roman"/>
                <w:sz w:val="20"/>
                <w:szCs w:val="20"/>
                <w:lang w:val="en-US"/>
              </w:rPr>
              <w:t>PBan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Eren</w:t>
            </w:r>
            <w:proofErr w:type="spellEnd"/>
            <w:r>
              <w:rPr>
                <w:rFonts w:ascii="Times New Roman" w:hAnsi="Times New Roman" w:cs="Times New Roman"/>
                <w:sz w:val="20"/>
                <w:szCs w:val="20"/>
                <w:lang w:val="en-US"/>
              </w:rPr>
              <w:t>, Col, VT</w:t>
            </w:r>
          </w:p>
        </w:tc>
        <w:tc>
          <w:tcPr>
            <w:tcW w:w="1678" w:type="dxa"/>
            <w:vAlign w:val="center"/>
          </w:tcPr>
          <w:p w14:paraId="503F0211"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 xml:space="preserve">ITS, ISM, </w:t>
            </w:r>
            <w:proofErr w:type="spellStart"/>
            <w:r>
              <w:rPr>
                <w:rFonts w:ascii="Times New Roman" w:hAnsi="Times New Roman" w:cs="Times New Roman"/>
                <w:sz w:val="20"/>
                <w:szCs w:val="20"/>
                <w:lang w:val="en-US"/>
              </w:rPr>
              <w:t>PBaj</w:t>
            </w:r>
            <w:proofErr w:type="spellEnd"/>
            <w:r>
              <w:rPr>
                <w:rFonts w:ascii="Times New Roman" w:hAnsi="Times New Roman" w:cs="Times New Roman"/>
                <w:sz w:val="20"/>
                <w:szCs w:val="20"/>
                <w:lang w:val="en-US"/>
              </w:rPr>
              <w:t>, ISJ, AS, Can</w:t>
            </w:r>
          </w:p>
        </w:tc>
        <w:tc>
          <w:tcPr>
            <w:tcW w:w="1678" w:type="dxa"/>
            <w:vAlign w:val="center"/>
          </w:tcPr>
          <w:p w14:paraId="1C3F2C88"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ST</w:t>
            </w:r>
          </w:p>
        </w:tc>
      </w:tr>
      <w:tr w:rsidR="0065335D" w14:paraId="54A3822C" w14:textId="77777777" w:rsidTr="001E3846">
        <w:trPr>
          <w:jc w:val="center"/>
        </w:trPr>
        <w:tc>
          <w:tcPr>
            <w:cnfStyle w:val="001000000000" w:firstRow="0" w:lastRow="0" w:firstColumn="1" w:lastColumn="0" w:oddVBand="0" w:evenVBand="0" w:oddHBand="0" w:evenHBand="0" w:firstRowFirstColumn="0" w:firstRowLastColumn="0" w:lastRowFirstColumn="0" w:lastRowLastColumn="0"/>
            <w:tcW w:w="1897" w:type="dxa"/>
          </w:tcPr>
          <w:p w14:paraId="04F2B7C2" w14:textId="77777777" w:rsidR="0065335D" w:rsidRPr="006213AA" w:rsidRDefault="0065335D" w:rsidP="001E3846">
            <w:pPr>
              <w:jc w:val="both"/>
              <w:rPr>
                <w:rFonts w:ascii="Times New Roman" w:hAnsi="Times New Roman" w:cs="Times New Roman"/>
                <w:i/>
                <w:sz w:val="20"/>
                <w:szCs w:val="20"/>
                <w:lang w:val="en-US"/>
              </w:rPr>
            </w:pPr>
            <w:r w:rsidRPr="006213AA">
              <w:rPr>
                <w:rFonts w:ascii="Times New Roman" w:hAnsi="Times New Roman" w:cs="Times New Roman"/>
                <w:i/>
                <w:sz w:val="20"/>
                <w:szCs w:val="20"/>
                <w:lang w:val="en-US"/>
              </w:rPr>
              <w:t>Intercept</w:t>
            </w:r>
          </w:p>
        </w:tc>
        <w:tc>
          <w:tcPr>
            <w:tcW w:w="1897" w:type="dxa"/>
          </w:tcPr>
          <w:p w14:paraId="6E804D8A"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678" w:type="dxa"/>
          </w:tcPr>
          <w:p w14:paraId="4B2B8C96"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678" w:type="dxa"/>
          </w:tcPr>
          <w:p w14:paraId="60BD2E3B"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65335D" w14:paraId="3778AC18" w14:textId="77777777" w:rsidTr="001E3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7" w:type="dxa"/>
          </w:tcPr>
          <w:p w14:paraId="1FC5ABAD" w14:textId="77777777" w:rsidR="0065335D" w:rsidRPr="006213AA" w:rsidRDefault="0065335D" w:rsidP="001E3846">
            <w:pPr>
              <w:jc w:val="both"/>
              <w:rPr>
                <w:rFonts w:ascii="Times New Roman" w:hAnsi="Times New Roman" w:cs="Times New Roman"/>
                <w:i/>
                <w:sz w:val="20"/>
                <w:szCs w:val="20"/>
                <w:lang w:val="en-US"/>
              </w:rPr>
            </w:pPr>
            <w:r w:rsidRPr="006213AA">
              <w:rPr>
                <w:rFonts w:ascii="Times New Roman" w:hAnsi="Times New Roman" w:cs="Times New Roman"/>
                <w:i/>
                <w:sz w:val="20"/>
                <w:szCs w:val="20"/>
                <w:lang w:val="en-US"/>
              </w:rPr>
              <w:t>Kelp</w:t>
            </w:r>
            <w:r>
              <w:rPr>
                <w:rFonts w:ascii="Times New Roman" w:hAnsi="Times New Roman" w:cs="Times New Roman"/>
                <w:i/>
                <w:sz w:val="20"/>
                <w:szCs w:val="20"/>
                <w:lang w:val="en-US"/>
              </w:rPr>
              <w:t xml:space="preserve"> </w:t>
            </w:r>
            <w:r w:rsidRPr="006213AA">
              <w:rPr>
                <w:rFonts w:ascii="Times New Roman" w:hAnsi="Times New Roman" w:cs="Times New Roman"/>
                <w:i/>
                <w:sz w:val="20"/>
                <w:szCs w:val="20"/>
                <w:lang w:val="en-US"/>
              </w:rPr>
              <w:t>biomass</w:t>
            </w:r>
          </w:p>
        </w:tc>
        <w:tc>
          <w:tcPr>
            <w:tcW w:w="1897" w:type="dxa"/>
          </w:tcPr>
          <w:p w14:paraId="7D57CF94"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0.386 (±0.082</w:t>
            </w:r>
            <w:r w:rsidRPr="00141D5D">
              <w:rPr>
                <w:rFonts w:ascii="Times New Roman" w:hAnsi="Times New Roman" w:cs="Times New Roman"/>
                <w:sz w:val="20"/>
                <w:szCs w:val="20"/>
                <w:lang w:val="en-US"/>
              </w:rPr>
              <w:t>)</w:t>
            </w:r>
          </w:p>
        </w:tc>
        <w:tc>
          <w:tcPr>
            <w:tcW w:w="1678" w:type="dxa"/>
          </w:tcPr>
          <w:p w14:paraId="2CC368C3"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0.126 (±0.056</w:t>
            </w:r>
            <w:r w:rsidRPr="00141D5D">
              <w:rPr>
                <w:rFonts w:ascii="Times New Roman" w:hAnsi="Times New Roman" w:cs="Times New Roman"/>
                <w:sz w:val="20"/>
                <w:szCs w:val="20"/>
                <w:lang w:val="en-US"/>
              </w:rPr>
              <w:t>)</w:t>
            </w:r>
          </w:p>
        </w:tc>
        <w:tc>
          <w:tcPr>
            <w:tcW w:w="1678" w:type="dxa"/>
          </w:tcPr>
          <w:p w14:paraId="5F96CE64"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65335D" w14:paraId="7E56A9E7" w14:textId="77777777" w:rsidTr="001E3846">
        <w:trPr>
          <w:jc w:val="center"/>
        </w:trPr>
        <w:tc>
          <w:tcPr>
            <w:cnfStyle w:val="001000000000" w:firstRow="0" w:lastRow="0" w:firstColumn="1" w:lastColumn="0" w:oddVBand="0" w:evenVBand="0" w:oddHBand="0" w:evenHBand="0" w:firstRowFirstColumn="0" w:firstRowLastColumn="0" w:lastRowFirstColumn="0" w:lastRowLastColumn="0"/>
            <w:tcW w:w="1897" w:type="dxa"/>
          </w:tcPr>
          <w:p w14:paraId="2B6EDF6D" w14:textId="77777777" w:rsidR="0065335D" w:rsidRPr="006213AA" w:rsidRDefault="0065335D" w:rsidP="001E3846">
            <w:pPr>
              <w:jc w:val="both"/>
              <w:rPr>
                <w:rFonts w:ascii="Times New Roman" w:hAnsi="Times New Roman" w:cs="Times New Roman"/>
                <w:i/>
                <w:sz w:val="20"/>
                <w:szCs w:val="20"/>
                <w:lang w:val="en-US"/>
              </w:rPr>
            </w:pPr>
            <w:r w:rsidRPr="006213AA">
              <w:rPr>
                <w:rFonts w:ascii="Times New Roman" w:hAnsi="Times New Roman" w:cs="Times New Roman"/>
                <w:i/>
                <w:sz w:val="20"/>
                <w:szCs w:val="20"/>
                <w:lang w:val="en-US"/>
              </w:rPr>
              <w:t>Urchin</w:t>
            </w:r>
            <w:r>
              <w:rPr>
                <w:rFonts w:ascii="Times New Roman" w:hAnsi="Times New Roman" w:cs="Times New Roman"/>
                <w:i/>
                <w:sz w:val="20"/>
                <w:szCs w:val="20"/>
                <w:lang w:val="en-US"/>
              </w:rPr>
              <w:t xml:space="preserve"> ca</w:t>
            </w:r>
            <w:r w:rsidRPr="006213AA">
              <w:rPr>
                <w:rFonts w:ascii="Times New Roman" w:hAnsi="Times New Roman" w:cs="Times New Roman"/>
                <w:i/>
                <w:sz w:val="20"/>
                <w:szCs w:val="20"/>
                <w:lang w:val="en-US"/>
              </w:rPr>
              <w:t>t</w:t>
            </w:r>
            <w:r>
              <w:rPr>
                <w:rFonts w:ascii="Times New Roman" w:hAnsi="Times New Roman" w:cs="Times New Roman"/>
                <w:i/>
                <w:sz w:val="20"/>
                <w:szCs w:val="20"/>
                <w:lang w:val="en-US"/>
              </w:rPr>
              <w:t>ch</w:t>
            </w:r>
          </w:p>
        </w:tc>
        <w:tc>
          <w:tcPr>
            <w:tcW w:w="1897" w:type="dxa"/>
          </w:tcPr>
          <w:p w14:paraId="577E0FBE"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0.721 (±0.051</w:t>
            </w:r>
            <w:r w:rsidRPr="00141D5D">
              <w:rPr>
                <w:rFonts w:ascii="Times New Roman" w:hAnsi="Times New Roman" w:cs="Times New Roman"/>
                <w:sz w:val="20"/>
                <w:szCs w:val="20"/>
                <w:lang w:val="en-US"/>
              </w:rPr>
              <w:t>)</w:t>
            </w:r>
          </w:p>
        </w:tc>
        <w:tc>
          <w:tcPr>
            <w:tcW w:w="1678" w:type="dxa"/>
          </w:tcPr>
          <w:p w14:paraId="1A2EE03D"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0.874 (±0.045</w:t>
            </w:r>
            <w:r w:rsidRPr="00141D5D">
              <w:rPr>
                <w:rFonts w:ascii="Times New Roman" w:hAnsi="Times New Roman" w:cs="Times New Roman"/>
                <w:sz w:val="20"/>
                <w:szCs w:val="20"/>
                <w:lang w:val="en-US"/>
              </w:rPr>
              <w:t>)</w:t>
            </w:r>
          </w:p>
        </w:tc>
        <w:tc>
          <w:tcPr>
            <w:tcW w:w="1678" w:type="dxa"/>
          </w:tcPr>
          <w:p w14:paraId="135D5370"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0.231 (±0.044</w:t>
            </w:r>
            <w:r w:rsidRPr="00141D5D">
              <w:rPr>
                <w:rFonts w:ascii="Times New Roman" w:hAnsi="Times New Roman" w:cs="Times New Roman"/>
                <w:sz w:val="20"/>
                <w:szCs w:val="20"/>
                <w:lang w:val="en-US"/>
              </w:rPr>
              <w:t>)</w:t>
            </w:r>
          </w:p>
        </w:tc>
      </w:tr>
      <w:tr w:rsidR="0065335D" w14:paraId="77E36077" w14:textId="77777777" w:rsidTr="001E3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7" w:type="dxa"/>
          </w:tcPr>
          <w:p w14:paraId="5DC1084A" w14:textId="77777777" w:rsidR="0065335D" w:rsidRPr="006213AA" w:rsidRDefault="0065335D" w:rsidP="001E3846">
            <w:pPr>
              <w:jc w:val="both"/>
              <w:rPr>
                <w:rFonts w:ascii="Times New Roman" w:hAnsi="Times New Roman" w:cs="Times New Roman"/>
                <w:i/>
                <w:sz w:val="20"/>
                <w:szCs w:val="20"/>
                <w:lang w:val="en-US"/>
              </w:rPr>
            </w:pPr>
            <w:proofErr w:type="spellStart"/>
            <w:r>
              <w:rPr>
                <w:rFonts w:ascii="Times New Roman" w:hAnsi="Times New Roman" w:cs="Times New Roman"/>
                <w:i/>
                <w:sz w:val="20"/>
                <w:szCs w:val="20"/>
                <w:lang w:val="en-US"/>
              </w:rPr>
              <w:t>Sheephead</w:t>
            </w:r>
            <w:proofErr w:type="spellEnd"/>
            <w:r>
              <w:rPr>
                <w:rFonts w:ascii="Times New Roman" w:hAnsi="Times New Roman" w:cs="Times New Roman"/>
                <w:i/>
                <w:sz w:val="20"/>
                <w:szCs w:val="20"/>
                <w:lang w:val="en-US"/>
              </w:rPr>
              <w:t xml:space="preserve"> catch</w:t>
            </w:r>
          </w:p>
        </w:tc>
        <w:tc>
          <w:tcPr>
            <w:tcW w:w="1897" w:type="dxa"/>
          </w:tcPr>
          <w:p w14:paraId="5167E502"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678" w:type="dxa"/>
          </w:tcPr>
          <w:p w14:paraId="19C96DAC"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678" w:type="dxa"/>
          </w:tcPr>
          <w:p w14:paraId="5F812132"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65335D" w14:paraId="1D56AFD2" w14:textId="77777777" w:rsidTr="001E3846">
        <w:trPr>
          <w:jc w:val="center"/>
        </w:trPr>
        <w:tc>
          <w:tcPr>
            <w:cnfStyle w:val="001000000000" w:firstRow="0" w:lastRow="0" w:firstColumn="1" w:lastColumn="0" w:oddVBand="0" w:evenVBand="0" w:oddHBand="0" w:evenHBand="0" w:firstRowFirstColumn="0" w:firstRowLastColumn="0" w:lastRowFirstColumn="0" w:lastRowLastColumn="0"/>
            <w:tcW w:w="1897" w:type="dxa"/>
          </w:tcPr>
          <w:p w14:paraId="68F8A53F" w14:textId="77777777" w:rsidR="0065335D" w:rsidRPr="006213AA" w:rsidRDefault="0065335D" w:rsidP="001E3846">
            <w:pPr>
              <w:jc w:val="both"/>
              <w:rPr>
                <w:rFonts w:ascii="Times New Roman" w:hAnsi="Times New Roman" w:cs="Times New Roman"/>
                <w:i/>
                <w:sz w:val="20"/>
                <w:szCs w:val="20"/>
                <w:lang w:val="en-US"/>
              </w:rPr>
            </w:pPr>
            <w:r>
              <w:rPr>
                <w:rFonts w:ascii="Times New Roman" w:hAnsi="Times New Roman" w:cs="Times New Roman"/>
                <w:i/>
                <w:sz w:val="20"/>
                <w:szCs w:val="20"/>
                <w:lang w:val="en-US"/>
              </w:rPr>
              <w:t>Kelp seabass catch</w:t>
            </w:r>
          </w:p>
        </w:tc>
        <w:tc>
          <w:tcPr>
            <w:tcW w:w="1897" w:type="dxa"/>
          </w:tcPr>
          <w:p w14:paraId="25E85102"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678" w:type="dxa"/>
          </w:tcPr>
          <w:p w14:paraId="5C787B83"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678" w:type="dxa"/>
          </w:tcPr>
          <w:p w14:paraId="15273CDD"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65335D" w14:paraId="083632FD" w14:textId="77777777" w:rsidTr="001E3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7" w:type="dxa"/>
          </w:tcPr>
          <w:p w14:paraId="21A3D459" w14:textId="77777777" w:rsidR="0065335D" w:rsidRPr="006213AA" w:rsidRDefault="0065335D" w:rsidP="001E3846">
            <w:pPr>
              <w:jc w:val="both"/>
              <w:rPr>
                <w:rFonts w:ascii="Times New Roman" w:hAnsi="Times New Roman" w:cs="Times New Roman"/>
                <w:i/>
                <w:sz w:val="20"/>
                <w:szCs w:val="20"/>
                <w:lang w:val="en-US"/>
              </w:rPr>
            </w:pPr>
            <w:r>
              <w:rPr>
                <w:rFonts w:ascii="Times New Roman" w:hAnsi="Times New Roman" w:cs="Times New Roman"/>
                <w:i/>
                <w:sz w:val="20"/>
                <w:szCs w:val="20"/>
                <w:lang w:val="en-US"/>
              </w:rPr>
              <w:t>Spiny lobster catch</w:t>
            </w:r>
          </w:p>
        </w:tc>
        <w:tc>
          <w:tcPr>
            <w:tcW w:w="1897" w:type="dxa"/>
          </w:tcPr>
          <w:p w14:paraId="251611A2"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678" w:type="dxa"/>
          </w:tcPr>
          <w:p w14:paraId="5AAF2946"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0.228 (±0.046</w:t>
            </w:r>
            <w:r w:rsidRPr="00141D5D">
              <w:rPr>
                <w:rFonts w:ascii="Times New Roman" w:hAnsi="Times New Roman" w:cs="Times New Roman"/>
                <w:sz w:val="20"/>
                <w:szCs w:val="20"/>
                <w:lang w:val="en-US"/>
              </w:rPr>
              <w:t>)</w:t>
            </w:r>
          </w:p>
        </w:tc>
        <w:tc>
          <w:tcPr>
            <w:tcW w:w="1678" w:type="dxa"/>
          </w:tcPr>
          <w:p w14:paraId="0CCF4FD4"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65335D" w14:paraId="1508E34D" w14:textId="77777777" w:rsidTr="001E3846">
        <w:trPr>
          <w:jc w:val="center"/>
        </w:trPr>
        <w:tc>
          <w:tcPr>
            <w:cnfStyle w:val="001000000000" w:firstRow="0" w:lastRow="0" w:firstColumn="1" w:lastColumn="0" w:oddVBand="0" w:evenVBand="0" w:oddHBand="0" w:evenHBand="0" w:firstRowFirstColumn="0" w:firstRowLastColumn="0" w:lastRowFirstColumn="0" w:lastRowLastColumn="0"/>
            <w:tcW w:w="1897" w:type="dxa"/>
          </w:tcPr>
          <w:p w14:paraId="224EC584" w14:textId="77777777" w:rsidR="0065335D" w:rsidRPr="006213AA" w:rsidRDefault="0065335D" w:rsidP="001E3846">
            <w:pPr>
              <w:jc w:val="both"/>
              <w:rPr>
                <w:rFonts w:ascii="Times New Roman" w:hAnsi="Times New Roman" w:cs="Times New Roman"/>
                <w:i/>
                <w:sz w:val="20"/>
                <w:szCs w:val="20"/>
                <w:lang w:val="en-US"/>
              </w:rPr>
            </w:pPr>
            <w:r w:rsidRPr="006213AA">
              <w:rPr>
                <w:rFonts w:ascii="Times New Roman" w:hAnsi="Times New Roman" w:cs="Times New Roman"/>
                <w:i/>
                <w:sz w:val="20"/>
                <w:szCs w:val="20"/>
                <w:lang w:val="en-US"/>
              </w:rPr>
              <w:t>SST</w:t>
            </w:r>
          </w:p>
        </w:tc>
        <w:tc>
          <w:tcPr>
            <w:tcW w:w="1897" w:type="dxa"/>
          </w:tcPr>
          <w:p w14:paraId="42FC15DF"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0.241 (±0.058</w:t>
            </w:r>
            <w:r w:rsidRPr="00141D5D">
              <w:rPr>
                <w:rFonts w:ascii="Times New Roman" w:hAnsi="Times New Roman" w:cs="Times New Roman"/>
                <w:sz w:val="20"/>
                <w:szCs w:val="20"/>
                <w:lang w:val="en-US"/>
              </w:rPr>
              <w:t>)</w:t>
            </w:r>
          </w:p>
        </w:tc>
        <w:tc>
          <w:tcPr>
            <w:tcW w:w="1678" w:type="dxa"/>
          </w:tcPr>
          <w:p w14:paraId="5BDFD956"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-0.117 (±0.054</w:t>
            </w:r>
            <w:r w:rsidRPr="00141D5D">
              <w:rPr>
                <w:rFonts w:ascii="Times New Roman" w:hAnsi="Times New Roman" w:cs="Times New Roman"/>
                <w:sz w:val="20"/>
                <w:szCs w:val="20"/>
                <w:lang w:val="en-US"/>
              </w:rPr>
              <w:t>)</w:t>
            </w:r>
          </w:p>
        </w:tc>
        <w:tc>
          <w:tcPr>
            <w:tcW w:w="1678" w:type="dxa"/>
          </w:tcPr>
          <w:p w14:paraId="35A1A377"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0.135 (±0.046</w:t>
            </w:r>
            <w:r w:rsidRPr="00141D5D">
              <w:rPr>
                <w:rFonts w:ascii="Times New Roman" w:hAnsi="Times New Roman" w:cs="Times New Roman"/>
                <w:sz w:val="20"/>
                <w:szCs w:val="20"/>
                <w:lang w:val="en-US"/>
              </w:rPr>
              <w:t>)</w:t>
            </w:r>
          </w:p>
        </w:tc>
      </w:tr>
      <w:tr w:rsidR="0065335D" w14:paraId="5B056000" w14:textId="77777777" w:rsidTr="001E3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7" w:type="dxa"/>
          </w:tcPr>
          <w:p w14:paraId="1104B700" w14:textId="77777777" w:rsidR="0065335D" w:rsidRPr="006213AA" w:rsidRDefault="0065335D" w:rsidP="001E3846">
            <w:pPr>
              <w:jc w:val="both"/>
              <w:rPr>
                <w:rFonts w:ascii="Times New Roman" w:hAnsi="Times New Roman" w:cs="Times New Roman"/>
                <w:i/>
                <w:sz w:val="20"/>
                <w:szCs w:val="20"/>
                <w:lang w:val="en-US"/>
              </w:rPr>
            </w:pPr>
            <w:proofErr w:type="spellStart"/>
            <w:r w:rsidRPr="006213AA">
              <w:rPr>
                <w:rFonts w:ascii="Times New Roman" w:hAnsi="Times New Roman" w:cs="Times New Roman"/>
                <w:i/>
                <w:sz w:val="20"/>
                <w:szCs w:val="20"/>
                <w:lang w:val="en-US"/>
              </w:rPr>
              <w:t>CgE</w:t>
            </w:r>
            <w:proofErr w:type="spellEnd"/>
          </w:p>
        </w:tc>
        <w:tc>
          <w:tcPr>
            <w:tcW w:w="1897" w:type="dxa"/>
          </w:tcPr>
          <w:p w14:paraId="7CED2D0C"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0.172 (±0.060</w:t>
            </w:r>
            <w:r w:rsidRPr="00141D5D">
              <w:rPr>
                <w:rFonts w:ascii="Times New Roman" w:hAnsi="Times New Roman" w:cs="Times New Roman"/>
                <w:sz w:val="20"/>
                <w:szCs w:val="20"/>
                <w:lang w:val="en-US"/>
              </w:rPr>
              <w:t>)</w:t>
            </w:r>
          </w:p>
        </w:tc>
        <w:tc>
          <w:tcPr>
            <w:tcW w:w="1678" w:type="dxa"/>
          </w:tcPr>
          <w:p w14:paraId="31E63273"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678" w:type="dxa"/>
          </w:tcPr>
          <w:p w14:paraId="672A40D0"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65335D" w14:paraId="3905A126" w14:textId="77777777" w:rsidTr="001E3846">
        <w:trPr>
          <w:jc w:val="center"/>
        </w:trPr>
        <w:tc>
          <w:tcPr>
            <w:cnfStyle w:val="001000000000" w:firstRow="0" w:lastRow="0" w:firstColumn="1" w:lastColumn="0" w:oddVBand="0" w:evenVBand="0" w:oddHBand="0" w:evenHBand="0" w:firstRowFirstColumn="0" w:firstRowLastColumn="0" w:lastRowFirstColumn="0" w:lastRowLastColumn="0"/>
            <w:tcW w:w="1897" w:type="dxa"/>
          </w:tcPr>
          <w:p w14:paraId="7840C42D" w14:textId="77777777" w:rsidR="0065335D" w:rsidRPr="006213AA" w:rsidRDefault="0065335D" w:rsidP="001E3846">
            <w:pPr>
              <w:jc w:val="both"/>
              <w:rPr>
                <w:rFonts w:ascii="Times New Roman" w:hAnsi="Times New Roman" w:cs="Times New Roman"/>
                <w:i/>
                <w:sz w:val="20"/>
                <w:szCs w:val="20"/>
                <w:lang w:val="en-US"/>
              </w:rPr>
            </w:pPr>
            <w:r w:rsidRPr="006213AA">
              <w:rPr>
                <w:rFonts w:ascii="Times New Roman" w:hAnsi="Times New Roman" w:cs="Times New Roman"/>
                <w:i/>
                <w:sz w:val="20"/>
                <w:szCs w:val="20"/>
                <w:lang w:val="en-US"/>
              </w:rPr>
              <w:t>Upw</w:t>
            </w:r>
            <w:r>
              <w:rPr>
                <w:rFonts w:ascii="Times New Roman" w:hAnsi="Times New Roman" w:cs="Times New Roman"/>
                <w:i/>
                <w:sz w:val="20"/>
                <w:szCs w:val="20"/>
                <w:lang w:val="en-US"/>
              </w:rPr>
              <w:t>elling index</w:t>
            </w:r>
          </w:p>
        </w:tc>
        <w:tc>
          <w:tcPr>
            <w:tcW w:w="1897" w:type="dxa"/>
          </w:tcPr>
          <w:p w14:paraId="67B2ECEE"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678" w:type="dxa"/>
          </w:tcPr>
          <w:p w14:paraId="56384698"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Pr>
                <w:rFonts w:ascii="Times New Roman" w:hAnsi="Times New Roman" w:cs="Times New Roman"/>
                <w:sz w:val="20"/>
                <w:szCs w:val="20"/>
                <w:lang w:val="en-US"/>
              </w:rPr>
              <w:t>0.276 (±0.053</w:t>
            </w:r>
            <w:r w:rsidRPr="00141D5D">
              <w:rPr>
                <w:rFonts w:ascii="Times New Roman" w:hAnsi="Times New Roman" w:cs="Times New Roman"/>
                <w:sz w:val="20"/>
                <w:szCs w:val="20"/>
                <w:lang w:val="en-US"/>
              </w:rPr>
              <w:t>)</w:t>
            </w:r>
          </w:p>
        </w:tc>
        <w:tc>
          <w:tcPr>
            <w:tcW w:w="1678" w:type="dxa"/>
          </w:tcPr>
          <w:p w14:paraId="47F910C8"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r w:rsidR="0065335D" w14:paraId="6509F443" w14:textId="77777777" w:rsidTr="001E38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97" w:type="dxa"/>
          </w:tcPr>
          <w:p w14:paraId="2803F623" w14:textId="77777777" w:rsidR="0065335D" w:rsidRPr="006213AA" w:rsidRDefault="0065335D" w:rsidP="001E3846">
            <w:pPr>
              <w:jc w:val="both"/>
              <w:rPr>
                <w:rFonts w:ascii="Times New Roman" w:hAnsi="Times New Roman" w:cs="Times New Roman"/>
                <w:i/>
                <w:sz w:val="20"/>
                <w:szCs w:val="20"/>
                <w:lang w:val="en-US"/>
              </w:rPr>
            </w:pPr>
            <w:r w:rsidRPr="006213AA">
              <w:rPr>
                <w:rFonts w:ascii="Times New Roman" w:hAnsi="Times New Roman" w:cs="Times New Roman"/>
                <w:i/>
                <w:sz w:val="20"/>
                <w:szCs w:val="20"/>
                <w:lang w:val="en-US"/>
              </w:rPr>
              <w:t>MEI</w:t>
            </w:r>
          </w:p>
        </w:tc>
        <w:tc>
          <w:tcPr>
            <w:tcW w:w="1897" w:type="dxa"/>
          </w:tcPr>
          <w:p w14:paraId="3B06738F"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678" w:type="dxa"/>
          </w:tcPr>
          <w:p w14:paraId="018BFC6F"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678" w:type="dxa"/>
          </w:tcPr>
          <w:p w14:paraId="725FECBD" w14:textId="77777777" w:rsidR="0065335D" w:rsidRPr="00141D5D" w:rsidRDefault="0065335D" w:rsidP="001E384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r>
      <w:tr w:rsidR="0065335D" w14:paraId="18BECAA5" w14:textId="77777777" w:rsidTr="001E3846">
        <w:trPr>
          <w:jc w:val="center"/>
        </w:trPr>
        <w:tc>
          <w:tcPr>
            <w:cnfStyle w:val="001000000000" w:firstRow="0" w:lastRow="0" w:firstColumn="1" w:lastColumn="0" w:oddVBand="0" w:evenVBand="0" w:oddHBand="0" w:evenHBand="0" w:firstRowFirstColumn="0" w:firstRowLastColumn="0" w:lastRowFirstColumn="0" w:lastRowLastColumn="0"/>
            <w:tcW w:w="1897" w:type="dxa"/>
          </w:tcPr>
          <w:p w14:paraId="49EC9F68" w14:textId="77777777" w:rsidR="0065335D" w:rsidRPr="006213AA" w:rsidRDefault="0065335D" w:rsidP="001E3846">
            <w:pPr>
              <w:jc w:val="both"/>
              <w:rPr>
                <w:rFonts w:ascii="Times New Roman" w:hAnsi="Times New Roman" w:cs="Times New Roman"/>
                <w:i/>
                <w:sz w:val="20"/>
                <w:szCs w:val="20"/>
                <w:lang w:val="en-US"/>
              </w:rPr>
            </w:pPr>
            <w:r w:rsidRPr="006213AA">
              <w:rPr>
                <w:rFonts w:ascii="Times New Roman" w:hAnsi="Times New Roman" w:cs="Times New Roman"/>
                <w:i/>
                <w:sz w:val="20"/>
                <w:szCs w:val="20"/>
                <w:lang w:val="en-US"/>
              </w:rPr>
              <w:t>NPGO</w:t>
            </w:r>
          </w:p>
        </w:tc>
        <w:tc>
          <w:tcPr>
            <w:tcW w:w="1897" w:type="dxa"/>
          </w:tcPr>
          <w:p w14:paraId="15AC364B"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678" w:type="dxa"/>
          </w:tcPr>
          <w:p w14:paraId="0AABA91A"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678" w:type="dxa"/>
          </w:tcPr>
          <w:p w14:paraId="7682F35A" w14:textId="77777777" w:rsidR="0065335D" w:rsidRPr="00141D5D" w:rsidRDefault="0065335D" w:rsidP="001E384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bl>
    <w:p w14:paraId="6A70D4A9" w14:textId="77777777" w:rsidR="0065335D" w:rsidRDefault="0065335D" w:rsidP="0065335D">
      <w:pPr>
        <w:spacing w:line="480" w:lineRule="auto"/>
        <w:ind w:firstLine="708"/>
        <w:jc w:val="both"/>
        <w:rPr>
          <w:rFonts w:ascii="Times New Roman" w:hAnsi="Times New Roman" w:cs="Times New Roman"/>
          <w:sz w:val="24"/>
          <w:szCs w:val="24"/>
          <w:lang w:val="en-US"/>
        </w:rPr>
      </w:pPr>
    </w:p>
    <w:p w14:paraId="059B447E" w14:textId="77777777" w:rsidR="0065335D" w:rsidRPr="009B13E7" w:rsidRDefault="0065335D" w:rsidP="0065335D">
      <w:pPr>
        <w:spacing w:line="480" w:lineRule="auto"/>
        <w:ind w:firstLine="708"/>
        <w:jc w:val="both"/>
        <w:rPr>
          <w:rFonts w:ascii="Times New Roman" w:eastAsiaTheme="minorEastAsia" w:hAnsi="Times New Roman" w:cs="Times New Roman"/>
          <w:sz w:val="24"/>
          <w:szCs w:val="24"/>
          <w:lang w:val="en-US"/>
        </w:rPr>
      </w:pPr>
      <w:r w:rsidRPr="009B13E7">
        <w:rPr>
          <w:rFonts w:ascii="Times New Roman" w:eastAsiaTheme="minorEastAsia" w:hAnsi="Times New Roman" w:cs="Times New Roman"/>
          <w:sz w:val="24"/>
          <w:szCs w:val="24"/>
          <w:lang w:val="en-US"/>
        </w:rPr>
        <w:t xml:space="preserve">Significant variables in above average sites explain 65.42% of the observed variability. Red sea urchin catch was the most important variable, followed by SST, kelp biomass and </w:t>
      </w:r>
      <w:proofErr w:type="spellStart"/>
      <w:r w:rsidRPr="009B13E7">
        <w:rPr>
          <w:rFonts w:ascii="Times New Roman" w:eastAsiaTheme="minorEastAsia" w:hAnsi="Times New Roman" w:cs="Times New Roman"/>
          <w:sz w:val="24"/>
          <w:szCs w:val="24"/>
          <w:lang w:val="en-US"/>
        </w:rPr>
        <w:t>CgE</w:t>
      </w:r>
      <w:proofErr w:type="spellEnd"/>
      <w:r w:rsidRPr="009B13E7">
        <w:rPr>
          <w:rFonts w:ascii="Times New Roman" w:eastAsiaTheme="minorEastAsia" w:hAnsi="Times New Roman" w:cs="Times New Roman"/>
          <w:sz w:val="24"/>
          <w:szCs w:val="24"/>
          <w:lang w:val="en-US"/>
        </w:rPr>
        <w:t>. Red sea urchin catch anomaly was the most important variable in below average sites, followed by lobster catch anomaly and upwelling index. Significant variables explain 71.21% of the observed variability. Red sea urchin catch anomaly was the most important variable in the average site, followed by SST; these variables explain 78.68% of the observed variability (Fig. 10).</w:t>
      </w:r>
    </w:p>
    <w:p w14:paraId="309F5B3C" w14:textId="77777777" w:rsidR="0065335D" w:rsidRPr="009B13E7" w:rsidRDefault="0065335D" w:rsidP="0065335D">
      <w:pPr>
        <w:spacing w:line="240" w:lineRule="auto"/>
        <w:jc w:val="both"/>
        <w:rPr>
          <w:rFonts w:ascii="Times New Roman" w:hAnsi="Times New Roman" w:cs="Times New Roman"/>
          <w:sz w:val="24"/>
          <w:szCs w:val="24"/>
          <w:lang w:val="en-US"/>
        </w:rPr>
      </w:pPr>
      <w:r w:rsidRPr="009B13E7">
        <w:rPr>
          <w:rFonts w:ascii="Times New Roman" w:hAnsi="Times New Roman" w:cs="Times New Roman"/>
          <w:noProof/>
          <w:sz w:val="24"/>
          <w:szCs w:val="24"/>
          <w:lang w:eastAsia="es-MX"/>
        </w:rPr>
        <w:lastRenderedPageBreak/>
        <w:drawing>
          <wp:inline distT="0" distB="0" distL="0" distR="0" wp14:anchorId="43EEE492" wp14:editId="3EC3880F">
            <wp:extent cx="5582864" cy="36455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
                      <a:extLst>
                        <a:ext uri="{28A0092B-C50C-407E-A947-70E740481C1C}">
                          <a14:useLocalDpi xmlns:a14="http://schemas.microsoft.com/office/drawing/2010/main" val="0"/>
                        </a:ext>
                      </a:extLst>
                    </a:blip>
                    <a:srcRect l="3703"/>
                    <a:stretch/>
                  </pic:blipFill>
                  <pic:spPr bwMode="auto">
                    <a:xfrm>
                      <a:off x="0" y="0"/>
                      <a:ext cx="5582864" cy="3645535"/>
                    </a:xfrm>
                    <a:prstGeom prst="rect">
                      <a:avLst/>
                    </a:prstGeom>
                    <a:noFill/>
                    <a:ln>
                      <a:noFill/>
                    </a:ln>
                    <a:extLst>
                      <a:ext uri="{53640926-AAD7-44D8-BBD7-CCE9431645EC}">
                        <a14:shadowObscured xmlns:a14="http://schemas.microsoft.com/office/drawing/2010/main"/>
                      </a:ext>
                    </a:extLst>
                  </pic:spPr>
                </pic:pic>
              </a:graphicData>
            </a:graphic>
          </wp:inline>
        </w:drawing>
      </w:r>
    </w:p>
    <w:p w14:paraId="6C7BCEE2" w14:textId="77777777" w:rsidR="0065335D" w:rsidRPr="009B13E7" w:rsidRDefault="0065335D" w:rsidP="0065335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S2.2</w:t>
      </w:r>
      <w:r w:rsidRPr="009B13E7">
        <w:rPr>
          <w:rFonts w:ascii="Times New Roman" w:hAnsi="Times New Roman" w:cs="Times New Roman"/>
          <w:sz w:val="24"/>
          <w:szCs w:val="24"/>
          <w:lang w:val="en-US"/>
        </w:rPr>
        <w:t>. Share of R</w:t>
      </w:r>
      <w:r w:rsidRPr="009B13E7">
        <w:rPr>
          <w:rFonts w:ascii="Times New Roman" w:hAnsi="Times New Roman" w:cs="Times New Roman"/>
          <w:sz w:val="24"/>
          <w:szCs w:val="24"/>
          <w:vertAlign w:val="superscript"/>
          <w:lang w:val="en-US"/>
        </w:rPr>
        <w:t>2</w:t>
      </w:r>
      <w:r w:rsidRPr="009B13E7">
        <w:rPr>
          <w:rFonts w:ascii="Times New Roman" w:hAnsi="Times New Roman" w:cs="Times New Roman"/>
          <w:sz w:val="24"/>
          <w:szCs w:val="24"/>
          <w:lang w:val="en-US"/>
        </w:rPr>
        <w:t xml:space="preserve"> (as percentage) of significant variables for above </w:t>
      </w:r>
      <w:proofErr w:type="spellStart"/>
      <w:r w:rsidRPr="009B13E7">
        <w:rPr>
          <w:rFonts w:ascii="Times New Roman" w:hAnsi="Times New Roman" w:cs="Times New Roman"/>
          <w:sz w:val="24"/>
          <w:szCs w:val="24"/>
          <w:lang w:val="en-US"/>
        </w:rPr>
        <w:t>GLM</w:t>
      </w:r>
      <w:r w:rsidRPr="009B13E7">
        <w:rPr>
          <w:rFonts w:ascii="Times New Roman" w:hAnsi="Times New Roman" w:cs="Times New Roman"/>
          <w:sz w:val="24"/>
          <w:szCs w:val="24"/>
          <w:vertAlign w:val="subscript"/>
          <w:lang w:val="en-US"/>
        </w:rPr>
        <w:t>ab</w:t>
      </w:r>
      <w:proofErr w:type="spellEnd"/>
      <w:r w:rsidRPr="009B13E7">
        <w:rPr>
          <w:rFonts w:ascii="Times New Roman" w:hAnsi="Times New Roman" w:cs="Times New Roman"/>
          <w:sz w:val="24"/>
          <w:szCs w:val="24"/>
          <w:lang w:val="en-US"/>
        </w:rPr>
        <w:t xml:space="preserve">, below </w:t>
      </w:r>
      <w:proofErr w:type="spellStart"/>
      <w:r w:rsidRPr="009B13E7">
        <w:rPr>
          <w:rFonts w:ascii="Times New Roman" w:hAnsi="Times New Roman" w:cs="Times New Roman"/>
          <w:sz w:val="24"/>
          <w:szCs w:val="24"/>
          <w:lang w:val="en-US"/>
        </w:rPr>
        <w:t>GLM</w:t>
      </w:r>
      <w:r w:rsidRPr="009B13E7">
        <w:rPr>
          <w:rFonts w:ascii="Times New Roman" w:hAnsi="Times New Roman" w:cs="Times New Roman"/>
          <w:sz w:val="24"/>
          <w:szCs w:val="24"/>
          <w:vertAlign w:val="subscript"/>
          <w:lang w:val="en-US"/>
        </w:rPr>
        <w:t>be</w:t>
      </w:r>
      <w:proofErr w:type="spellEnd"/>
      <w:r w:rsidRPr="009B13E7">
        <w:rPr>
          <w:rFonts w:ascii="Times New Roman" w:hAnsi="Times New Roman" w:cs="Times New Roman"/>
          <w:sz w:val="24"/>
          <w:szCs w:val="24"/>
          <w:lang w:val="en-US"/>
        </w:rPr>
        <w:t>, and average GLM</w:t>
      </w:r>
      <w:r w:rsidRPr="009B13E7">
        <w:rPr>
          <w:rFonts w:ascii="Times New Roman" w:hAnsi="Times New Roman" w:cs="Times New Roman"/>
          <w:sz w:val="24"/>
          <w:szCs w:val="24"/>
          <w:vertAlign w:val="subscript"/>
          <w:lang w:val="en-US"/>
        </w:rPr>
        <w:t>µ</w:t>
      </w:r>
      <w:r w:rsidRPr="009B13E7">
        <w:rPr>
          <w:rFonts w:ascii="Times New Roman" w:hAnsi="Times New Roman" w:cs="Times New Roman"/>
          <w:sz w:val="24"/>
          <w:szCs w:val="24"/>
          <w:lang w:val="en-US"/>
        </w:rPr>
        <w:t xml:space="preserve"> models. Metrics are normalized to sum 100%. Urchin catch % of R</w:t>
      </w:r>
      <w:r w:rsidRPr="009B13E7">
        <w:rPr>
          <w:rFonts w:ascii="Times New Roman" w:hAnsi="Times New Roman" w:cs="Times New Roman"/>
          <w:sz w:val="24"/>
          <w:szCs w:val="24"/>
          <w:vertAlign w:val="superscript"/>
          <w:lang w:val="en-US"/>
        </w:rPr>
        <w:t>2</w:t>
      </w:r>
      <w:r w:rsidRPr="009B13E7">
        <w:rPr>
          <w:rFonts w:ascii="Times New Roman" w:hAnsi="Times New Roman" w:cs="Times New Roman"/>
          <w:sz w:val="24"/>
          <w:szCs w:val="24"/>
          <w:lang w:val="en-US"/>
        </w:rPr>
        <w:t xml:space="preserve"> is &gt;50% in all scenarios.</w:t>
      </w:r>
    </w:p>
    <w:p w14:paraId="64BC95E2" w14:textId="77777777" w:rsidR="0065335D" w:rsidRPr="009B13E7" w:rsidRDefault="0065335D" w:rsidP="0065335D">
      <w:pPr>
        <w:spacing w:line="240" w:lineRule="auto"/>
        <w:jc w:val="both"/>
        <w:rPr>
          <w:rFonts w:ascii="Times New Roman" w:hAnsi="Times New Roman" w:cs="Times New Roman"/>
          <w:sz w:val="24"/>
          <w:szCs w:val="24"/>
          <w:lang w:val="en-US"/>
        </w:rPr>
      </w:pPr>
    </w:p>
    <w:p w14:paraId="31CEDA97" w14:textId="77777777" w:rsidR="0065335D" w:rsidRPr="009B13E7" w:rsidRDefault="0065335D" w:rsidP="0065335D">
      <w:pPr>
        <w:spacing w:line="480" w:lineRule="auto"/>
        <w:ind w:firstLine="708"/>
        <w:jc w:val="both"/>
        <w:rPr>
          <w:rFonts w:ascii="Times New Roman" w:hAnsi="Times New Roman" w:cs="Times New Roman"/>
          <w:sz w:val="24"/>
          <w:szCs w:val="24"/>
          <w:lang w:val="en-US"/>
        </w:rPr>
      </w:pPr>
      <w:r w:rsidRPr="009B13E7">
        <w:rPr>
          <w:rFonts w:ascii="Times New Roman" w:hAnsi="Times New Roman" w:cs="Times New Roman"/>
          <w:sz w:val="24"/>
          <w:szCs w:val="24"/>
          <w:lang w:val="en-US"/>
        </w:rPr>
        <w:t xml:space="preserve">With these results, we modeled </w:t>
      </w:r>
      <w:proofErr w:type="spellStart"/>
      <w:r w:rsidRPr="009B13E7">
        <w:rPr>
          <w:rFonts w:ascii="Times New Roman" w:hAnsi="Times New Roman" w:cs="Times New Roman"/>
          <w:i/>
          <w:sz w:val="24"/>
          <w:szCs w:val="24"/>
          <w:lang w:val="en-US"/>
        </w:rPr>
        <w:t>rsu</w:t>
      </w:r>
      <w:proofErr w:type="spellEnd"/>
      <w:r w:rsidRPr="009B13E7">
        <w:rPr>
          <w:rFonts w:ascii="Times New Roman" w:hAnsi="Times New Roman" w:cs="Times New Roman"/>
          <w:sz w:val="24"/>
          <w:szCs w:val="24"/>
          <w:lang w:val="en-US"/>
        </w:rPr>
        <w:t xml:space="preserve"> using above, below and average site important variables. All three models displayed good fits, with model GLM</w:t>
      </w:r>
      <w:r w:rsidRPr="009B13E7">
        <w:rPr>
          <w:rFonts w:ascii="Times New Roman" w:hAnsi="Times New Roman" w:cs="Times New Roman"/>
          <w:sz w:val="24"/>
          <w:szCs w:val="24"/>
          <w:vertAlign w:val="subscript"/>
          <w:lang w:val="en-US"/>
        </w:rPr>
        <w:t>µ</w:t>
      </w:r>
      <w:r w:rsidRPr="009B13E7">
        <w:rPr>
          <w:rFonts w:ascii="Times New Roman" w:hAnsi="Times New Roman" w:cs="Times New Roman"/>
          <w:sz w:val="24"/>
          <w:szCs w:val="24"/>
          <w:lang w:val="en-US"/>
        </w:rPr>
        <w:t xml:space="preserve"> performance being higher (R</w:t>
      </w:r>
      <w:r w:rsidRPr="009B13E7">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=0.78; S2.3</w:t>
      </w:r>
      <w:r w:rsidRPr="009B13E7">
        <w:rPr>
          <w:rFonts w:ascii="Times New Roman" w:hAnsi="Times New Roman" w:cs="Times New Roman"/>
          <w:sz w:val="24"/>
          <w:szCs w:val="24"/>
          <w:lang w:val="en-US"/>
        </w:rPr>
        <w:t>).</w:t>
      </w:r>
    </w:p>
    <w:p w14:paraId="67A4A460" w14:textId="77777777" w:rsidR="0065335D" w:rsidRPr="009B13E7" w:rsidRDefault="0065335D" w:rsidP="0065335D">
      <w:pPr>
        <w:spacing w:line="240" w:lineRule="auto"/>
        <w:jc w:val="both"/>
        <w:rPr>
          <w:rFonts w:ascii="Times New Roman" w:hAnsi="Times New Roman" w:cs="Times New Roman"/>
          <w:sz w:val="24"/>
          <w:szCs w:val="24"/>
          <w:lang w:val="en-US"/>
        </w:rPr>
      </w:pPr>
      <w:r w:rsidRPr="009B13E7">
        <w:rPr>
          <w:rFonts w:ascii="Times New Roman" w:hAnsi="Times New Roman" w:cs="Times New Roman"/>
          <w:noProof/>
          <w:lang w:val="en-US" w:eastAsia="es-MX"/>
        </w:rPr>
        <w:lastRenderedPageBreak/>
        <w:t xml:space="preserve"> </w:t>
      </w:r>
      <w:r w:rsidRPr="009B13E7">
        <w:rPr>
          <w:rFonts w:ascii="Times New Roman" w:hAnsi="Times New Roman" w:cs="Times New Roman"/>
          <w:noProof/>
          <w:sz w:val="24"/>
          <w:szCs w:val="24"/>
          <w:lang w:eastAsia="es-MX"/>
        </w:rPr>
        <w:drawing>
          <wp:inline distT="0" distB="0" distL="0" distR="0" wp14:anchorId="6E478B2D" wp14:editId="49B3347C">
            <wp:extent cx="5546252" cy="4015409"/>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2848" cy="4020185"/>
                    </a:xfrm>
                    <a:prstGeom prst="rect">
                      <a:avLst/>
                    </a:prstGeom>
                    <a:noFill/>
                  </pic:spPr>
                </pic:pic>
              </a:graphicData>
            </a:graphic>
          </wp:inline>
        </w:drawing>
      </w:r>
    </w:p>
    <w:p w14:paraId="3242E8B1" w14:textId="77777777" w:rsidR="0065335D" w:rsidRPr="005E3629" w:rsidRDefault="0065335D" w:rsidP="0065335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S2.3</w:t>
      </w:r>
      <w:r w:rsidRPr="009B13E7">
        <w:rPr>
          <w:rFonts w:ascii="Times New Roman" w:hAnsi="Times New Roman" w:cs="Times New Roman"/>
          <w:sz w:val="24"/>
          <w:szCs w:val="24"/>
          <w:lang w:val="en-US"/>
        </w:rPr>
        <w:t xml:space="preserve">. Comparison between observed </w:t>
      </w:r>
      <w:proofErr w:type="spellStart"/>
      <w:r w:rsidRPr="009B13E7">
        <w:rPr>
          <w:rFonts w:ascii="Times New Roman" w:hAnsi="Times New Roman" w:cs="Times New Roman"/>
          <w:i/>
          <w:sz w:val="24"/>
          <w:szCs w:val="24"/>
          <w:lang w:val="en-US"/>
        </w:rPr>
        <w:t>rsu</w:t>
      </w:r>
      <w:proofErr w:type="spellEnd"/>
      <w:r w:rsidRPr="009B13E7">
        <w:rPr>
          <w:rFonts w:ascii="Times New Roman" w:hAnsi="Times New Roman" w:cs="Times New Roman"/>
          <w:sz w:val="24"/>
          <w:szCs w:val="24"/>
          <w:lang w:val="en-US"/>
        </w:rPr>
        <w:t xml:space="preserve"> values (bars), and predicted values from full time series for above (solid line), below (long dash) and average SST conditions (dash-dot) models. </w:t>
      </w:r>
    </w:p>
    <w:p w14:paraId="4BE5A4C5" w14:textId="77777777" w:rsidR="00EB1756" w:rsidRPr="0065335D" w:rsidRDefault="00000000">
      <w:pPr>
        <w:rPr>
          <w:lang w:val="en-US"/>
        </w:rPr>
      </w:pPr>
    </w:p>
    <w:sectPr w:rsidR="00EB1756" w:rsidRPr="0065335D" w:rsidSect="009B49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5D"/>
    <w:rsid w:val="00393029"/>
    <w:rsid w:val="0065335D"/>
    <w:rsid w:val="009B4986"/>
    <w:rsid w:val="00A623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AC8E"/>
  <w15:chartTrackingRefBased/>
  <w15:docId w15:val="{1469F86D-4EA6-4C5C-ADEB-10B48DB1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5D"/>
  </w:style>
  <w:style w:type="paragraph" w:styleId="Heading3">
    <w:name w:val="heading 3"/>
    <w:basedOn w:val="Normal"/>
    <w:next w:val="Normal"/>
    <w:link w:val="Heading3Char"/>
    <w:uiPriority w:val="9"/>
    <w:unhideWhenUsed/>
    <w:qFormat/>
    <w:rsid w:val="006533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6533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335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65335D"/>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qFormat/>
    <w:rsid w:val="0065335D"/>
    <w:rPr>
      <w:i/>
      <w:iCs/>
      <w:color w:val="404040" w:themeColor="text1" w:themeTint="BF"/>
    </w:rPr>
  </w:style>
  <w:style w:type="table" w:styleId="PlainTable2">
    <w:name w:val="Plain Table 2"/>
    <w:basedOn w:val="TableNormal"/>
    <w:uiPriority w:val="42"/>
    <w:rsid w:val="006533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65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Medellin</dc:creator>
  <cp:keywords/>
  <dc:description/>
  <cp:lastModifiedBy>Alice Clarke</cp:lastModifiedBy>
  <cp:revision>2</cp:revision>
  <dcterms:created xsi:type="dcterms:W3CDTF">2022-05-17T15:30:00Z</dcterms:created>
  <dcterms:modified xsi:type="dcterms:W3CDTF">2022-11-03T09:47:00Z</dcterms:modified>
</cp:coreProperties>
</file>