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宋体" w:cs="Times New Roman"/>
          <w:b/>
          <w:bCs/>
          <w:color w:val="000000"/>
          <w:sz w:val="24"/>
          <w:shd w:val="clear" w:color="auto" w:fill="FFFFFF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hd w:val="clear" w:color="auto" w:fill="FFFFFF"/>
        </w:rPr>
        <w:t>Figure Legends</w:t>
      </w:r>
    </w:p>
    <w:p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271770" cy="5463540"/>
            <wp:effectExtent l="0" t="0" r="5080" b="3810"/>
            <wp:docPr id="3" name="图片 3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Figure 1 G</w:t>
      </w:r>
      <w:r>
        <w:rPr>
          <w:rFonts w:hint="eastAsia" w:ascii="Times New Roman" w:hAnsi="Times New Roman" w:cs="Times New Roman"/>
          <w:b/>
          <w:bCs/>
          <w:szCs w:val="21"/>
        </w:rPr>
        <w:t>uominkang</w:t>
      </w:r>
      <w:r>
        <w:rPr>
          <w:rFonts w:ascii="Times New Roman" w:hAnsi="Times New Roman" w:cs="Times New Roman"/>
          <w:b/>
          <w:bCs/>
          <w:szCs w:val="21"/>
        </w:rPr>
        <w:t xml:space="preserve"> can alleviate inflammation of eosinophilic asthma in BALB/c mice model. </w:t>
      </w:r>
      <w:r>
        <w:rPr>
          <w:rFonts w:ascii="Times New Roman" w:hAnsi="Times New Roman" w:cs="Times New Roman"/>
          <w:szCs w:val="21"/>
        </w:rPr>
        <w:t xml:space="preserve">(A) Flow chart of eosinophilic asthma model constructing in BALB/c mice. (B) Allergens airway hyperresponsiveness assessment by non-invasive methods </w:t>
      </w:r>
      <w:r>
        <w:rPr>
          <w:rFonts w:ascii="Times New Roman" w:hAnsi="Times New Roman" w:eastAsia="宋体" w:cs="Times New Roman"/>
          <w:szCs w:val="21"/>
        </w:rPr>
        <w:t xml:space="preserve">Mice (n=4-5/group) were sensitized and challenged with OVA. </w:t>
      </w:r>
      <w:r>
        <w:rPr>
          <w:rFonts w:ascii="Times New Roman" w:hAnsi="Times New Roman" w:cs="Times New Roman"/>
          <w:szCs w:val="21"/>
        </w:rPr>
        <w:t xml:space="preserve">a,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0.05 vs Control; aa,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 xml:space="preserve">&lt; 0.01 vs Control; aaa,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≤ 0.001 vs Control. b,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0.05 vs GMK(H); bb,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0.01 vs GMK(H); bbb,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 xml:space="preserve">≤ 0.001 vs GMK(H). c,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 xml:space="preserve">&lt; 0.05 vs GMK(M); cc,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0.01 vs GMK(M); ccc,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 xml:space="preserve">≤ 0.001 vs GMK(M). d,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 xml:space="preserve">&lt; 0.05 vs GMK (L); dd,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 &lt; 0.01 vs GMK(L); ddd,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≤ 0.001 vs GMK(L).</w:t>
      </w:r>
      <w:r>
        <w:rPr>
          <w:rFonts w:hint="eastAsia" w:ascii="Times New Roman" w:hAnsi="Times New Roman" w:cs="Times New Roman"/>
          <w:szCs w:val="21"/>
        </w:rPr>
        <w:t xml:space="preserve"> (C) HE staining and inflammation score of lung tissue. (D) Typical PAS staining and the related corresponding score of lung tissue. (E) Specific OVA-IgE antibody detection in serum, eosinophil count in bronchoalveolar lavage fluid（BALF), IL-5 and IL-13 antibody detection in serum (n=5-6/group). </w:t>
      </w:r>
      <w:r>
        <w:rPr>
          <w:rFonts w:ascii="Arial" w:hAnsi="Arial" w:cs="Arial"/>
          <w:szCs w:val="21"/>
        </w:rPr>
        <w:t>*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5, </w:t>
      </w:r>
      <w:r>
        <w:rPr>
          <w:rFonts w:hint="eastAsia" w:ascii="Arial" w:hAnsi="Arial" w:cs="Arial"/>
          <w:szCs w:val="21"/>
        </w:rPr>
        <w:t>**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1, </w:t>
      </w:r>
      <w:r>
        <w:rPr>
          <w:rFonts w:hint="eastAsia" w:ascii="Arial" w:hAnsi="Arial" w:cs="Arial"/>
          <w:szCs w:val="21"/>
        </w:rPr>
        <w:t>***</w:t>
      </w:r>
      <w:r>
        <w:rPr>
          <w:rFonts w:ascii="Arial" w:hAnsi="Arial" w:cs="Arial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≤ 0.001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268595" cy="3440430"/>
            <wp:effectExtent l="0" t="0" r="8255" b="7620"/>
            <wp:docPr id="35" name="图片 35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ig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>Figure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 xml:space="preserve"> 2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 Th1, Th2 cells and their related cytokines and gene detection. </w:t>
      </w:r>
      <w:r>
        <w:rPr>
          <w:rFonts w:hint="eastAsia" w:ascii="Times New Roman" w:hAnsi="Times New Roman" w:cs="Times New Roman"/>
          <w:szCs w:val="21"/>
        </w:rPr>
        <w:t xml:space="preserve">(A) Th1 and Th2 cells related cytokines detection in serum. (B,C) Flow cytometry detection of Th1 and Th2 cells in spleen tissue. (D)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>IL-4 and IFN-</w:t>
      </w:r>
      <w:r>
        <w:rPr>
          <w:rFonts w:ascii="Times New Roman" w:hAnsi="Times New Roman" w:cs="Times New Roman"/>
          <w:szCs w:val="21"/>
        </w:rPr>
        <w:t>γ</w:t>
      </w:r>
      <w:r>
        <w:rPr>
          <w:rFonts w:hint="eastAsia" w:ascii="Times New Roman" w:hAnsi="Times New Roman" w:cs="Times New Roman"/>
          <w:szCs w:val="21"/>
        </w:rPr>
        <w:t xml:space="preserve"> g</w:t>
      </w:r>
      <w:r>
        <w:rPr>
          <w:rFonts w:ascii="Times New Roman" w:hAnsi="Times New Roman" w:cs="Times New Roman"/>
          <w:szCs w:val="21"/>
        </w:rPr>
        <w:t xml:space="preserve">ene expression </w:t>
      </w:r>
      <w:r>
        <w:rPr>
          <w:rFonts w:hint="eastAsia" w:ascii="Times New Roman" w:hAnsi="Times New Roman" w:cs="Times New Roman"/>
          <w:szCs w:val="21"/>
        </w:rPr>
        <w:t xml:space="preserve">in lung tissue </w:t>
      </w:r>
      <w:r>
        <w:rPr>
          <w:rFonts w:ascii="Times New Roman" w:hAnsi="Times New Roman" w:cs="Times New Roman"/>
          <w:szCs w:val="21"/>
        </w:rPr>
        <w:t>analyzed by real-time RT-PCR</w:t>
      </w:r>
      <w:r>
        <w:rPr>
          <w:rFonts w:hint="eastAsia" w:ascii="Times New Roman" w:hAnsi="Times New Roman" w:cs="Times New Roman"/>
          <w:szCs w:val="21"/>
        </w:rPr>
        <w:t xml:space="preserve">, results was all represent as mean +/- SEM (n=5-6/group). </w:t>
      </w:r>
      <w:r>
        <w:rPr>
          <w:rFonts w:ascii="Arial" w:hAnsi="Arial" w:cs="Arial"/>
          <w:szCs w:val="21"/>
        </w:rPr>
        <w:t>*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5, </w:t>
      </w:r>
      <w:r>
        <w:rPr>
          <w:rFonts w:hint="eastAsia" w:ascii="Arial" w:hAnsi="Arial" w:cs="Arial"/>
          <w:szCs w:val="21"/>
        </w:rPr>
        <w:t>**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1, </w:t>
      </w:r>
      <w:r>
        <w:rPr>
          <w:rFonts w:hint="eastAsia" w:ascii="Arial" w:hAnsi="Arial" w:cs="Arial"/>
          <w:szCs w:val="21"/>
        </w:rPr>
        <w:t>***</w:t>
      </w:r>
      <w:r>
        <w:rPr>
          <w:rFonts w:ascii="Arial" w:hAnsi="Arial" w:cs="Arial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≤ 0.001</w:t>
      </w:r>
      <w:r>
        <w:rPr>
          <w:rFonts w:hint="eastAsia" w:ascii="Times New Roman" w:hAnsi="Times New Roman" w:cs="Times New Roman"/>
          <w:szCs w:val="21"/>
        </w:rPr>
        <w:t>.</w:t>
      </w:r>
    </w:p>
    <w:p>
      <w:pPr>
        <w:spacing w:line="360" w:lineRule="auto"/>
        <w:rPr>
          <w:rFonts w:hint="eastAsia" w:ascii="Times New Roman" w:hAnsi="Times New Roman" w:cs="Times New Roman"/>
          <w:b/>
          <w:bCs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szCs w:val="21"/>
        </w:rPr>
      </w:pPr>
    </w:p>
    <w:p>
      <w:pPr>
        <w:spacing w:line="360" w:lineRule="auto"/>
        <w:rPr>
          <w:rFonts w:hint="eastAsia" w:ascii="Times New Roman" w:hAnsi="Times New Roman" w:cs="Times New Roman"/>
          <w:b/>
          <w:bCs/>
          <w:szCs w:val="21"/>
        </w:rPr>
      </w:pPr>
    </w:p>
    <w:p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bookmarkStart w:id="0" w:name="_GoBack"/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264785" cy="4427855"/>
            <wp:effectExtent l="0" t="0" r="2540" b="1270"/>
            <wp:docPr id="16" name="图片 16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400" w:lineRule="exac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</w:t>
      </w:r>
      <w:r>
        <w:rPr>
          <w:rFonts w:hint="eastAsia" w:ascii="Times New Roman" w:hAnsi="Times New Roman" w:cs="Times New Roman"/>
          <w:b/>
          <w:bCs/>
          <w:szCs w:val="21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Cs w:val="21"/>
        </w:rPr>
        <w:t xml:space="preserve"> Treg, Th17 cells and their related cytokines and gene detection. </w:t>
      </w:r>
      <w:r>
        <w:rPr>
          <w:rFonts w:hint="eastAsia" w:ascii="Times New Roman" w:hAnsi="Times New Roman" w:cs="Times New Roman"/>
          <w:szCs w:val="21"/>
        </w:rPr>
        <w:t>(A) Treg and Th17 cells related cytokines detection in serum. (B,C) Flow cytometry detection of Treg and Th17 in spleen tissue. (D)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hint="eastAsia" w:ascii="Times New Roman" w:hAnsi="Times New Roman" w:cs="Times New Roman"/>
          <w:szCs w:val="21"/>
        </w:rPr>
        <w:t>Foxp3 and ROR</w:t>
      </w:r>
      <w:r>
        <w:rPr>
          <w:rFonts w:ascii="Times New Roman" w:hAnsi="Times New Roman" w:cs="Times New Roman"/>
          <w:szCs w:val="21"/>
        </w:rPr>
        <w:t>γ</w:t>
      </w:r>
      <w:r>
        <w:rPr>
          <w:rFonts w:hint="eastAsia" w:ascii="Times New Roman" w:hAnsi="Times New Roman" w:cs="Times New Roman"/>
          <w:szCs w:val="21"/>
        </w:rPr>
        <w:t>t g</w:t>
      </w:r>
      <w:r>
        <w:rPr>
          <w:rFonts w:ascii="Times New Roman" w:hAnsi="Times New Roman" w:cs="Times New Roman"/>
          <w:szCs w:val="21"/>
        </w:rPr>
        <w:t xml:space="preserve">ene expression </w:t>
      </w:r>
      <w:r>
        <w:rPr>
          <w:rFonts w:hint="eastAsia" w:ascii="Times New Roman" w:hAnsi="Times New Roman" w:cs="Times New Roman"/>
          <w:szCs w:val="21"/>
        </w:rPr>
        <w:t xml:space="preserve">in lung tissue </w:t>
      </w:r>
      <w:r>
        <w:rPr>
          <w:rFonts w:ascii="Times New Roman" w:hAnsi="Times New Roman" w:cs="Times New Roman"/>
          <w:szCs w:val="21"/>
        </w:rPr>
        <w:t>analyzed by real-time RT-PCR</w:t>
      </w:r>
      <w:r>
        <w:rPr>
          <w:rFonts w:hint="eastAsia" w:ascii="Times New Roman" w:hAnsi="Times New Roman" w:cs="Times New Roman"/>
          <w:szCs w:val="21"/>
        </w:rPr>
        <w:t xml:space="preserve">, results was represent as mean +/- SEM (n=5-6/group). </w:t>
      </w:r>
      <w:r>
        <w:rPr>
          <w:rFonts w:ascii="Arial" w:hAnsi="Arial" w:cs="Arial"/>
          <w:szCs w:val="21"/>
        </w:rPr>
        <w:t>*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5, </w:t>
      </w:r>
      <w:r>
        <w:rPr>
          <w:rFonts w:hint="eastAsia" w:ascii="Arial" w:hAnsi="Arial" w:cs="Arial"/>
          <w:szCs w:val="21"/>
        </w:rPr>
        <w:t>**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1, </w:t>
      </w:r>
      <w:r>
        <w:rPr>
          <w:rFonts w:hint="eastAsia" w:ascii="Arial" w:hAnsi="Arial" w:cs="Arial"/>
          <w:szCs w:val="21"/>
        </w:rPr>
        <w:t>***</w:t>
      </w:r>
      <w:r>
        <w:rPr>
          <w:rFonts w:ascii="Arial" w:hAnsi="Arial" w:cs="Arial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≤ 0.001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4592320" cy="7211695"/>
            <wp:effectExtent l="0" t="0" r="8255" b="8255"/>
            <wp:docPr id="7" name="图片 7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4 Untargeted metabolomics of plasma detection treated by Guominkang. </w:t>
      </w:r>
      <w:r>
        <w:rPr>
          <w:rFonts w:hint="eastAsia" w:ascii="Times New Roman" w:hAnsi="Times New Roman" w:cs="Times New Roman"/>
          <w:szCs w:val="21"/>
        </w:rPr>
        <w:t xml:space="preserve">(A) OPLS-DA score plots derived from UPLC-Q-TOF/MS in positive and negative ionization modes. (B) Volcano map in positive mode and negative mode. (C) </w:t>
      </w:r>
      <w:r>
        <w:rPr>
          <w:rFonts w:ascii="Times New Roman" w:hAnsi="Times New Roman" w:cs="Times New Roman"/>
          <w:szCs w:val="21"/>
        </w:rPr>
        <w:t>The hierarchical cluster analysis</w:t>
      </w:r>
      <w:r>
        <w:rPr>
          <w:rFonts w:hint="eastAsia" w:ascii="Times New Roman" w:hAnsi="Times New Roman" w:cs="Times New Roman"/>
          <w:szCs w:val="21"/>
        </w:rPr>
        <w:t xml:space="preserve"> of</w:t>
      </w:r>
      <w:r>
        <w:rPr>
          <w:rFonts w:ascii="Times New Roman" w:hAnsi="Times New Roman" w:cs="Times New Roman"/>
          <w:szCs w:val="21"/>
        </w:rPr>
        <w:t xml:space="preserve"> different metabolites between </w:t>
      </w:r>
      <w:r>
        <w:rPr>
          <w:rFonts w:hint="eastAsia" w:ascii="Times New Roman" w:hAnsi="Times New Roman" w:cs="Times New Roman"/>
          <w:szCs w:val="21"/>
        </w:rPr>
        <w:t xml:space="preserve">GMK and model </w:t>
      </w:r>
      <w:r>
        <w:rPr>
          <w:rFonts w:ascii="Times New Roman" w:hAnsi="Times New Roman" w:cs="Times New Roman"/>
          <w:szCs w:val="21"/>
        </w:rPr>
        <w:t>group under positive and negative modes.</w:t>
      </w:r>
      <w:r>
        <w:rPr>
          <w:rFonts w:hint="eastAsia" w:ascii="Times New Roman" w:hAnsi="Times New Roman" w:cs="Times New Roman"/>
          <w:szCs w:val="21"/>
        </w:rPr>
        <w:t xml:space="preserve"> (D) </w:t>
      </w:r>
      <w:r>
        <w:rPr>
          <w:rFonts w:ascii="Times New Roman" w:hAnsi="Times New Roman" w:cs="Times New Roman"/>
          <w:szCs w:val="21"/>
        </w:rPr>
        <w:t xml:space="preserve">Enriched KEGG pathways based on significant different metabolites between </w:t>
      </w:r>
      <w:r>
        <w:rPr>
          <w:rFonts w:hint="eastAsia" w:ascii="Times New Roman" w:hAnsi="Times New Roman" w:cs="Times New Roman"/>
          <w:szCs w:val="21"/>
        </w:rPr>
        <w:t xml:space="preserve">GMK and model </w:t>
      </w:r>
      <w:r>
        <w:rPr>
          <w:rFonts w:ascii="Times New Roman" w:hAnsi="Times New Roman" w:cs="Times New Roman"/>
          <w:szCs w:val="21"/>
        </w:rPr>
        <w:t>group</w:t>
      </w:r>
      <w:r>
        <w:rPr>
          <w:rFonts w:hint="eastAsia" w:ascii="Times New Roman" w:hAnsi="Times New Roman" w:cs="Times New Roman"/>
          <w:szCs w:val="21"/>
        </w:rPr>
        <w:t xml:space="preserve"> (n=7/group).</w:t>
      </w:r>
      <w:r>
        <w:rPr>
          <w:rFonts w:ascii="Times New Roman" w:hAnsi="Times New Roman" w:cs="Times New Roman"/>
          <w:szCs w:val="21"/>
        </w:rPr>
        <w:br w:type="page"/>
      </w: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25400</wp:posOffset>
            </wp:positionV>
            <wp:extent cx="5262245" cy="3250565"/>
            <wp:effectExtent l="0" t="0" r="5080" b="6985"/>
            <wp:wrapNone/>
            <wp:docPr id="8" name="图片 8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b/>
          <w:bCs/>
          <w:szCs w:val="21"/>
        </w:rPr>
      </w:pPr>
    </w:p>
    <w:p>
      <w:pPr>
        <w:spacing w:line="400" w:lineRule="exac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5 Correlation analysis between differential metabolites and Th1/2, Treg / Th17 cells  balance in eosinophilic asthma. </w:t>
      </w:r>
      <w:r>
        <w:rPr>
          <w:rFonts w:hint="eastAsia" w:ascii="Times New Roman" w:hAnsi="Times New Roman" w:cs="Times New Roman"/>
          <w:szCs w:val="21"/>
        </w:rPr>
        <w:t xml:space="preserve">(A) 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 xml:space="preserve">Pearson </w:t>
      </w:r>
      <w:r>
        <w:rPr>
          <w:rFonts w:ascii="Times New Roman" w:hAnsi="Times New Roman" w:eastAsia="宋体" w:cs="Times New Roman"/>
          <w:sz w:val="24"/>
          <w:shd w:val="clear" w:color="auto" w:fill="FFFFFF"/>
        </w:rPr>
        <w:t>correlation analysis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between differential metabolites and Th1/2, Treg/Th17 immune balance, Penh value, OVA-IgE antibody and eosinophil number in BALF. (B) Metabolic biomarkers closely related to Th1/2 and Treg/Th17 cell balance in eosinophilic asthma (n=7/group). </w:t>
      </w:r>
      <w:r>
        <w:rPr>
          <w:rFonts w:ascii="Arial" w:hAnsi="Arial" w:cs="Arial"/>
          <w:szCs w:val="21"/>
        </w:rPr>
        <w:t>*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5, </w:t>
      </w:r>
      <w:r>
        <w:rPr>
          <w:rFonts w:hint="eastAsia" w:ascii="Arial" w:hAnsi="Arial" w:cs="Arial"/>
          <w:szCs w:val="21"/>
        </w:rPr>
        <w:t>**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1, </w:t>
      </w:r>
      <w:r>
        <w:rPr>
          <w:rFonts w:hint="eastAsia" w:ascii="Arial" w:hAnsi="Arial" w:cs="Arial"/>
          <w:szCs w:val="21"/>
        </w:rPr>
        <w:t>***</w:t>
      </w:r>
      <w:r>
        <w:rPr>
          <w:rFonts w:ascii="Arial" w:hAnsi="Arial" w:cs="Arial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≤ 0.001</w:t>
      </w:r>
      <w:r>
        <w:rPr>
          <w:rFonts w:hint="eastAsia"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br w:type="page"/>
      </w:r>
    </w:p>
    <w:p>
      <w:pPr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5263515" cy="3851910"/>
            <wp:effectExtent l="0" t="0" r="3810" b="5715"/>
            <wp:docPr id="10" name="图片 10" descr="Fig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6 Gut microbiota Biomarker detection after Guominkang treated. </w:t>
      </w:r>
      <w:r>
        <w:rPr>
          <w:rFonts w:hint="eastAsia" w:ascii="Times New Roman" w:hAnsi="Times New Roman" w:cs="Times New Roman"/>
          <w:szCs w:val="21"/>
        </w:rPr>
        <w:t xml:space="preserve">(A) Principal coordinate analysis (PCoA) of gut microbiota in GMK treated group and eosinophilic asthma model group; (B) The top 10 gut microbiota at genus level between GMK treated group and model group; (C) Lefse analysis of differential gut microbiota between GMK treated group and model group (LDA </w:t>
      </w:r>
      <w:r>
        <w:rPr>
          <w:rFonts w:ascii="Times New Roman" w:hAnsi="Times New Roman" w:cs="Times New Roman"/>
          <w:szCs w:val="21"/>
        </w:rPr>
        <w:t>&gt;</w:t>
      </w:r>
      <w:r>
        <w:rPr>
          <w:rFonts w:hint="eastAsia" w:ascii="Times New Roman" w:hAnsi="Times New Roman" w:cs="Times New Roman"/>
          <w:szCs w:val="21"/>
        </w:rPr>
        <w:t xml:space="preserve"> 2 was used); (D) STAMP analysis of differential gut microbiota between GMK treated group and model group (p </w:t>
      </w:r>
      <w:r>
        <w:rPr>
          <w:rFonts w:ascii="Times New Roman" w:hAnsi="Times New Roman" w:cs="Times New Roman"/>
          <w:szCs w:val="21"/>
        </w:rPr>
        <w:t>&lt;</w:t>
      </w:r>
      <w:r>
        <w:rPr>
          <w:rFonts w:hint="eastAsia" w:ascii="Times New Roman" w:hAnsi="Times New Roman" w:cs="Times New Roman"/>
          <w:szCs w:val="21"/>
        </w:rPr>
        <w:t xml:space="preserve"> 0.05 was used), n=7/group.</w:t>
      </w:r>
      <w:r>
        <w:rPr>
          <w:rFonts w:ascii="Times New Roman" w:hAnsi="Times New Roman" w:cs="Times New Roman"/>
          <w:szCs w:val="21"/>
        </w:rPr>
        <w:br w:type="page"/>
      </w:r>
    </w:p>
    <w:p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drawing>
          <wp:inline distT="0" distB="0" distL="114300" distR="114300">
            <wp:extent cx="4356735" cy="4869180"/>
            <wp:effectExtent l="0" t="0" r="5715" b="7620"/>
            <wp:docPr id="4" name="图片 4" descr="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Times New Roman" w:hAnsi="Times New Roman" w:cs="Times New Roman"/>
          <w:b/>
          <w:bCs/>
          <w:szCs w:val="21"/>
        </w:rPr>
        <w:t xml:space="preserve">Figure 7 Correlation analysis between gut microbiota and Th1/2, Treg / Th17 cell balance in eosinophilic asthma. </w:t>
      </w:r>
      <w:r>
        <w:rPr>
          <w:rFonts w:hint="eastAsia" w:ascii="Times New Roman" w:hAnsi="Times New Roman" w:cs="Times New Roman"/>
          <w:szCs w:val="21"/>
        </w:rPr>
        <w:t xml:space="preserve">(A) 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>C</w:t>
      </w:r>
      <w:r>
        <w:rPr>
          <w:rFonts w:ascii="Times New Roman" w:hAnsi="Times New Roman" w:eastAsia="宋体" w:cs="Times New Roman"/>
          <w:sz w:val="24"/>
          <w:shd w:val="clear" w:color="auto" w:fill="FFFFFF"/>
        </w:rPr>
        <w:t>orrelation analysis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between differential microbiota and Th1,Th2, Treg and Th17 cell percentage, Penh value, OVA-IgE antibody and eosinophil number in BALF.  (B) 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>C</w:t>
      </w:r>
      <w:r>
        <w:rPr>
          <w:rFonts w:ascii="Times New Roman" w:hAnsi="Times New Roman" w:eastAsia="宋体" w:cs="Times New Roman"/>
          <w:sz w:val="24"/>
          <w:shd w:val="clear" w:color="auto" w:fill="FFFFFF"/>
        </w:rPr>
        <w:t>orrelation analysis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 xml:space="preserve"> of diffenential metabolites and gut microbiota biomarker treated by Guominkang </w:t>
      </w:r>
      <w:r>
        <w:rPr>
          <w:rFonts w:hint="eastAsia" w:ascii="Times New Roman" w:hAnsi="Times New Roman" w:cs="Times New Roman"/>
          <w:szCs w:val="21"/>
        </w:rPr>
        <w:t>(n=5-6/group)</w:t>
      </w:r>
      <w:r>
        <w:rPr>
          <w:rFonts w:hint="eastAsia" w:ascii="Times New Roman" w:hAnsi="Times New Roman" w:eastAsia="宋体" w:cs="Times New Roman"/>
          <w:sz w:val="24"/>
          <w:shd w:val="clear" w:color="auto" w:fill="FFFFFF"/>
        </w:rPr>
        <w:t xml:space="preserve">. </w:t>
      </w:r>
      <w:r>
        <w:rPr>
          <w:rFonts w:ascii="Arial" w:hAnsi="Arial" w:cs="Arial"/>
          <w:szCs w:val="21"/>
        </w:rPr>
        <w:t>*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5, </w:t>
      </w:r>
      <w:r>
        <w:rPr>
          <w:rFonts w:hint="eastAsia" w:ascii="Arial" w:hAnsi="Arial" w:cs="Arial"/>
          <w:szCs w:val="21"/>
        </w:rPr>
        <w:t>**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&lt; 0.0</w:t>
      </w:r>
      <w:r>
        <w:rPr>
          <w:rFonts w:hint="eastAsia" w:ascii="Times New Roman" w:hAnsi="Times New Roman" w:cs="Times New Roman"/>
          <w:szCs w:val="21"/>
        </w:rPr>
        <w:t xml:space="preserve">1, </w:t>
      </w:r>
      <w:r>
        <w:rPr>
          <w:rFonts w:hint="eastAsia" w:ascii="Arial" w:hAnsi="Arial" w:cs="Arial"/>
          <w:szCs w:val="21"/>
        </w:rPr>
        <w:t>***</w:t>
      </w:r>
      <w:r>
        <w:rPr>
          <w:rFonts w:ascii="Arial" w:hAnsi="Arial" w:cs="Arial"/>
          <w:szCs w:val="21"/>
        </w:rPr>
        <w:t xml:space="preserve"> </w:t>
      </w:r>
      <w:r>
        <w:rPr>
          <w:rFonts w:ascii="Times New Roman" w:hAnsi="Times New Roman" w:cs="Times New Roman"/>
          <w:i/>
          <w:iCs/>
          <w:szCs w:val="21"/>
        </w:rPr>
        <w:t xml:space="preserve">p </w:t>
      </w:r>
      <w:r>
        <w:rPr>
          <w:rFonts w:ascii="Times New Roman" w:hAnsi="Times New Roman" w:cs="Times New Roman"/>
          <w:szCs w:val="21"/>
        </w:rPr>
        <w:t>≤ 0.001</w:t>
      </w:r>
      <w:r>
        <w:rPr>
          <w:rFonts w:hint="eastAsia" w:ascii="Times New Roman" w:hAnsi="Times New Roman" w:cs="Times New Roman"/>
          <w:szCs w:val="21"/>
        </w:rPr>
        <w:t>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ViMTM3YmI0YzU2YzI5Y2ZlN2I1YzIxNDFlYzkyNmQifQ=="/>
  </w:docVars>
  <w:rsids>
    <w:rsidRoot w:val="00AA1F7B"/>
    <w:rsid w:val="0053586A"/>
    <w:rsid w:val="009E6D05"/>
    <w:rsid w:val="00AA1F7B"/>
    <w:rsid w:val="00E952E0"/>
    <w:rsid w:val="396B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jpeg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577</Words>
  <Characters>2973</Characters>
  <Lines>25</Lines>
  <Paragraphs>7</Paragraphs>
  <TotalTime>1</TotalTime>
  <ScaleCrop>false</ScaleCrop>
  <LinksUpToDate>false</LinksUpToDate>
  <CharactersWithSpaces>3542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2022-06-24T11:12:00Z</dcterms:created>
  <dc:creator>QM11026</dc:creator>
  <cp:lastModifiedBy>周玉美</cp:lastModifiedBy>
  <dcterms:modified xsi:type="dcterms:W3CDTF">2022-06-25T00:17:19Z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6378BB0CC1BE4B44A675E7B0D492E809</vt:lpwstr>
  </property>
</Properties>
</file>