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43" w:rsidRDefault="00450610" w:rsidP="008B4CB5">
      <w:pPr>
        <w:adjustRightInd w:val="0"/>
        <w:snapToGrid w:val="0"/>
        <w:spacing w:line="480" w:lineRule="auto"/>
        <w:jc w:val="center"/>
        <w:rPr>
          <w:rFonts w:ascii="Times New Roman" w:eastAsia="新細明體" w:hAnsi="Times New Roman" w:cs="Times New Roman"/>
          <w:color w:val="000000" w:themeColor="text1"/>
          <w:szCs w:val="24"/>
        </w:rPr>
      </w:pPr>
      <w:r w:rsidRPr="00450610">
        <w:rPr>
          <w:rFonts w:ascii="Times New Roman" w:eastAsia="新細明體" w:hAnsi="Times New Roman" w:cs="Times New Roman"/>
          <w:b/>
          <w:szCs w:val="24"/>
        </w:rPr>
        <w:t>First-in-Human Pilot Trial of Combined Intracoronary and Intravenous Mesenchymal Stem Cell Therapy in Acute Myocardial Infarction</w:t>
      </w:r>
    </w:p>
    <w:p w:rsidR="00450610" w:rsidRDefault="00450610" w:rsidP="008B4CB5">
      <w:pPr>
        <w:adjustRightInd w:val="0"/>
        <w:snapToGrid w:val="0"/>
        <w:spacing w:line="480" w:lineRule="auto"/>
        <w:jc w:val="center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p w:rsidR="008B4CB5" w:rsidRPr="007A3E6A" w:rsidRDefault="008B4CB5" w:rsidP="008B4CB5">
      <w:pPr>
        <w:adjustRightInd w:val="0"/>
        <w:snapToGrid w:val="0"/>
        <w:spacing w:line="480" w:lineRule="auto"/>
        <w:jc w:val="center"/>
        <w:rPr>
          <w:rFonts w:ascii="Times New Roman" w:eastAsia="新細明體" w:hAnsi="Times New Roman" w:cs="Times New Roman"/>
          <w:color w:val="70AD47" w:themeColor="accent6"/>
          <w:szCs w:val="24"/>
        </w:rPr>
      </w:pPr>
      <w:bookmarkStart w:id="0" w:name="_GoBack"/>
      <w:bookmarkEnd w:id="0"/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Lien-Cheng Hsiao, 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>MD,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PhD,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 xml:space="preserve"> a, b*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Yen-Nien Lin, 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>MD,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 xml:space="preserve"> a, b*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Woei-Cherng Shyu, 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>MD,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 xml:space="preserve"> c, d*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Ming Ho,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e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Chiung-Ray Lu,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Shih-Sheng Chang, MD,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a, b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Yu-Chen Wang, MD,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a, b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Jan-Yow Chen, MD,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a, b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Shang-Yeh Lu,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Mei-Yao Wu MD,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f, g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Keng-Yuan Li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Yu-Kai Lin,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Wen-Yih I. Tseng, MD,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h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Mao-Yuan Su,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h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Chin-Ting Hsu, MS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d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Cheng-Kang Tsai, MS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d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Lu-Ting Chiu, MS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d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Chien-Lin Chen,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d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Cheng-Li Lin, MS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i, j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Kai-Chieh Hu, MS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i, j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Der-Yang Cho,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b, k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Chang-Hai Tsai,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MD,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l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, Kuan-Cheng Chang, 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>MD,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PhD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a, b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, and Long-Bin Jeng,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MD</w:t>
      </w: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  <w:vertAlign w:val="superscript"/>
        </w:rPr>
        <w:t>m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color w:val="70AD47" w:themeColor="accent6"/>
          <w:szCs w:val="24"/>
        </w:rPr>
      </w:pP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color w:val="70AD47" w:themeColor="accent6"/>
          <w:szCs w:val="24"/>
        </w:rPr>
      </w:pPr>
      <w:r w:rsidRPr="007A3E6A">
        <w:rPr>
          <w:rFonts w:ascii="Times New Roman" w:eastAsia="新細明體" w:hAnsi="Times New Roman" w:cs="Times New Roman"/>
          <w:szCs w:val="24"/>
        </w:rPr>
        <w:t>*</w:t>
      </w:r>
      <w:r w:rsidRPr="007A3E6A">
        <w:rPr>
          <w:rFonts w:ascii="Times New Roman" w:eastAsia="新細明體" w:hAnsi="Times New Roman" w:cs="Times New Roman" w:hint="eastAsia"/>
          <w:szCs w:val="24"/>
        </w:rPr>
        <w:t>D</w:t>
      </w:r>
      <w:r w:rsidRPr="007A3E6A">
        <w:rPr>
          <w:rFonts w:ascii="Times New Roman" w:eastAsia="新細明體" w:hAnsi="Times New Roman" w:cs="Times New Roman"/>
          <w:szCs w:val="24"/>
        </w:rPr>
        <w:t>rs Hsiao, Lin, and Shyu contributed equally to this work.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a</w:t>
      </w:r>
      <w:r w:rsidRPr="007A3E6A">
        <w:rPr>
          <w:rFonts w:ascii="Times New Roman" w:eastAsia="新細明體" w:hAnsi="Times New Roman" w:cs="Times New Roman"/>
          <w:szCs w:val="24"/>
        </w:rPr>
        <w:t xml:space="preserve">Division of Cardiovascular Medicine, Department of Medicine, China Medical University Hospital, Taichung 404332, TAIWAN 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b</w:t>
      </w:r>
      <w:r w:rsidRPr="007A3E6A">
        <w:rPr>
          <w:rFonts w:ascii="Times New Roman" w:eastAsia="新細明體" w:hAnsi="Times New Roman" w:cs="Times New Roman"/>
          <w:szCs w:val="24"/>
        </w:rPr>
        <w:t>Graduate Institute of Biomedical Sciences, China Medical University, Taichung 404333,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c</w:t>
      </w:r>
      <w:r w:rsidRPr="007A3E6A">
        <w:rPr>
          <w:rFonts w:ascii="Times New Roman" w:eastAsia="新細明體" w:hAnsi="Times New Roman" w:cs="Times New Roman"/>
          <w:szCs w:val="24"/>
        </w:rPr>
        <w:t>Department of Neurology and Translational Medicine Research Center, China Medical University Hospital, Taichung, 404332,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d</w:t>
      </w:r>
      <w:r w:rsidRPr="007A3E6A">
        <w:rPr>
          <w:rFonts w:ascii="Times New Roman" w:eastAsia="新細明體" w:hAnsi="Times New Roman" w:cs="Times New Roman"/>
          <w:szCs w:val="24"/>
        </w:rPr>
        <w:t>Ever Supreme Bio Technology Co., LTD, Taichung, 40</w:t>
      </w:r>
      <w:r w:rsidRPr="007A3E6A">
        <w:rPr>
          <w:rFonts w:ascii="Times New Roman" w:eastAsia="新細明體" w:hAnsi="Times New Roman" w:cs="Times New Roman" w:hint="eastAsia"/>
          <w:szCs w:val="24"/>
        </w:rPr>
        <w:t>3409</w:t>
      </w:r>
      <w:r w:rsidRPr="007A3E6A">
        <w:rPr>
          <w:rFonts w:ascii="Times New Roman" w:eastAsia="新細明體" w:hAnsi="Times New Roman" w:cs="Times New Roman"/>
          <w:szCs w:val="24"/>
        </w:rPr>
        <w:t xml:space="preserve">, TAIWAN 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e</w:t>
      </w:r>
      <w:r w:rsidRPr="007A3E6A">
        <w:rPr>
          <w:rFonts w:ascii="Times New Roman" w:eastAsia="新細明體" w:hAnsi="Times New Roman" w:cs="Times New Roman"/>
          <w:szCs w:val="24"/>
        </w:rPr>
        <w:t>Department of Gynecology and Obstetrics, China Medical University, Taichung 404332,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f</w:t>
      </w:r>
      <w:r w:rsidRPr="007A3E6A">
        <w:rPr>
          <w:rFonts w:ascii="Times New Roman" w:eastAsia="新細明體" w:hAnsi="Times New Roman" w:cs="Times New Roman"/>
          <w:szCs w:val="24"/>
        </w:rPr>
        <w:t>School of Post-Baccalaureate Chinese Medicine, China Medical University, Taichung 404333,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g</w:t>
      </w:r>
      <w:r w:rsidRPr="007A3E6A">
        <w:rPr>
          <w:rFonts w:ascii="Times New Roman" w:eastAsia="新細明體" w:hAnsi="Times New Roman" w:cs="Times New Roman"/>
          <w:szCs w:val="24"/>
        </w:rPr>
        <w:t xml:space="preserve">Department of Chinese Medicine, China Medical University Hospital, Taichung </w:t>
      </w:r>
      <w:r w:rsidRPr="007A3E6A">
        <w:rPr>
          <w:rFonts w:ascii="Times New Roman" w:eastAsia="新細明體" w:hAnsi="Times New Roman" w:cs="Times New Roman"/>
          <w:szCs w:val="24"/>
        </w:rPr>
        <w:lastRenderedPageBreak/>
        <w:t>404332,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h</w:t>
      </w:r>
      <w:r w:rsidRPr="007A3E6A">
        <w:rPr>
          <w:rFonts w:ascii="Times New Roman" w:eastAsia="新細明體" w:hAnsi="Times New Roman" w:cs="Times New Roman" w:hint="eastAsia"/>
          <w:szCs w:val="24"/>
        </w:rPr>
        <w:t>M</w:t>
      </w:r>
      <w:r w:rsidRPr="007A3E6A">
        <w:rPr>
          <w:rFonts w:ascii="Times New Roman" w:eastAsia="新細明體" w:hAnsi="Times New Roman" w:cs="Times New Roman"/>
          <w:szCs w:val="24"/>
        </w:rPr>
        <w:t>olecular Imaging Center</w:t>
      </w:r>
      <w:r w:rsidRPr="007A3E6A">
        <w:rPr>
          <w:rFonts w:ascii="Times New Roman" w:eastAsia="新細明體" w:hAnsi="Times New Roman" w:cs="Times New Roman" w:hint="eastAsia"/>
          <w:szCs w:val="24"/>
        </w:rPr>
        <w:t>, National Taiwan University,</w:t>
      </w:r>
      <w:r w:rsidRPr="007A3E6A">
        <w:rPr>
          <w:rFonts w:ascii="Times New Roman" w:eastAsia="新細明體" w:hAnsi="Times New Roman" w:cs="Times New Roman"/>
          <w:szCs w:val="24"/>
        </w:rPr>
        <w:t xml:space="preserve"> Taipei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szCs w:val="24"/>
        </w:rPr>
        <w:t>10672,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i</w:t>
      </w:r>
      <w:r w:rsidRPr="007A3E6A">
        <w:rPr>
          <w:rFonts w:ascii="Times New Roman" w:eastAsia="新細明體" w:hAnsi="Times New Roman" w:cs="Times New Roman"/>
          <w:szCs w:val="24"/>
        </w:rPr>
        <w:t xml:space="preserve">Management office for Health Data, China Medical University Hospital, Taichung 40447, TAIWAN 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j</w:t>
      </w:r>
      <w:r w:rsidRPr="007A3E6A">
        <w:rPr>
          <w:rFonts w:ascii="Times New Roman" w:eastAsia="新細明體" w:hAnsi="Times New Roman" w:cs="Times New Roman"/>
          <w:szCs w:val="24"/>
        </w:rPr>
        <w:t>College of Medicine, China Medical University, Taichung 404333, T</w:t>
      </w:r>
      <w:r w:rsidRPr="007A3E6A">
        <w:rPr>
          <w:rFonts w:ascii="Times New Roman" w:eastAsia="新細明體" w:hAnsi="Times New Roman" w:cs="Times New Roman" w:hint="eastAsia"/>
          <w:szCs w:val="24"/>
        </w:rPr>
        <w:t>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k</w:t>
      </w:r>
      <w:r w:rsidRPr="007A3E6A">
        <w:rPr>
          <w:rFonts w:ascii="Times New Roman" w:eastAsia="新細明體" w:hAnsi="Times New Roman" w:cs="Times New Roman"/>
          <w:szCs w:val="24"/>
        </w:rPr>
        <w:t>Department of Neurosurgery, China Medical University, Taichung 404333,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l</w:t>
      </w:r>
      <w:r w:rsidRPr="007A3E6A">
        <w:rPr>
          <w:rFonts w:ascii="Times New Roman" w:eastAsia="新細明體" w:hAnsi="Times New Roman" w:cs="Times New Roman"/>
          <w:szCs w:val="24"/>
        </w:rPr>
        <w:t>Department of Pediatrics, China Medical University, Taichung 404333,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  <w:vertAlign w:val="superscript"/>
        </w:rPr>
        <w:t>m</w:t>
      </w:r>
      <w:r w:rsidRPr="007A3E6A">
        <w:rPr>
          <w:rFonts w:ascii="Times New Roman" w:eastAsia="新細明體" w:hAnsi="Times New Roman" w:cs="Times New Roman"/>
          <w:bCs/>
          <w:szCs w:val="24"/>
        </w:rPr>
        <w:t>Organ Transplantation Center, China Medical University Hospital, </w:t>
      </w:r>
      <w:r w:rsidRPr="007A3E6A">
        <w:rPr>
          <w:rFonts w:ascii="Times New Roman" w:eastAsia="新細明體" w:hAnsi="Times New Roman" w:cs="Times New Roman"/>
          <w:szCs w:val="24"/>
        </w:rPr>
        <w:t>Taichung 40447, TAIWAN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8B4CB5" w:rsidRPr="007A3E6A" w:rsidRDefault="008B4CB5">
      <w:pPr>
        <w:widowControl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szCs w:val="24"/>
        </w:rPr>
        <w:br w:type="page"/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</w:rPr>
        <w:lastRenderedPageBreak/>
        <w:t>Supplementary methods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</w:rPr>
        <w:t>Study design and patients-inclusion and exclusion criteria</w:t>
      </w:r>
    </w:p>
    <w:p w:rsidR="008B4CB5" w:rsidRPr="007A3E6A" w:rsidRDefault="008B4CB5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7A3E6A">
        <w:rPr>
          <w:rFonts w:ascii="Times New Roman" w:eastAsia="新細明體" w:hAnsi="Times New Roman" w:cs="Times New Roman"/>
          <w:szCs w:val="24"/>
        </w:rPr>
        <w:t>Patients had to meet the inclusion criteria as follows: (1) Male or female, aged between 20 and 76 years on the date of consent; (2) Patients who presented with typical ischemic ch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est pain within 12 hours of symptom onset and were diagnosed with acute STEMI according to the 2013 American College of Cardiology (ACC) Foundation/American Heart Association (AHA) guidelines for the Management of </w:t>
      </w:r>
      <w:r w:rsidRPr="007A3E6A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STEMI; (3) 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Patients who underwent standard-of-care treatment for STEMI, where the immediate reperfusion management should include primary PCI and adjunctive antithrombotic therapy within 12 hours after symptom onset; (4) Patients who underwent successful acute reperfusion therapy (residual stenosis visually &lt; 50%) and thrombolysis in myocardial infarction (TIMI) flow ≥ 2 with placement of an IC stent</w:t>
      </w:r>
      <w:r w:rsidRPr="007A3E6A">
        <w:rPr>
          <w:rFonts w:ascii="Times New Roman" w:hAnsi="Times New Roman"/>
          <w:color w:val="000000" w:themeColor="text1"/>
        </w:rPr>
        <w:t xml:space="preserve"> 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and have a patent infarct-related artery that is suitable for cell infusion to the target area of abnormal wall motion following myocardial infarction; (5) Patients with LVEF ≥ 30% and &lt; 50% determined by an echocardiogram according to the standard procedure as previously reported</w:t>
      </w:r>
      <w:r w:rsidR="002D64E3" w:rsidRPr="007A3E6A">
        <w:rPr>
          <w:rFonts w:ascii="Times New Roman" w:eastAsia="新細明體" w:hAnsi="Times New Roman" w:cs="Times New Roman"/>
          <w:color w:val="000000" w:themeColor="text1"/>
          <w:szCs w:val="24"/>
        </w:rPr>
        <w:t>;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begin"/>
      </w:r>
      <w:r w:rsidR="002D64E3" w:rsidRPr="007A3E6A">
        <w:rPr>
          <w:rFonts w:ascii="Times New Roman" w:eastAsia="新細明體" w:hAnsi="Times New Roman" w:cs="Times New Roman"/>
          <w:color w:val="000000" w:themeColor="text1"/>
          <w:szCs w:val="24"/>
        </w:rPr>
        <w:instrText xml:space="preserve"> ADDIN EN.CITE &lt;EndNote&gt;&lt;Cite&gt;&lt;Author&gt;Cerqueira&lt;/Author&gt;&lt;Year&gt;2002&lt;/Year&gt;&lt;RecNum&gt;34&lt;/RecNum&gt;&lt;DisplayText&gt;&lt;style face="superscript"&gt;1&lt;/style&gt;&lt;/DisplayText&gt;&lt;record&gt;&lt;rec-number&gt;34&lt;/rec-number&gt;&lt;foreign-keys&gt;&lt;key app="EN" db-id="ep2s5p5a9rdpdse5ep1xx2rywtatp02xasrr" timestamp="1643735039"&gt;34&lt;/key&gt;&lt;/foreign-keys&gt;&lt;ref-type name="Journal Article"&gt;17&lt;/ref-type&gt;&lt;contributors&gt;&lt;authors&gt;&lt;author&gt;Cerqueira, M. D.&lt;/author&gt;&lt;author&gt;Weissman, N. J.&lt;/author&gt;&lt;author&gt;Dilsizian, V.&lt;/author&gt;&lt;author&gt;Jacobs, A. K.&lt;/author&gt;&lt;author&gt;Kaul, S.&lt;/author&gt;&lt;author&gt;Laskey, W. K.&lt;/author&gt;&lt;author&gt;Pennell, D. J.&lt;/author&gt;&lt;author&gt;Rumberger, J. A.&lt;/author&gt;&lt;author&gt;Ryan, T.&lt;/author&gt;&lt;author&gt;Verani, M. S.&lt;/author&gt;&lt;/authors&gt;&lt;/contributors&gt;&lt;auth-address&gt;American Society of Nuclear Cardiology, USA.&lt;/auth-address&gt;&lt;titles&gt;&lt;title&gt;Standardized myocardial segmentation and nomenclature for tomographic imaging of the heart. A statement for healthcare professionals from the Cardiac Imaging Committee of the Council on Clinical Cardiology of the American Heart Association&lt;/title&gt;&lt;secondary-title&gt;Circulation&lt;/secondary-title&gt;&lt;/titles&gt;&lt;periodical&gt;&lt;full-title&gt;Circulation&lt;/full-title&gt;&lt;/periodical&gt;&lt;pages&gt;539-42&lt;/pages&gt;&lt;volume&gt;105&lt;/volume&gt;&lt;number&gt;4&lt;/number&gt;&lt;edition&gt;2002/01/30&lt;/edition&gt;&lt;keywords&gt;&lt;keyword&gt;Coronary Vessels/*anatomy &amp;amp; histology&lt;/keyword&gt;&lt;keyword&gt;Heart/*anatomy &amp;amp; histology&lt;/keyword&gt;&lt;keyword&gt;Heart Diseases/diagnosis&lt;/keyword&gt;&lt;keyword&gt;Humans&lt;/keyword&gt;&lt;keyword&gt;*Terminology as Topic&lt;/keyword&gt;&lt;keyword&gt;Tomography/*standards&lt;/keyword&gt;&lt;/keywords&gt;&lt;dates&gt;&lt;year&gt;2002&lt;/year&gt;&lt;pub-dates&gt;&lt;date&gt;Jan 29&lt;/date&gt;&lt;/pub-dates&gt;&lt;/dates&gt;&lt;isbn&gt;0009-7322&lt;/isbn&gt;&lt;accession-num&gt;11815441&lt;/accession-num&gt;&lt;urls&gt;&lt;/urls&gt;&lt;electronic-resource-num&gt;10.1161/hc0402.102975&lt;/electronic-resource-num&gt;&lt;remote-database-provider&gt;NLM&lt;/remote-database-provider&gt;&lt;language&gt;eng&lt;/language&gt;&lt;/record&gt;&lt;/Cite&gt;&lt;/EndNote&gt;</w:instrTex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separate"/>
      </w:r>
      <w:r w:rsidR="002D64E3" w:rsidRPr="007A3E6A">
        <w:rPr>
          <w:rFonts w:ascii="Times New Roman" w:eastAsia="新細明體" w:hAnsi="Times New Roman" w:cs="Times New Roman"/>
          <w:noProof/>
          <w:color w:val="000000" w:themeColor="text1"/>
          <w:szCs w:val="24"/>
          <w:vertAlign w:val="superscript"/>
        </w:rPr>
        <w:t>1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fldChar w:fldCharType="end"/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(6) Patients who were willing to sign the informed consent or assent by the next of kin; (7) Patients with stable vital signs f</w:t>
      </w:r>
      <w:r w:rsidRPr="007A3E6A">
        <w:rPr>
          <w:rFonts w:ascii="Times New Roman" w:eastAsia="新細明體" w:hAnsi="Times New Roman" w:cs="Times New Roman"/>
          <w:szCs w:val="24"/>
        </w:rPr>
        <w:t xml:space="preserve">or at least 48 hours, defined as normal respiration, afebrile, systolic pressure ≥ 90 mmHg and &lt; 180 mmHg, heart rate &gt; 50/min and &lt; 110/min; (8) Adequate pulmonary function test defined as a forced expiratory volume in 1 second (FEV1) &gt; 50% predicted and peripheral artery oxygen saturation ≥ 95% at room air; and (9) All male patients and female patients with child-bearing potential (between puberty and 2 years after menopause) should use appropriate contraception method(s). The exclusion criteria were the following: (1) </w:t>
      </w:r>
      <w:r w:rsidRPr="007A3E6A">
        <w:rPr>
          <w:rFonts w:ascii="Times New Roman" w:eastAsia="新細明體" w:hAnsi="Times New Roman" w:cs="Times New Roman"/>
          <w:kern w:val="0"/>
          <w:szCs w:val="24"/>
        </w:rPr>
        <w:t xml:space="preserve">Patients with cardiogenic shock (defined as systolic blood pressure &lt; 80 mmHg requiring vasopressors, intra-aortic balloon pump [IABP] or extracorporeal membrane oxygenation); (2) Patients </w:t>
      </w:r>
      <w:r w:rsidRPr="007A3E6A">
        <w:rPr>
          <w:rFonts w:ascii="Times New Roman" w:eastAsia="新細明體" w:hAnsi="Times New Roman" w:cs="Times New Roman"/>
          <w:kern w:val="0"/>
          <w:szCs w:val="24"/>
        </w:rPr>
        <w:lastRenderedPageBreak/>
        <w:t>with severe aortic stenosis or regurgitation according to the recommendation of the 2014 AHA/ACC guideline for the Management of Patients with Valvular Heart Disease; (3) Patients with severe mitral stenosis or regurgitation according to the recommendation of the 2014 AHA/ACC guideline for the Management of Patients with Valvular Heart Disease; (4) Patients who require staged PCI or coronary artery bypass graft surgery; (5) Patients with immuno-compromised conditions, known autoimmune conditions, or receiving immunosuppressive treatments; (6) Patients who are unable to undergo CMRI scan for any reason; (7) Patients with inadequate hepatic and renal function after the onset of AMI, defined as aspartate aminotransferase and alanine aminotransferase ≥ 4 × upper limit of normal and estimated glomerular filtration rate &lt; 30 mL/min, respectively; (8) Patients with a history of malignant tumor or other clinically significant cardiovascular diseases that will confound the results of this study; (9) Patients who participated in other clinical trials in the last 3 months; and (10) Patients not suitable to participate in this trial as judged by the investigator(s).</w:t>
      </w:r>
    </w:p>
    <w:p w:rsidR="00E24BE0" w:rsidRPr="007A3E6A" w:rsidRDefault="00E24BE0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kern w:val="0"/>
          <w:szCs w:val="24"/>
        </w:rPr>
      </w:pPr>
    </w:p>
    <w:p w:rsidR="00E24BE0" w:rsidRPr="007A3E6A" w:rsidRDefault="00E24BE0" w:rsidP="00E24BE0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b/>
          <w:iCs/>
          <w:szCs w:val="24"/>
        </w:rPr>
      </w:pPr>
      <w:r w:rsidRPr="007A3E6A">
        <w:rPr>
          <w:rFonts w:ascii="Times New Roman" w:eastAsia="新細明體" w:hAnsi="Times New Roman" w:cs="Times New Roman"/>
          <w:b/>
          <w:iCs/>
          <w:szCs w:val="24"/>
        </w:rPr>
        <w:t>Preparation of UMSC01</w:t>
      </w:r>
    </w:p>
    <w:p w:rsidR="00E24BE0" w:rsidRPr="007A3E6A" w:rsidRDefault="00E24BE0" w:rsidP="00E24BE0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szCs w:val="24"/>
        </w:rPr>
        <w:t>The umbilical cord from an eligible donor who consented to its us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e </w:t>
      </w:r>
      <w:r w:rsidRPr="007A3E6A">
        <w:rPr>
          <w:rFonts w:ascii="Times New Roman" w:eastAsia="新細明體" w:hAnsi="Times New Roman" w:cs="Times New Roman" w:hint="eastAsia"/>
          <w:color w:val="000000" w:themeColor="text1"/>
          <w:szCs w:val="24"/>
        </w:rPr>
        <w:t>by</w:t>
      </w:r>
      <w:r w:rsidRPr="007A3E6A">
        <w:rPr>
          <w:rFonts w:ascii="Times New Roman" w:eastAsia="新細明體" w:hAnsi="Times New Roman" w:cs="Times New Roman"/>
          <w:color w:val="000000" w:themeColor="text1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szCs w:val="24"/>
        </w:rPr>
        <w:t xml:space="preserve">UMSC01 production was cut with a sterile scalpel to 1 cm in length after removing the blood vessels. The umbilical 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cord </w:t>
      </w:r>
      <w:r w:rsidRPr="007A3E6A">
        <w:rPr>
          <w:rFonts w:ascii="Times New Roman" w:eastAsia="新細明體" w:hAnsi="Times New Roman" w:cs="Times New Roman"/>
          <w:szCs w:val="24"/>
        </w:rPr>
        <w:t>tissue was washed with Hank’s Balanced Salt Solution (Biological Industries), chopped into small pieces (~1 mm</w:t>
      </w:r>
      <w:r w:rsidRPr="007A3E6A">
        <w:rPr>
          <w:rFonts w:ascii="Times New Roman" w:eastAsia="新細明體" w:hAnsi="Times New Roman" w:cs="Times New Roman"/>
          <w:szCs w:val="24"/>
          <w:vertAlign w:val="superscript"/>
        </w:rPr>
        <w:t>3</w:t>
      </w:r>
      <w:r w:rsidRPr="007A3E6A">
        <w:rPr>
          <w:rFonts w:ascii="Times New Roman" w:eastAsia="新細明體" w:hAnsi="Times New Roman" w:cs="Times New Roman"/>
          <w:szCs w:val="24"/>
        </w:rPr>
        <w:t xml:space="preserve">), and digested using collagenase type I (2 mL/cm of cord length; Thermo Fisher) in an incubator at 37°C for 2 h. Dulbecco's phosphate-buffered saline was mixed with the umbilical </w:t>
      </w:r>
      <w:r w:rsidRPr="007A3E6A">
        <w:rPr>
          <w:rFonts w:ascii="Times New Roman" w:eastAsia="新細明體" w:hAnsi="Times New Roman" w:cs="Times New Roman" w:hint="eastAsia"/>
          <w:szCs w:val="24"/>
        </w:rPr>
        <w:t>cord explant</w:t>
      </w:r>
      <w:r w:rsidRPr="007A3E6A">
        <w:rPr>
          <w:rFonts w:ascii="Times New Roman" w:eastAsia="新細明體" w:hAnsi="Times New Roman" w:cs="Times New Roman"/>
          <w:szCs w:val="24"/>
        </w:rPr>
        <w:t xml:space="preserve"> and filtered using 100 μm cell strainers and centrifuged; the final cell pellet was resuspended in a 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culture </w:t>
      </w:r>
      <w:r w:rsidRPr="007A3E6A">
        <w:rPr>
          <w:rFonts w:ascii="Times New Roman" w:eastAsia="新細明體" w:hAnsi="Times New Roman" w:cs="Times New Roman"/>
          <w:szCs w:val="24"/>
        </w:rPr>
        <w:t>medium (Biological Industries)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7A3E6A">
        <w:rPr>
          <w:rFonts w:ascii="Times New Roman" w:eastAsia="新細明體" w:hAnsi="Times New Roman" w:cs="Times New Roman"/>
          <w:szCs w:val="24"/>
        </w:rPr>
        <w:t>supplemented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 with platelet rich plasma (UltraGRO</w:t>
      </w:r>
      <w:r w:rsidRPr="007A3E6A">
        <w:rPr>
          <w:rFonts w:ascii="Times New Roman" w:eastAsia="新細明體" w:hAnsi="Times New Roman" w:cs="Times New Roman" w:hint="eastAsia"/>
          <w:szCs w:val="24"/>
          <w:vertAlign w:val="superscript"/>
        </w:rPr>
        <w:t>TM</w:t>
      </w:r>
      <w:r w:rsidRPr="007A3E6A">
        <w:rPr>
          <w:rFonts w:ascii="Times New Roman" w:eastAsia="新細明體" w:hAnsi="Times New Roman" w:cs="Times New Roman" w:hint="eastAsia"/>
          <w:szCs w:val="24"/>
        </w:rPr>
        <w:t>-Advanced, AventaCell)</w:t>
      </w:r>
      <w:r w:rsidRPr="007A3E6A">
        <w:rPr>
          <w:rFonts w:ascii="Times New Roman" w:eastAsia="新細明體" w:hAnsi="Times New Roman" w:cs="Times New Roman"/>
          <w:szCs w:val="24"/>
        </w:rPr>
        <w:t xml:space="preserve"> and cultured </w:t>
      </w:r>
      <w:r w:rsidRPr="007A3E6A">
        <w:rPr>
          <w:rFonts w:ascii="Times New Roman" w:eastAsia="新細明體" w:hAnsi="Times New Roman" w:cs="Times New Roman" w:hint="eastAsia"/>
          <w:szCs w:val="24"/>
        </w:rPr>
        <w:t>on</w:t>
      </w:r>
      <w:r w:rsidRPr="007A3E6A">
        <w:rPr>
          <w:rFonts w:ascii="Times New Roman" w:eastAsia="新細明體" w:hAnsi="Times New Roman" w:cs="Times New Roman"/>
          <w:szCs w:val="24"/>
        </w:rPr>
        <w:t xml:space="preserve"> a CellBind-coated </w:t>
      </w:r>
      <w:r w:rsidRPr="007A3E6A">
        <w:rPr>
          <w:rFonts w:ascii="Times New Roman" w:eastAsia="新細明體" w:hAnsi="Times New Roman" w:cs="Times New Roman"/>
          <w:szCs w:val="24"/>
        </w:rPr>
        <w:lastRenderedPageBreak/>
        <w:t>25T Flask (Corning) in a 37°C, 5% CO</w:t>
      </w:r>
      <w:r w:rsidRPr="007A3E6A">
        <w:rPr>
          <w:rFonts w:ascii="Times New Roman" w:eastAsia="新細明體" w:hAnsi="Times New Roman" w:cs="Times New Roman"/>
          <w:szCs w:val="24"/>
          <w:vertAlign w:val="subscript"/>
        </w:rPr>
        <w:t>2</w:t>
      </w:r>
      <w:r w:rsidRPr="007A3E6A">
        <w:rPr>
          <w:rFonts w:ascii="Times New Roman" w:eastAsia="新細明體" w:hAnsi="Times New Roman" w:cs="Times New Roman"/>
          <w:szCs w:val="24"/>
        </w:rPr>
        <w:t xml:space="preserve"> incubator. Metabolic waste was removed and replenished every 3-4 d by replacing the growth medium. When the cells reached 95% confluence, they were detached using TrypLE (Thermo Fisher Scientific Inc.) and seeded in a hyperflask at a density of 2000-4000 cells/cm</w:t>
      </w:r>
      <w:r w:rsidRPr="007A3E6A">
        <w:rPr>
          <w:rFonts w:ascii="Times New Roman" w:eastAsia="新細明體" w:hAnsi="Times New Roman" w:cs="Times New Roman"/>
          <w:szCs w:val="24"/>
          <w:vertAlign w:val="superscript"/>
        </w:rPr>
        <w:t>2</w:t>
      </w:r>
      <w:r w:rsidRPr="007A3E6A">
        <w:rPr>
          <w:rFonts w:ascii="Times New Roman" w:eastAsia="新細明體" w:hAnsi="Times New Roman" w:cs="Times New Roman"/>
          <w:szCs w:val="24"/>
        </w:rPr>
        <w:t xml:space="preserve"> in a 5% CO</w:t>
      </w:r>
      <w:r w:rsidRPr="007A3E6A">
        <w:rPr>
          <w:rFonts w:ascii="Times New Roman" w:eastAsia="新細明體" w:hAnsi="Times New Roman" w:cs="Times New Roman"/>
          <w:szCs w:val="24"/>
          <w:vertAlign w:val="subscript"/>
        </w:rPr>
        <w:t>2</w:t>
      </w:r>
      <w:r w:rsidRPr="007A3E6A">
        <w:rPr>
          <w:rFonts w:ascii="Times New Roman" w:eastAsia="新細明體" w:hAnsi="Times New Roman" w:cs="Times New Roman"/>
          <w:szCs w:val="24"/>
        </w:rPr>
        <w:t xml:space="preserve"> incubator at 37°C for 2-4 passages (approximately 6-8 weeks) for the final harvest. Cells were washed and detached with TrypLE, and the cell pellet was resuspended at a cell density of ~1.0 × 10</w:t>
      </w:r>
      <w:r w:rsidRPr="007A3E6A">
        <w:rPr>
          <w:rFonts w:ascii="Times New Roman" w:eastAsia="新細明體" w:hAnsi="Times New Roman" w:cs="Times New Roman"/>
          <w:szCs w:val="24"/>
          <w:vertAlign w:val="superscript"/>
        </w:rPr>
        <w:t>7</w:t>
      </w:r>
      <w:r w:rsidRPr="007A3E6A">
        <w:rPr>
          <w:rFonts w:ascii="Times New Roman" w:eastAsia="新細明體" w:hAnsi="Times New Roman" w:cs="Times New Roman"/>
          <w:szCs w:val="24"/>
        </w:rPr>
        <w:t xml:space="preserve"> cells/mL in a 1:1 ratio of CS10 (Biolife Solution Inc., WA, USA) and albumin (CSL Behring). 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Some of the cells (drug substance) were subjected </w:t>
      </w:r>
      <w:r w:rsidRPr="007A3E6A">
        <w:rPr>
          <w:rFonts w:ascii="Times New Roman" w:eastAsia="新細明體" w:hAnsi="Times New Roman" w:cs="Times New Roman"/>
          <w:szCs w:val="24"/>
        </w:rPr>
        <w:t>to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 microbiological tests (sterility test and mycoplasma examination). </w:t>
      </w:r>
      <w:r w:rsidRPr="007A3E6A">
        <w:rPr>
          <w:rFonts w:ascii="Times New Roman" w:eastAsia="新細明體" w:hAnsi="Times New Roman" w:cs="Times New Roman"/>
          <w:szCs w:val="24"/>
        </w:rPr>
        <w:t xml:space="preserve">The </w:t>
      </w:r>
      <w:r w:rsidRPr="007A3E6A">
        <w:rPr>
          <w:rFonts w:ascii="Times New Roman" w:eastAsia="新細明體" w:hAnsi="Times New Roman" w:cs="Times New Roman" w:hint="eastAsia"/>
          <w:szCs w:val="24"/>
        </w:rPr>
        <w:t xml:space="preserve">final </w:t>
      </w:r>
      <w:r w:rsidRPr="007A3E6A">
        <w:rPr>
          <w:rFonts w:ascii="Times New Roman" w:eastAsia="新細明體" w:hAnsi="Times New Roman" w:cs="Times New Roman"/>
          <w:szCs w:val="24"/>
        </w:rPr>
        <w:t xml:space="preserve">cell suspension was then </w:t>
      </w:r>
      <w:r w:rsidRPr="007A3E6A">
        <w:rPr>
          <w:rFonts w:ascii="Times New Roman" w:eastAsia="新細明體" w:hAnsi="Times New Roman" w:cs="Times New Roman" w:hint="eastAsia"/>
          <w:szCs w:val="24"/>
        </w:rPr>
        <w:t>cryo</w:t>
      </w:r>
      <w:r w:rsidRPr="007A3E6A">
        <w:rPr>
          <w:rFonts w:ascii="Times New Roman" w:eastAsia="新細明體" w:hAnsi="Times New Roman" w:cs="Times New Roman"/>
          <w:szCs w:val="24"/>
        </w:rPr>
        <w:t>preserved in a liquid nitrogen cell tank for further clinical use.</w:t>
      </w:r>
    </w:p>
    <w:p w:rsidR="00E24BE0" w:rsidRPr="007A3E6A" w:rsidRDefault="00E24BE0" w:rsidP="008B4CB5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7A3E6A" w:rsidRPr="007A3E6A" w:rsidRDefault="007A3E6A" w:rsidP="007A3E6A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b/>
          <w:szCs w:val="24"/>
        </w:rPr>
      </w:pPr>
      <w:r w:rsidRPr="007A3E6A">
        <w:rPr>
          <w:rFonts w:ascii="Times New Roman" w:eastAsia="新細明體" w:hAnsi="Times New Roman" w:cs="Times New Roman"/>
          <w:b/>
          <w:color w:val="000000" w:themeColor="text1"/>
          <w:szCs w:val="24"/>
        </w:rPr>
        <w:t>Laboratory tests</w:t>
      </w:r>
      <w:r w:rsidRPr="007A3E6A">
        <w:rPr>
          <w:rFonts w:ascii="Times New Roman" w:eastAsia="新細明體" w:hAnsi="Times New Roman" w:cs="Times New Roman"/>
          <w:b/>
          <w:szCs w:val="24"/>
        </w:rPr>
        <w:t xml:space="preserve"> and cardiac magnetic resonance imaging (Supplementary Methods)</w:t>
      </w:r>
    </w:p>
    <w:p w:rsidR="007A3E6A" w:rsidRPr="007A3E6A" w:rsidRDefault="007A3E6A" w:rsidP="007A3E6A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  <w:r w:rsidRPr="007A3E6A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ab/>
        <w:t>An immunoassay was conducted to monitor for immunogenicity of the product after transplantation, by testing for the following: CD3, CD4, CD8, IgM, IgG, anti-HLA antibodies,</w:t>
      </w:r>
      <w:r w:rsidRPr="007A3E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and </w:t>
      </w:r>
      <w:r w:rsidRPr="007A3E6A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panel reactive antibody assay. CEA tests were conducted to evaluate for tumorigenicity at </w:t>
      </w:r>
      <w:r w:rsidRPr="007A3E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baseline and each visit. Serum </w:t>
      </w:r>
      <w:r w:rsidRPr="007A3E6A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levels of NT-pro-BNP were tested prior to UMSC01 administration as </w:t>
      </w:r>
      <w:r w:rsidRPr="007A3E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baseline evaluation, prior to discharge from the hospital and at 1-, 3-, 6-, and 12-month </w:t>
      </w:r>
      <w:r w:rsidRPr="007A3E6A"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  <w:t xml:space="preserve">follow-ups for efficacy evaluation. Pulmonary function tests were performed to monitor for potential adverse changes associated with treatment in the </w:t>
      </w:r>
      <w:r w:rsidRPr="007A3E6A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subjects. </w:t>
      </w:r>
    </w:p>
    <w:p w:rsidR="00E24BE0" w:rsidRDefault="007A3E6A" w:rsidP="007A3E6A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  <w:r w:rsidRPr="007A3E6A">
        <w:rPr>
          <w:rFonts w:ascii="Times New Roman" w:eastAsia="新細明體" w:hAnsi="Times New Roman" w:cs="Times New Roman"/>
          <w:b/>
          <w:szCs w:val="24"/>
        </w:rPr>
        <w:tab/>
      </w:r>
      <w:r w:rsidRPr="007A3E6A">
        <w:rPr>
          <w:rFonts w:ascii="Times New Roman" w:eastAsia="新細明體" w:hAnsi="Times New Roman" w:cs="Times New Roman"/>
          <w:szCs w:val="24"/>
        </w:rPr>
        <w:t>Cardiac magnetic resonance imaging (CMRI) was performed using the 1.5-T Magnetom Aera (Siemens Healthcare, Erlangen, Germany) with a 30-channel cardiac coil array according to a standard operation procedure reported previously.</w:t>
      </w:r>
      <w:r w:rsidR="00417C43" w:rsidRPr="00417C43">
        <w:rPr>
          <w:rFonts w:ascii="Times New Roman" w:eastAsia="新細明體" w:hAnsi="Times New Roman" w:cs="Times New Roman"/>
          <w:szCs w:val="24"/>
        </w:rPr>
        <w:fldChar w:fldCharType="begin">
          <w:fldData xml:space="preserve">PEVuZE5vdGU+PENpdGU+PEF1dGhvcj5CZWlqbmluazwvQXV0aG9yPjxZZWFyPjIwMjE8L1llYXI+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==
</w:fldData>
        </w:fldChar>
      </w:r>
      <w:r w:rsidR="00417C43">
        <w:rPr>
          <w:rFonts w:ascii="Times New Roman" w:eastAsia="新細明體" w:hAnsi="Times New Roman" w:cs="Times New Roman"/>
          <w:szCs w:val="24"/>
        </w:rPr>
        <w:instrText xml:space="preserve"> ADDIN EN.CITE </w:instrText>
      </w:r>
      <w:r w:rsidR="00417C43">
        <w:rPr>
          <w:rFonts w:ascii="Times New Roman" w:eastAsia="新細明體" w:hAnsi="Times New Roman" w:cs="Times New Roman"/>
          <w:szCs w:val="24"/>
        </w:rPr>
        <w:fldChar w:fldCharType="begin">
          <w:fldData xml:space="preserve">PEVuZE5vdGU+PENpdGU+PEF1dGhvcj5CZWlqbmluazwvQXV0aG9yPjxZZWFyPjIwMjE8L1llYXI+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==
</w:fldData>
        </w:fldChar>
      </w:r>
      <w:r w:rsidR="00417C43">
        <w:rPr>
          <w:rFonts w:ascii="Times New Roman" w:eastAsia="新細明體" w:hAnsi="Times New Roman" w:cs="Times New Roman"/>
          <w:szCs w:val="24"/>
        </w:rPr>
        <w:instrText xml:space="preserve"> ADDIN EN.CITE.DATA </w:instrText>
      </w:r>
      <w:r w:rsidR="00417C43">
        <w:rPr>
          <w:rFonts w:ascii="Times New Roman" w:eastAsia="新細明體" w:hAnsi="Times New Roman" w:cs="Times New Roman"/>
          <w:szCs w:val="24"/>
        </w:rPr>
      </w:r>
      <w:r w:rsidR="00417C43">
        <w:rPr>
          <w:rFonts w:ascii="Times New Roman" w:eastAsia="新細明體" w:hAnsi="Times New Roman" w:cs="Times New Roman"/>
          <w:szCs w:val="24"/>
        </w:rPr>
        <w:fldChar w:fldCharType="end"/>
      </w:r>
      <w:r w:rsidR="00417C43" w:rsidRPr="00417C43">
        <w:rPr>
          <w:rFonts w:ascii="Times New Roman" w:eastAsia="新細明體" w:hAnsi="Times New Roman" w:cs="Times New Roman"/>
          <w:szCs w:val="24"/>
        </w:rPr>
      </w:r>
      <w:r w:rsidR="00417C43" w:rsidRPr="00417C43">
        <w:rPr>
          <w:rFonts w:ascii="Times New Roman" w:eastAsia="新細明體" w:hAnsi="Times New Roman" w:cs="Times New Roman"/>
          <w:szCs w:val="24"/>
        </w:rPr>
        <w:fldChar w:fldCharType="separate"/>
      </w:r>
      <w:r w:rsidR="00417C43" w:rsidRPr="00417C43">
        <w:rPr>
          <w:rFonts w:ascii="Times New Roman" w:eastAsia="新細明體" w:hAnsi="Times New Roman" w:cs="Times New Roman"/>
          <w:noProof/>
          <w:szCs w:val="24"/>
          <w:vertAlign w:val="superscript"/>
        </w:rPr>
        <w:t>2</w:t>
      </w:r>
      <w:r w:rsidR="00417C43" w:rsidRPr="00417C43">
        <w:rPr>
          <w:rFonts w:ascii="Times New Roman" w:eastAsia="新細明體" w:hAnsi="Times New Roman" w:cs="Times New Roman"/>
          <w:szCs w:val="24"/>
        </w:rPr>
        <w:fldChar w:fldCharType="end"/>
      </w:r>
      <w:r w:rsidRPr="007A3E6A">
        <w:rPr>
          <w:rFonts w:ascii="Times New Roman" w:eastAsia="新細明體" w:hAnsi="Times New Roman" w:cs="Times New Roman"/>
          <w:szCs w:val="24"/>
        </w:rPr>
        <w:t xml:space="preserve"> Briefly, myocardial T1 mapping was performed using an ECG-triggered modified Look-Locker </w:t>
      </w:r>
      <w:r w:rsidRPr="007A3E6A">
        <w:rPr>
          <w:rFonts w:ascii="Times New Roman" w:eastAsia="新細明體" w:hAnsi="Times New Roman" w:cs="Times New Roman"/>
          <w:szCs w:val="24"/>
        </w:rPr>
        <w:lastRenderedPageBreak/>
        <w:t>inversion recovery (MOLLI) pulse sequence before and 10 min after 0.15 mmol/kg IV administration of the gadolinium-based contrast agent (Dotarem, Guerbet, France). The MOLLI protocol used a 5(3)3 sampling scheme for native T1 mapping and a 4(1)3(1)2 sampling scheme for post-contrast T1 mapping. After post-contrast T1 acquisition, LGE images were obtained using an ECG-triggered phase-sensitive inversion recovery prepared segmented fast gradient-echo pulse sequence to identify focal fibrosis or scarring.</w:t>
      </w:r>
    </w:p>
    <w:p w:rsidR="00815391" w:rsidRPr="007A3E6A" w:rsidRDefault="00815391" w:rsidP="007A3E6A">
      <w:pPr>
        <w:adjustRightInd w:val="0"/>
        <w:snapToGrid w:val="0"/>
        <w:spacing w:line="480" w:lineRule="auto"/>
        <w:jc w:val="both"/>
        <w:rPr>
          <w:rFonts w:ascii="Times New Roman" w:eastAsia="新細明體" w:hAnsi="Times New Roman" w:cs="Times New Roman"/>
          <w:szCs w:val="24"/>
        </w:rPr>
      </w:pPr>
    </w:p>
    <w:p w:rsidR="008B4CB5" w:rsidRPr="00815391" w:rsidRDefault="007E0225" w:rsidP="008B4CB5">
      <w:pPr>
        <w:jc w:val="both"/>
        <w:rPr>
          <w:rFonts w:ascii="Times New Roman" w:eastAsia="新細明體" w:hAnsi="Times New Roman" w:cs="Times New Roman"/>
          <w:b/>
          <w:kern w:val="0"/>
          <w:szCs w:val="24"/>
        </w:rPr>
      </w:pPr>
      <w:r w:rsidRPr="00815391">
        <w:rPr>
          <w:rFonts w:ascii="Times New Roman" w:eastAsia="新細明體" w:hAnsi="Times New Roman" w:cs="Times New Roman" w:hint="eastAsia"/>
          <w:b/>
          <w:kern w:val="0"/>
          <w:szCs w:val="24"/>
        </w:rPr>
        <w:t>R</w:t>
      </w:r>
      <w:r w:rsidRPr="00815391">
        <w:rPr>
          <w:rFonts w:ascii="Times New Roman" w:eastAsia="新細明體" w:hAnsi="Times New Roman" w:cs="Times New Roman"/>
          <w:b/>
          <w:kern w:val="0"/>
          <w:szCs w:val="24"/>
        </w:rPr>
        <w:t>eference</w:t>
      </w:r>
    </w:p>
    <w:p w:rsidR="00417C43" w:rsidRPr="000F7057" w:rsidRDefault="008B4CB5" w:rsidP="000F7057">
      <w:pPr>
        <w:pStyle w:val="EndNoteBibliography"/>
        <w:ind w:left="283" w:hangingChars="118" w:hanging="283"/>
        <w:rPr>
          <w:rFonts w:ascii="Times New Roman" w:hAnsi="Times New Roman" w:cs="Times New Roman"/>
        </w:rPr>
      </w:pPr>
      <w:r w:rsidRPr="000F7057">
        <w:rPr>
          <w:rFonts w:ascii="Times New Roman" w:hAnsi="Times New Roman" w:cs="Times New Roman"/>
        </w:rPr>
        <w:fldChar w:fldCharType="begin"/>
      </w:r>
      <w:r w:rsidRPr="000F7057">
        <w:rPr>
          <w:rFonts w:ascii="Times New Roman" w:hAnsi="Times New Roman" w:cs="Times New Roman"/>
        </w:rPr>
        <w:instrText xml:space="preserve"> ADDIN EN.REFLIST </w:instrText>
      </w:r>
      <w:r w:rsidRPr="000F7057">
        <w:rPr>
          <w:rFonts w:ascii="Times New Roman" w:hAnsi="Times New Roman" w:cs="Times New Roman"/>
        </w:rPr>
        <w:fldChar w:fldCharType="separate"/>
      </w:r>
      <w:r w:rsidR="00417C43" w:rsidRPr="000F7057">
        <w:rPr>
          <w:rFonts w:ascii="Times New Roman" w:hAnsi="Times New Roman" w:cs="Times New Roman"/>
        </w:rPr>
        <w:t>1.</w:t>
      </w:r>
      <w:r w:rsidR="00417C43" w:rsidRPr="000F7057">
        <w:rPr>
          <w:rFonts w:ascii="Times New Roman" w:hAnsi="Times New Roman" w:cs="Times New Roman"/>
        </w:rPr>
        <w:tab/>
        <w:t>Cerqueira MD, Weissman NJ, Dilsizian V, et al. Standardized myocardial segmentation and nomenclature for tomographic imaging of the heart. A statement for healthcare professionals from the Cardiac Imaging Committee of the Council on Clinical Cardiology of the American Heart Association. Circulation 2002; 105(4): 539-42.</w:t>
      </w:r>
    </w:p>
    <w:p w:rsidR="00417C43" w:rsidRPr="000F7057" w:rsidRDefault="00417C43" w:rsidP="000F7057">
      <w:pPr>
        <w:pStyle w:val="EndNoteBibliography"/>
        <w:ind w:left="283" w:hangingChars="118" w:hanging="283"/>
        <w:rPr>
          <w:rFonts w:ascii="Times New Roman" w:hAnsi="Times New Roman" w:cs="Times New Roman"/>
        </w:rPr>
      </w:pPr>
      <w:r w:rsidRPr="000F7057">
        <w:rPr>
          <w:rFonts w:ascii="Times New Roman" w:hAnsi="Times New Roman" w:cs="Times New Roman"/>
        </w:rPr>
        <w:t>2.</w:t>
      </w:r>
      <w:r w:rsidRPr="000F7057">
        <w:rPr>
          <w:rFonts w:ascii="Times New Roman" w:hAnsi="Times New Roman" w:cs="Times New Roman"/>
        </w:rPr>
        <w:tab/>
        <w:t>Beijnink CWH, van der Hoeven NW, Konijnenberg LSF, et al. Cardiac MRI to Visualize Myocardial Damage after ST-Segment Elevation Myocardial Infarction: A Review of Its Histologic Validation. Radiology 2021; 301(1): 4-18.</w:t>
      </w:r>
    </w:p>
    <w:p w:rsidR="00900A3B" w:rsidRDefault="008B4CB5" w:rsidP="000F7057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0F7057">
        <w:rPr>
          <w:rFonts w:ascii="Times New Roman" w:hAnsi="Times New Roman" w:cs="Times New Roman"/>
        </w:rPr>
        <w:fldChar w:fldCharType="end"/>
      </w:r>
    </w:p>
    <w:p w:rsidR="00976D66" w:rsidRDefault="00976D66" w:rsidP="000F7057">
      <w:pPr>
        <w:ind w:left="283" w:hangingChars="118" w:hanging="283"/>
        <w:jc w:val="both"/>
        <w:rPr>
          <w:rFonts w:ascii="Times New Roman" w:hAnsi="Times New Roman" w:cs="Times New Roman"/>
        </w:rPr>
      </w:pPr>
    </w:p>
    <w:p w:rsidR="00976D66" w:rsidRDefault="00976D66" w:rsidP="000F7057">
      <w:pPr>
        <w:ind w:left="283" w:hangingChars="118" w:hanging="283"/>
        <w:jc w:val="both"/>
        <w:rPr>
          <w:rFonts w:ascii="Times New Roman" w:hAnsi="Times New Roman" w:cs="Times New Roman"/>
        </w:rPr>
      </w:pPr>
    </w:p>
    <w:p w:rsidR="00976D66" w:rsidRDefault="00976D6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2F8D" w:rsidRDefault="00882F8D" w:rsidP="00882F8D">
      <w:pPr>
        <w:adjustRightInd w:val="0"/>
        <w:snapToGrid w:val="0"/>
        <w:spacing w:line="480" w:lineRule="auto"/>
        <w:jc w:val="both"/>
        <w:rPr>
          <w:rFonts w:ascii="Times New Roman" w:hAnsi="Times New Roman"/>
          <w:b/>
          <w:szCs w:val="24"/>
        </w:rPr>
      </w:pPr>
      <w:r w:rsidRPr="00882F8D">
        <w:rPr>
          <w:rFonts w:ascii="Times New Roman" w:hAnsi="Times New Roman"/>
          <w:b/>
          <w:szCs w:val="24"/>
        </w:rPr>
        <w:lastRenderedPageBreak/>
        <w:t>Supplementary Figure S1</w:t>
      </w:r>
      <w:r>
        <w:rPr>
          <w:rFonts w:ascii="Times New Roman" w:hAnsi="Times New Roman"/>
          <w:b/>
          <w:szCs w:val="24"/>
        </w:rPr>
        <w:t>.</w:t>
      </w:r>
    </w:p>
    <w:p w:rsidR="00882F8D" w:rsidRDefault="00882F8D" w:rsidP="00882F8D">
      <w:pPr>
        <w:adjustRightInd w:val="0"/>
        <w:snapToGrid w:val="0"/>
        <w:spacing w:line="48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5265420" cy="6355080"/>
            <wp:effectExtent l="0" t="0" r="0" b="7620"/>
            <wp:docPr id="1" name="圖片 1" descr="C:\Users\YF_Lin\Downloads\2022-02-26 Figure 3_Changes of B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F_Lin\Downloads\2022-02-26 Figure 3_Changes of BP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4"/>
                    <a:stretch/>
                  </pic:blipFill>
                  <pic:spPr bwMode="auto">
                    <a:xfrm>
                      <a:off x="0" y="0"/>
                      <a:ext cx="5265420" cy="63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F8D" w:rsidRPr="002B1AF0" w:rsidRDefault="00882F8D" w:rsidP="00882F8D">
      <w:pPr>
        <w:adjustRightInd w:val="0"/>
        <w:snapToGri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Monitoring of </w:t>
      </w:r>
      <w:r w:rsidRPr="00011D06">
        <w:rPr>
          <w:rFonts w:ascii="Times New Roman" w:hAnsi="Times New Roman"/>
          <w:b/>
          <w:szCs w:val="24"/>
        </w:rPr>
        <w:t>Blood Pressure, Heart Rate, and Oxygen Saturation</w:t>
      </w:r>
      <w:r>
        <w:rPr>
          <w:rFonts w:ascii="Times New Roman" w:hAnsi="Times New Roman"/>
          <w:b/>
          <w:szCs w:val="24"/>
        </w:rPr>
        <w:t xml:space="preserve"> during Intracoronary (IC) or Intravenous (IV) Infusion of UMSC01</w:t>
      </w:r>
      <w:r w:rsidRPr="00011D06">
        <w:rPr>
          <w:rFonts w:ascii="Times New Roman" w:hAnsi="Times New Roman"/>
          <w:b/>
          <w:szCs w:val="24"/>
        </w:rPr>
        <w:t xml:space="preserve">. </w:t>
      </w:r>
      <w:r w:rsidRPr="002C030F">
        <w:rPr>
          <w:rFonts w:ascii="Times New Roman" w:hAnsi="Times New Roman"/>
          <w:szCs w:val="24"/>
        </w:rPr>
        <w:t xml:space="preserve">There were no significant changes in </w:t>
      </w:r>
      <w:r>
        <w:rPr>
          <w:rFonts w:ascii="Times New Roman" w:hAnsi="Times New Roman"/>
          <w:szCs w:val="24"/>
        </w:rPr>
        <w:t>s</w:t>
      </w:r>
      <w:r w:rsidRPr="002B1AF0">
        <w:rPr>
          <w:rFonts w:ascii="Times New Roman" w:hAnsi="Times New Roman"/>
          <w:szCs w:val="24"/>
        </w:rPr>
        <w:t>ystolic blood pressure</w:t>
      </w:r>
      <w:r w:rsidRPr="002C030F">
        <w:rPr>
          <w:rFonts w:ascii="Times New Roman" w:hAnsi="Times New Roman"/>
          <w:szCs w:val="24"/>
        </w:rPr>
        <w:t xml:space="preserve"> </w:t>
      </w:r>
      <w:r w:rsidRPr="00011D06">
        <w:rPr>
          <w:rFonts w:ascii="Times New Roman" w:hAnsi="Times New Roman"/>
          <w:b/>
          <w:szCs w:val="24"/>
        </w:rPr>
        <w:t>(</w:t>
      </w:r>
      <w:r w:rsidRPr="00FF7444">
        <w:rPr>
          <w:rFonts w:ascii="Times New Roman" w:hAnsi="Times New Roman"/>
          <w:b/>
          <w:szCs w:val="24"/>
        </w:rPr>
        <w:t>A)</w:t>
      </w:r>
      <w:r w:rsidRPr="00BE079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2B1AF0">
        <w:rPr>
          <w:rFonts w:ascii="Times New Roman" w:hAnsi="Times New Roman"/>
          <w:szCs w:val="24"/>
        </w:rPr>
        <w:t>iastolic blood pressure</w:t>
      </w:r>
      <w:r>
        <w:rPr>
          <w:rFonts w:ascii="Times New Roman" w:hAnsi="Times New Roman"/>
          <w:szCs w:val="24"/>
        </w:rPr>
        <w:t xml:space="preserve"> </w:t>
      </w:r>
      <w:r w:rsidRPr="00FF7444">
        <w:rPr>
          <w:rFonts w:ascii="Times New Roman" w:hAnsi="Times New Roman"/>
          <w:b/>
          <w:szCs w:val="24"/>
        </w:rPr>
        <w:t>(B)</w:t>
      </w:r>
      <w:r w:rsidRPr="00BE079B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h</w:t>
      </w:r>
      <w:r w:rsidRPr="002B1AF0">
        <w:rPr>
          <w:rFonts w:ascii="Times New Roman" w:hAnsi="Times New Roman"/>
          <w:szCs w:val="24"/>
        </w:rPr>
        <w:t>eart rate</w:t>
      </w:r>
      <w:r w:rsidRPr="00FF7444">
        <w:rPr>
          <w:rFonts w:ascii="Times New Roman" w:hAnsi="Times New Roman"/>
          <w:b/>
          <w:szCs w:val="24"/>
        </w:rPr>
        <w:t>(C)</w:t>
      </w:r>
      <w:r w:rsidRPr="00BE079B">
        <w:rPr>
          <w:rFonts w:ascii="Times New Roman" w:hAnsi="Times New Roman"/>
          <w:szCs w:val="24"/>
        </w:rPr>
        <w:t xml:space="preserve">, and </w:t>
      </w:r>
      <w:r>
        <w:rPr>
          <w:rFonts w:ascii="Times New Roman" w:hAnsi="Times New Roman"/>
          <w:szCs w:val="24"/>
        </w:rPr>
        <w:t>o</w:t>
      </w:r>
      <w:r w:rsidRPr="002B1AF0">
        <w:rPr>
          <w:rFonts w:ascii="Times New Roman" w:hAnsi="Times New Roman"/>
          <w:szCs w:val="24"/>
        </w:rPr>
        <w:t>xygen saturation</w:t>
      </w:r>
      <w:r>
        <w:rPr>
          <w:rFonts w:ascii="Times New Roman" w:hAnsi="Times New Roman"/>
          <w:szCs w:val="24"/>
        </w:rPr>
        <w:t xml:space="preserve"> </w:t>
      </w:r>
      <w:r w:rsidRPr="00FF7444">
        <w:rPr>
          <w:rFonts w:ascii="Times New Roman" w:hAnsi="Times New Roman"/>
          <w:b/>
          <w:szCs w:val="24"/>
        </w:rPr>
        <w:t>(D)</w:t>
      </w:r>
      <w:r>
        <w:rPr>
          <w:rFonts w:ascii="Times New Roman" w:hAnsi="Times New Roman"/>
          <w:szCs w:val="24"/>
        </w:rPr>
        <w:t>,</w:t>
      </w:r>
      <w:r w:rsidRPr="002B1AF0">
        <w:rPr>
          <w:rFonts w:ascii="Times New Roman" w:hAnsi="Times New Roman"/>
          <w:szCs w:val="24"/>
        </w:rPr>
        <w:t xml:space="preserve"> </w:t>
      </w:r>
      <w:r w:rsidRPr="002C030F">
        <w:rPr>
          <w:rFonts w:ascii="Times New Roman" w:hAnsi="Times New Roman"/>
          <w:szCs w:val="24"/>
        </w:rPr>
        <w:t xml:space="preserve">before and after IC </w:t>
      </w:r>
      <w:r>
        <w:rPr>
          <w:rFonts w:ascii="Times New Roman" w:hAnsi="Times New Roman"/>
          <w:szCs w:val="24"/>
        </w:rPr>
        <w:t>or</w:t>
      </w:r>
      <w:r w:rsidRPr="002C030F">
        <w:rPr>
          <w:rFonts w:ascii="Times New Roman" w:hAnsi="Times New Roman"/>
          <w:szCs w:val="24"/>
        </w:rPr>
        <w:t xml:space="preserve"> IV infusion of UMSC01</w:t>
      </w:r>
      <w:r w:rsidRPr="002B1AF0">
        <w:rPr>
          <w:rFonts w:ascii="Times New Roman" w:hAnsi="Times New Roman"/>
          <w:szCs w:val="24"/>
        </w:rPr>
        <w:t xml:space="preserve">. All comparisons were performed by Wilcoxon signed-rank tests. </w:t>
      </w:r>
    </w:p>
    <w:p w:rsidR="00976D66" w:rsidRPr="00882F8D" w:rsidRDefault="00976D66" w:rsidP="000F7057">
      <w:pPr>
        <w:ind w:left="283" w:hangingChars="118" w:hanging="283"/>
        <w:jc w:val="both"/>
      </w:pPr>
    </w:p>
    <w:sectPr w:rsidR="00976D66" w:rsidRPr="00882F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3C" w:rsidRDefault="00516E3C" w:rsidP="00D7170D">
      <w:r>
        <w:separator/>
      </w:r>
    </w:p>
  </w:endnote>
  <w:endnote w:type="continuationSeparator" w:id="0">
    <w:p w:rsidR="00516E3C" w:rsidRDefault="00516E3C" w:rsidP="00D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3C" w:rsidRDefault="00516E3C" w:rsidP="00D7170D">
      <w:r>
        <w:separator/>
      </w:r>
    </w:p>
  </w:footnote>
  <w:footnote w:type="continuationSeparator" w:id="0">
    <w:p w:rsidR="00516E3C" w:rsidRDefault="00516E3C" w:rsidP="00D71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Layout" w:val="&lt;ENLayout&gt;&lt;Style&gt;Lancet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r0s5vxp9tfxhevte1595vxwrp9d5pdxdvv&quot;&gt;My EndNote Library1&lt;record-ids&gt;&lt;item&gt;5&lt;/item&gt;&lt;/record-ids&gt;&lt;/item&gt;&lt;/Libraries&gt;"/>
  </w:docVars>
  <w:rsids>
    <w:rsidRoot w:val="008B4CB5"/>
    <w:rsid w:val="000F7057"/>
    <w:rsid w:val="0018180B"/>
    <w:rsid w:val="001E2E60"/>
    <w:rsid w:val="002D64E3"/>
    <w:rsid w:val="00417C43"/>
    <w:rsid w:val="00450610"/>
    <w:rsid w:val="00516E3C"/>
    <w:rsid w:val="006B5346"/>
    <w:rsid w:val="007A3E6A"/>
    <w:rsid w:val="007E0225"/>
    <w:rsid w:val="00815391"/>
    <w:rsid w:val="00882F8D"/>
    <w:rsid w:val="008A2AB9"/>
    <w:rsid w:val="008B4CB5"/>
    <w:rsid w:val="00900A3B"/>
    <w:rsid w:val="00976D66"/>
    <w:rsid w:val="009D2F21"/>
    <w:rsid w:val="00BC5606"/>
    <w:rsid w:val="00D7170D"/>
    <w:rsid w:val="00DD7D43"/>
    <w:rsid w:val="00E2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8DF76"/>
  <w15:chartTrackingRefBased/>
  <w15:docId w15:val="{B3023FCD-A3D5-4DAE-8EDC-FACF6C51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8B4CB5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8B4CB5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8B4CB5"/>
    <w:pPr>
      <w:jc w:val="both"/>
    </w:pPr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8B4CB5"/>
    <w:rPr>
      <w:rFonts w:ascii="Calibri" w:hAnsi="Calibri" w:cs="Calibri"/>
      <w:noProof/>
    </w:rPr>
  </w:style>
  <w:style w:type="paragraph" w:styleId="a3">
    <w:name w:val="header"/>
    <w:basedOn w:val="a"/>
    <w:link w:val="a4"/>
    <w:uiPriority w:val="99"/>
    <w:unhideWhenUsed/>
    <w:rsid w:val="00D7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7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7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1659</Words>
  <Characters>9458</Characters>
  <Application>Microsoft Office Word</Application>
  <DocSecurity>0</DocSecurity>
  <Lines>78</Lines>
  <Paragraphs>22</Paragraphs>
  <ScaleCrop>false</ScaleCrop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MY_Wu</cp:lastModifiedBy>
  <cp:revision>12</cp:revision>
  <dcterms:created xsi:type="dcterms:W3CDTF">2022-03-19T08:19:00Z</dcterms:created>
  <dcterms:modified xsi:type="dcterms:W3CDTF">2022-06-05T03:34:00Z</dcterms:modified>
</cp:coreProperties>
</file>