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130C2598" w14:textId="77777777" w:rsidR="009040EF" w:rsidRPr="009040EF" w:rsidRDefault="009040EF" w:rsidP="009040EF">
      <w:pPr>
        <w:pStyle w:val="Titel"/>
      </w:pPr>
    </w:p>
    <w:p w14:paraId="4D059444" w14:textId="6EAB5310" w:rsidR="00994A3D" w:rsidRDefault="00654E8F" w:rsidP="009040EF">
      <w:pPr>
        <w:pStyle w:val="berschrift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9040EF">
        <w:t>Figure 1</w:t>
      </w:r>
    </w:p>
    <w:p w14:paraId="2ED37C0E" w14:textId="77777777" w:rsidR="00503369" w:rsidRDefault="00503369" w:rsidP="00503369"/>
    <w:p w14:paraId="0E9EE440" w14:textId="00A7362F" w:rsidR="00503369" w:rsidRPr="00503369" w:rsidRDefault="00503369" w:rsidP="00503369">
      <w:r w:rsidRPr="00CD5E4A">
        <w:rPr>
          <w:rFonts w:cs="Times New Roman"/>
          <w:b/>
          <w:noProof/>
          <w:szCs w:val="24"/>
          <w:lang w:val="de-DE" w:eastAsia="de-DE"/>
        </w:rPr>
        <w:drawing>
          <wp:inline distT="0" distB="0" distL="0" distR="0" wp14:anchorId="29D665C5" wp14:editId="210AEEFE">
            <wp:extent cx="6174700" cy="44958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53" cy="449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1B57E" w14:textId="77777777" w:rsidR="009040EF" w:rsidRDefault="009040EF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2C5F7B30" w14:textId="766C51F9" w:rsidR="009040EF" w:rsidRPr="00994A3D" w:rsidRDefault="009040EF" w:rsidP="009040EF">
      <w:pPr>
        <w:pStyle w:val="berschrift1"/>
        <w:numPr>
          <w:ilvl w:val="0"/>
          <w:numId w:val="0"/>
        </w:numPr>
        <w:ind w:left="567" w:hanging="567"/>
      </w:pPr>
      <w:r w:rsidRPr="00994A3D">
        <w:lastRenderedPageBreak/>
        <w:t xml:space="preserve">Supplementary </w:t>
      </w:r>
      <w:r>
        <w:t xml:space="preserve">Figure </w:t>
      </w:r>
      <w:r>
        <w:t>2</w:t>
      </w:r>
    </w:p>
    <w:p w14:paraId="0F69E53A" w14:textId="2F2C95CC" w:rsidR="009040EF" w:rsidRDefault="009040EF">
      <w:pPr>
        <w:spacing w:before="0" w:after="200" w:line="276" w:lineRule="auto"/>
        <w:rPr>
          <w:rFonts w:eastAsia="Cambria" w:cs="Times New Roman"/>
          <w:b/>
          <w:szCs w:val="24"/>
        </w:rPr>
      </w:pPr>
    </w:p>
    <w:p w14:paraId="0FCD6BB8" w14:textId="56AA1F06" w:rsidR="00152122" w:rsidRDefault="00152122">
      <w:pPr>
        <w:spacing w:before="0" w:after="200" w:line="276" w:lineRule="auto"/>
        <w:rPr>
          <w:rFonts w:eastAsia="Cambria" w:cs="Times New Roman"/>
          <w:b/>
          <w:szCs w:val="24"/>
        </w:rPr>
      </w:pPr>
      <w:r w:rsidRPr="00652D61">
        <w:rPr>
          <w:rFonts w:cs="Times New Roman"/>
          <w:b/>
          <w:noProof/>
          <w:szCs w:val="24"/>
          <w:lang w:val="de-DE" w:eastAsia="de-DE"/>
        </w:rPr>
        <w:drawing>
          <wp:inline distT="0" distB="0" distL="0" distR="0" wp14:anchorId="57751753" wp14:editId="33EA3AEF">
            <wp:extent cx="6208395" cy="4520676"/>
            <wp:effectExtent l="0" t="0" r="190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452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66FD0" w14:textId="77777777" w:rsidR="00B83D5E" w:rsidRDefault="00B83D5E" w:rsidP="009040EF">
      <w:pPr>
        <w:pStyle w:val="berschrift1"/>
        <w:numPr>
          <w:ilvl w:val="0"/>
          <w:numId w:val="0"/>
        </w:numPr>
        <w:ind w:left="567" w:hanging="567"/>
        <w:sectPr w:rsidR="00B83D5E" w:rsidSect="0093429D">
          <w:headerReference w:type="even" r:id="rId10"/>
          <w:footerReference w:type="even" r:id="rId11"/>
          <w:footerReference w:type="default" r:id="rId12"/>
          <w:headerReference w:type="first" r:id="rId13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121D180" w14:textId="54EC7C50" w:rsidR="009040EF" w:rsidRDefault="009040EF" w:rsidP="009040EF">
      <w:pPr>
        <w:pStyle w:val="berschrift1"/>
        <w:numPr>
          <w:ilvl w:val="0"/>
          <w:numId w:val="0"/>
        </w:numPr>
        <w:ind w:left="567" w:hanging="567"/>
      </w:pPr>
      <w:r w:rsidRPr="00994A3D">
        <w:lastRenderedPageBreak/>
        <w:t xml:space="preserve">Supplementary </w:t>
      </w:r>
      <w:r>
        <w:t xml:space="preserve">Figure </w:t>
      </w:r>
      <w:r>
        <w:t>3</w:t>
      </w:r>
    </w:p>
    <w:p w14:paraId="0709C3EC" w14:textId="77777777" w:rsidR="00B83D5E" w:rsidRDefault="00B83D5E" w:rsidP="00B83D5E"/>
    <w:p w14:paraId="59A34F68" w14:textId="692A1CA0" w:rsidR="00B83D5E" w:rsidRPr="00B83D5E" w:rsidRDefault="00B83D5E" w:rsidP="00B83D5E">
      <w:r w:rsidRPr="00D8602E">
        <w:rPr>
          <w:rFonts w:cs="Times New Roman"/>
          <w:b/>
          <w:noProof/>
          <w:szCs w:val="24"/>
          <w:lang w:val="de-DE" w:eastAsia="de-DE"/>
        </w:rPr>
        <w:drawing>
          <wp:inline distT="0" distB="0" distL="0" distR="0" wp14:anchorId="0F9909C8" wp14:editId="2FCC0504">
            <wp:extent cx="7784743" cy="4448175"/>
            <wp:effectExtent l="0" t="0" r="698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071" cy="445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C5AA6" w14:textId="77777777" w:rsidR="00B83D5E" w:rsidRDefault="00B83D5E">
      <w:pPr>
        <w:spacing w:before="0" w:after="200" w:line="276" w:lineRule="auto"/>
        <w:sectPr w:rsidR="00B83D5E" w:rsidSect="00B83D5E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7A748516" w14:textId="6C8BA594" w:rsidR="009040EF" w:rsidRDefault="009040EF" w:rsidP="009040EF">
      <w:pPr>
        <w:pStyle w:val="berschrift1"/>
        <w:numPr>
          <w:ilvl w:val="0"/>
          <w:numId w:val="0"/>
        </w:numPr>
        <w:ind w:left="567" w:hanging="567"/>
      </w:pPr>
      <w:r w:rsidRPr="00994A3D">
        <w:lastRenderedPageBreak/>
        <w:t xml:space="preserve">Supplementary </w:t>
      </w:r>
      <w:r>
        <w:t xml:space="preserve">Figure </w:t>
      </w:r>
      <w:r>
        <w:t>4</w:t>
      </w:r>
    </w:p>
    <w:p w14:paraId="5E11C33E" w14:textId="77777777" w:rsidR="003E311F" w:rsidRDefault="003E311F" w:rsidP="003E311F"/>
    <w:p w14:paraId="323E86C2" w14:textId="23C497B2" w:rsidR="003E311F" w:rsidRPr="003E311F" w:rsidRDefault="003E311F" w:rsidP="003E311F">
      <w:r w:rsidRPr="000705CE">
        <w:rPr>
          <w:rFonts w:cs="Times New Roman"/>
          <w:b/>
          <w:noProof/>
          <w:sz w:val="32"/>
          <w:szCs w:val="32"/>
          <w:lang w:val="de-DE" w:eastAsia="de-DE"/>
        </w:rPr>
        <w:drawing>
          <wp:inline distT="0" distB="0" distL="0" distR="0" wp14:anchorId="47FC4BA0" wp14:editId="0D287E9A">
            <wp:extent cx="5873815" cy="42767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47" cy="42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1F7FB" w14:textId="77777777" w:rsidR="0027089A" w:rsidRDefault="0027089A" w:rsidP="0027089A">
      <w:pPr>
        <w:pStyle w:val="berschrift1"/>
        <w:numPr>
          <w:ilvl w:val="0"/>
          <w:numId w:val="0"/>
        </w:numPr>
        <w:ind w:left="567" w:hanging="567"/>
        <w:sectPr w:rsidR="0027089A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DC85F66" w14:textId="41C3E214" w:rsidR="0027089A" w:rsidRDefault="0027089A" w:rsidP="0027089A">
      <w:pPr>
        <w:pStyle w:val="berschrift1"/>
        <w:numPr>
          <w:ilvl w:val="0"/>
          <w:numId w:val="0"/>
        </w:numPr>
        <w:ind w:left="567" w:hanging="567"/>
      </w:pPr>
      <w:r w:rsidRPr="00994A3D">
        <w:lastRenderedPageBreak/>
        <w:t xml:space="preserve">Supplementary </w:t>
      </w:r>
      <w:r>
        <w:t xml:space="preserve">Figure </w:t>
      </w:r>
      <w:r>
        <w:t>5</w:t>
      </w:r>
    </w:p>
    <w:p w14:paraId="589A3025" w14:textId="77777777" w:rsidR="0027089A" w:rsidRPr="0027089A" w:rsidRDefault="0027089A" w:rsidP="0027089A"/>
    <w:p w14:paraId="50C4FB61" w14:textId="2FEC9CCB" w:rsidR="0027089A" w:rsidRPr="0027089A" w:rsidRDefault="0027089A" w:rsidP="0027089A">
      <w:r w:rsidRPr="00F9649F">
        <w:rPr>
          <w:rFonts w:cs="Times New Roman"/>
          <w:b/>
          <w:bCs/>
          <w:noProof/>
          <w:sz w:val="32"/>
          <w:szCs w:val="32"/>
          <w:lang w:val="de-DE" w:eastAsia="de-DE"/>
        </w:rPr>
        <w:drawing>
          <wp:inline distT="0" distB="0" distL="0" distR="0" wp14:anchorId="2347E872" wp14:editId="066F1B7C">
            <wp:extent cx="8572499" cy="428625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840" cy="428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34222" w14:textId="77777777" w:rsidR="0027089A" w:rsidRDefault="0027089A" w:rsidP="009040EF">
      <w:pPr>
        <w:sectPr w:rsidR="0027089A" w:rsidSect="0027089A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63D7C2B0" w14:textId="740FFA2D" w:rsidR="00994A3D" w:rsidRPr="001549D3" w:rsidRDefault="00994A3D" w:rsidP="00B36807">
      <w:pPr>
        <w:pStyle w:val="berschrift2"/>
        <w:numPr>
          <w:ilvl w:val="0"/>
          <w:numId w:val="0"/>
        </w:numPr>
        <w:ind w:left="567" w:hanging="567"/>
      </w:pPr>
      <w:r w:rsidRPr="0001436A">
        <w:lastRenderedPageBreak/>
        <w:t>Supplementary</w:t>
      </w:r>
      <w:r w:rsidRPr="001549D3">
        <w:t xml:space="preserve"> Figure</w:t>
      </w:r>
      <w:r w:rsidR="00B36807">
        <w:t xml:space="preserve"> legends</w:t>
      </w:r>
    </w:p>
    <w:p w14:paraId="6754D378" w14:textId="77777777" w:rsidR="00994A3D" w:rsidRPr="001549D3" w:rsidRDefault="00994A3D" w:rsidP="00B36807">
      <w:pPr>
        <w:pStyle w:val="KeinLeerraum"/>
        <w:jc w:val="both"/>
      </w:pPr>
    </w:p>
    <w:p w14:paraId="38041453" w14:textId="77777777" w:rsidR="00B36807" w:rsidRDefault="00B36807" w:rsidP="00B36807">
      <w:pPr>
        <w:pStyle w:val="KeinLeerraum"/>
        <w:jc w:val="both"/>
      </w:pPr>
      <w:r>
        <w:rPr>
          <w:b/>
        </w:rPr>
        <w:t xml:space="preserve">Supplementary Figure 1. Cumulative 12-month incidence of cardiotoxicity (n=185). </w:t>
      </w:r>
      <w:r>
        <w:t>Data were estimated with a competing risk cumulative incidence estimator, treating death-from-any-cause as the competing event of interest.</w:t>
      </w:r>
    </w:p>
    <w:p w14:paraId="0F8C8D65" w14:textId="77777777" w:rsidR="00B36807" w:rsidRDefault="00B36807" w:rsidP="00B36807">
      <w:pPr>
        <w:pStyle w:val="KeinLeerraum"/>
        <w:jc w:val="both"/>
      </w:pPr>
    </w:p>
    <w:p w14:paraId="1E191BFB" w14:textId="46DF279B" w:rsidR="00B36807" w:rsidRDefault="00B36807" w:rsidP="00B36807">
      <w:pPr>
        <w:pStyle w:val="KeinLeerraum"/>
        <w:jc w:val="both"/>
      </w:pPr>
      <w:r>
        <w:rPr>
          <w:b/>
        </w:rPr>
        <w:t xml:space="preserve">Supplementary Figure 2. Distant Recurrence-free Survival (dRFS) experience of the overall study cohort (n=185). </w:t>
      </w:r>
      <w:r>
        <w:t>Results were computed with a Kaplan-Meier estimator.</w:t>
      </w:r>
    </w:p>
    <w:p w14:paraId="504EA4AA" w14:textId="77777777" w:rsidR="00B36807" w:rsidRDefault="00B36807" w:rsidP="00B36807">
      <w:pPr>
        <w:pStyle w:val="KeinLeerraum"/>
        <w:jc w:val="both"/>
      </w:pPr>
    </w:p>
    <w:p w14:paraId="4453402E" w14:textId="77777777" w:rsidR="00B36807" w:rsidRDefault="00B36807" w:rsidP="00B36807">
      <w:pPr>
        <w:pStyle w:val="KeinLeerraum"/>
        <w:jc w:val="both"/>
      </w:pPr>
      <w:r>
        <w:rPr>
          <w:b/>
        </w:rPr>
        <w:t xml:space="preserve">Supplementary Figure 3. Cumulative 12-month incidence of cardiotoxicity according to pre-treatment high-sensitivity cardiac Troponin T (hs-cTnT) levels. </w:t>
      </w:r>
      <w:r>
        <w:t>Data were estimated with a competing risk cumulative incidence estimator, treating death-from-any-cause as the competing event of interest. Panel A: hs-cTnT cut-off at the 75</w:t>
      </w:r>
      <w:r w:rsidRPr="00D22259">
        <w:rPr>
          <w:vertAlign w:val="superscript"/>
        </w:rPr>
        <w:t>th</w:t>
      </w:r>
      <w:r>
        <w:t xml:space="preserve"> percentile of its distribution (Q3, cut-off: 8pg/mL). Panel B: hs-cTnT cut-off at 14pg/mL (representing the established cut-off for the hs-cTnT assay used at our institution).</w:t>
      </w:r>
    </w:p>
    <w:p w14:paraId="48D1EFF0" w14:textId="77777777" w:rsidR="00B36807" w:rsidRDefault="00B36807" w:rsidP="00B36807">
      <w:pPr>
        <w:pStyle w:val="KeinLeerraum"/>
        <w:jc w:val="both"/>
      </w:pPr>
    </w:p>
    <w:p w14:paraId="38EEB21D" w14:textId="77777777" w:rsidR="00B36807" w:rsidRDefault="00B36807" w:rsidP="00B36807">
      <w:pPr>
        <w:pStyle w:val="KeinLeerraum"/>
        <w:jc w:val="both"/>
      </w:pPr>
      <w:r>
        <w:rPr>
          <w:b/>
        </w:rPr>
        <w:t xml:space="preserve">Supplementary Figure 4. Cumulative 12-month incidence of cardiotoxicity according to pre-treatment N-terminal pro-brain natriuretic peptide (NT-proBNP) levels. </w:t>
      </w:r>
      <w:r>
        <w:t>Data were estimated with a competing risk cumulative incidence estimator, treating death-from-any-cause as the competing event of interest. Cut-off at 150pg/mL (representing the established cut-off for the NT-proBNP assay used at our institution).</w:t>
      </w:r>
    </w:p>
    <w:p w14:paraId="3833D9E7" w14:textId="77777777" w:rsidR="00B36807" w:rsidRDefault="00B36807" w:rsidP="00B36807">
      <w:pPr>
        <w:pStyle w:val="KeinLeerraum"/>
        <w:jc w:val="both"/>
      </w:pPr>
    </w:p>
    <w:p w14:paraId="383B44D1" w14:textId="77777777" w:rsidR="00B36807" w:rsidRDefault="00B36807" w:rsidP="00B36807">
      <w:pPr>
        <w:pStyle w:val="KeinLeerraum"/>
        <w:jc w:val="both"/>
      </w:pPr>
      <w:r>
        <w:rPr>
          <w:b/>
          <w:bCs/>
        </w:rPr>
        <w:t xml:space="preserve">Supplementary </w:t>
      </w:r>
      <w:r w:rsidRPr="0099475A">
        <w:rPr>
          <w:b/>
          <w:bCs/>
        </w:rPr>
        <w:t xml:space="preserve">Figure </w:t>
      </w:r>
      <w:r>
        <w:rPr>
          <w:b/>
          <w:bCs/>
        </w:rPr>
        <w:t>5</w:t>
      </w:r>
      <w:r w:rsidRPr="0099475A">
        <w:rPr>
          <w:b/>
          <w:bCs/>
        </w:rPr>
        <w:t>. Longitudinal evolution of LVEF, hs-cTnT, and NT-proBNP during trastuzumab-based therapy.</w:t>
      </w:r>
      <w:r>
        <w:t xml:space="preserve"> Reported curves are derived from linear mixed models (random intercept and random slope) with a quadratic and cubic specification of follow-up time.</w:t>
      </w:r>
    </w:p>
    <w:p w14:paraId="632B33ED" w14:textId="77777777" w:rsidR="0057356D" w:rsidRDefault="0057356D" w:rsidP="00B36807">
      <w:pPr>
        <w:pStyle w:val="KeinLeerraum"/>
        <w:jc w:val="both"/>
      </w:pPr>
    </w:p>
    <w:p w14:paraId="78822B07" w14:textId="77777777" w:rsidR="0057356D" w:rsidRDefault="0057356D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36FC4713" w14:textId="55715978" w:rsidR="0057356D" w:rsidRDefault="0057356D" w:rsidP="0057356D">
      <w:pPr>
        <w:pStyle w:val="berschrift2"/>
        <w:numPr>
          <w:ilvl w:val="0"/>
          <w:numId w:val="0"/>
        </w:numPr>
        <w:ind w:left="567" w:hanging="567"/>
        <w:rPr>
          <w:b w:val="0"/>
          <w:sz w:val="32"/>
          <w:szCs w:val="32"/>
        </w:rPr>
      </w:pPr>
      <w:r w:rsidRPr="0001436A">
        <w:lastRenderedPageBreak/>
        <w:t>Supplementary</w:t>
      </w:r>
      <w:r w:rsidRPr="001549D3">
        <w:t xml:space="preserve"> </w:t>
      </w:r>
      <w:r>
        <w:t>Paragraph 1</w:t>
      </w:r>
    </w:p>
    <w:p w14:paraId="073F7641" w14:textId="77777777" w:rsidR="0057356D" w:rsidRDefault="0057356D" w:rsidP="0057356D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Among 1,196 echocardiography reports available for our study cohort, LVEF values were documented in 1,076 cases (n=120 LVEF values (10%) missing). However, among the 120 echocardiography reports with missing LVEF values, only 17 reports (1% of all reports) had truly missing LVEF values. Rather, in the remaining reports, LVEF was documented in a semiquantitative manner (e.g. “mildly-reduced systolic function”). To handle these semiquantitative data, we simulated LVEF values in % by randomly drawing from uniform distributions as follows: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954"/>
        <w:gridCol w:w="3813"/>
      </w:tblGrid>
      <w:tr w:rsidR="0057356D" w:rsidRPr="00C0591E" w14:paraId="5671CC09" w14:textId="77777777" w:rsidTr="0057356D">
        <w:tc>
          <w:tcPr>
            <w:tcW w:w="3048" w:type="pct"/>
          </w:tcPr>
          <w:p w14:paraId="28A840A1" w14:textId="77777777" w:rsidR="0057356D" w:rsidRPr="008E7CFB" w:rsidRDefault="0057356D" w:rsidP="0057356D">
            <w:pPr>
              <w:pStyle w:val="KeinLeerraum"/>
              <w:rPr>
                <w:rFonts w:cs="Times New Roman"/>
                <w:szCs w:val="24"/>
              </w:rPr>
            </w:pPr>
            <w:r w:rsidRPr="008E7CFB">
              <w:rPr>
                <w:rFonts w:cs="Times New Roman"/>
                <w:szCs w:val="24"/>
              </w:rPr>
              <w:t>Semiquantitative assessment of LVEF</w:t>
            </w:r>
          </w:p>
        </w:tc>
        <w:tc>
          <w:tcPr>
            <w:tcW w:w="1952" w:type="pct"/>
          </w:tcPr>
          <w:p w14:paraId="59C42FFC" w14:textId="77777777" w:rsidR="0057356D" w:rsidRPr="008E7CFB" w:rsidRDefault="0057356D" w:rsidP="0057356D">
            <w:pPr>
              <w:pStyle w:val="KeinLeerraum"/>
              <w:jc w:val="right"/>
              <w:rPr>
                <w:rFonts w:cs="Times New Roman"/>
                <w:szCs w:val="24"/>
              </w:rPr>
            </w:pPr>
            <w:r w:rsidRPr="008E7CFB">
              <w:rPr>
                <w:rFonts w:cs="Times New Roman"/>
                <w:szCs w:val="24"/>
              </w:rPr>
              <w:t>Random draw from uniform distribution with parameter bound (a,b)</w:t>
            </w:r>
          </w:p>
        </w:tc>
      </w:tr>
      <w:tr w:rsidR="0057356D" w:rsidRPr="008E7CFB" w14:paraId="1ECBA05B" w14:textId="77777777" w:rsidTr="0057356D">
        <w:tc>
          <w:tcPr>
            <w:tcW w:w="3048" w:type="pct"/>
          </w:tcPr>
          <w:p w14:paraId="66AD47EA" w14:textId="77777777" w:rsidR="0057356D" w:rsidRPr="008E7CFB" w:rsidRDefault="0057356D" w:rsidP="0057356D">
            <w:pPr>
              <w:pStyle w:val="KeinLeerraum"/>
              <w:rPr>
                <w:rFonts w:cs="Times New Roman"/>
                <w:bCs/>
                <w:szCs w:val="24"/>
              </w:rPr>
            </w:pPr>
            <w:r w:rsidRPr="008E7CFB">
              <w:rPr>
                <w:rFonts w:cs="Times New Roman"/>
                <w:bCs/>
                <w:szCs w:val="24"/>
              </w:rPr>
              <w:t>“normal systolic LV function”</w:t>
            </w:r>
          </w:p>
        </w:tc>
        <w:tc>
          <w:tcPr>
            <w:tcW w:w="1952" w:type="pct"/>
          </w:tcPr>
          <w:p w14:paraId="20ACC343" w14:textId="77777777" w:rsidR="0057356D" w:rsidRPr="008E7CFB" w:rsidRDefault="0057356D" w:rsidP="0057356D">
            <w:pPr>
              <w:pStyle w:val="KeinLeerraum"/>
              <w:jc w:val="right"/>
              <w:rPr>
                <w:rFonts w:cs="Times New Roman"/>
                <w:bCs/>
                <w:szCs w:val="24"/>
              </w:rPr>
            </w:pPr>
            <w:r w:rsidRPr="008E7CFB">
              <w:rPr>
                <w:rFonts w:cs="Times New Roman"/>
                <w:bCs/>
                <w:szCs w:val="24"/>
              </w:rPr>
              <w:t>(54,74)</w:t>
            </w:r>
          </w:p>
        </w:tc>
      </w:tr>
      <w:tr w:rsidR="0057356D" w:rsidRPr="008E7CFB" w14:paraId="6C95AAE8" w14:textId="77777777" w:rsidTr="0057356D">
        <w:tc>
          <w:tcPr>
            <w:tcW w:w="3048" w:type="pct"/>
          </w:tcPr>
          <w:p w14:paraId="04D393AF" w14:textId="77777777" w:rsidR="0057356D" w:rsidRPr="008E7CFB" w:rsidRDefault="0057356D" w:rsidP="0057356D">
            <w:pPr>
              <w:pStyle w:val="KeinLeerraum"/>
              <w:rPr>
                <w:rFonts w:cs="Times New Roman"/>
                <w:bCs/>
                <w:szCs w:val="24"/>
              </w:rPr>
            </w:pPr>
            <w:r w:rsidRPr="008E7CFB">
              <w:rPr>
                <w:rFonts w:cs="Times New Roman"/>
                <w:bCs/>
                <w:szCs w:val="24"/>
              </w:rPr>
              <w:t>“borderline normal systolic LV function”</w:t>
            </w:r>
          </w:p>
        </w:tc>
        <w:tc>
          <w:tcPr>
            <w:tcW w:w="1952" w:type="pct"/>
          </w:tcPr>
          <w:p w14:paraId="43D56522" w14:textId="77777777" w:rsidR="0057356D" w:rsidRPr="008E7CFB" w:rsidRDefault="0057356D" w:rsidP="0057356D">
            <w:pPr>
              <w:pStyle w:val="KeinLeerraum"/>
              <w:jc w:val="right"/>
              <w:rPr>
                <w:rFonts w:cs="Times New Roman"/>
                <w:bCs/>
                <w:szCs w:val="24"/>
              </w:rPr>
            </w:pPr>
            <w:r w:rsidRPr="008E7CFB">
              <w:rPr>
                <w:rFonts w:cs="Times New Roman"/>
                <w:bCs/>
                <w:szCs w:val="24"/>
              </w:rPr>
              <w:t>(54,74)</w:t>
            </w:r>
          </w:p>
        </w:tc>
      </w:tr>
      <w:tr w:rsidR="0057356D" w:rsidRPr="008E7CFB" w14:paraId="7DB1D84F" w14:textId="77777777" w:rsidTr="0057356D">
        <w:tc>
          <w:tcPr>
            <w:tcW w:w="3048" w:type="pct"/>
          </w:tcPr>
          <w:p w14:paraId="44CA7327" w14:textId="77777777" w:rsidR="0057356D" w:rsidRPr="008E7CFB" w:rsidRDefault="0057356D" w:rsidP="0057356D">
            <w:pPr>
              <w:pStyle w:val="KeinLeerraum"/>
              <w:rPr>
                <w:rFonts w:cs="Times New Roman"/>
                <w:bCs/>
                <w:szCs w:val="24"/>
              </w:rPr>
            </w:pPr>
            <w:r w:rsidRPr="008E7CFB">
              <w:rPr>
                <w:rFonts w:cs="Times New Roman"/>
                <w:bCs/>
                <w:szCs w:val="24"/>
              </w:rPr>
              <w:t>“mildly reduced systolic LV function”</w:t>
            </w:r>
          </w:p>
        </w:tc>
        <w:tc>
          <w:tcPr>
            <w:tcW w:w="1952" w:type="pct"/>
          </w:tcPr>
          <w:p w14:paraId="25B07629" w14:textId="77777777" w:rsidR="0057356D" w:rsidRPr="008E7CFB" w:rsidRDefault="0057356D" w:rsidP="0057356D">
            <w:pPr>
              <w:pStyle w:val="KeinLeerraum"/>
              <w:jc w:val="right"/>
              <w:rPr>
                <w:rFonts w:cs="Times New Roman"/>
                <w:bCs/>
                <w:szCs w:val="24"/>
              </w:rPr>
            </w:pPr>
            <w:r w:rsidRPr="008E7CFB">
              <w:rPr>
                <w:rFonts w:cs="Times New Roman"/>
                <w:bCs/>
                <w:szCs w:val="24"/>
              </w:rPr>
              <w:t>(41,53)</w:t>
            </w:r>
          </w:p>
        </w:tc>
      </w:tr>
      <w:tr w:rsidR="0057356D" w:rsidRPr="008E7CFB" w14:paraId="3B79CF2E" w14:textId="77777777" w:rsidTr="0057356D">
        <w:tc>
          <w:tcPr>
            <w:tcW w:w="3048" w:type="pct"/>
          </w:tcPr>
          <w:p w14:paraId="2AC4519A" w14:textId="77777777" w:rsidR="0057356D" w:rsidRPr="008E7CFB" w:rsidRDefault="0057356D" w:rsidP="0057356D">
            <w:pPr>
              <w:pStyle w:val="KeinLeerraum"/>
              <w:rPr>
                <w:rFonts w:cs="Times New Roman"/>
                <w:bCs/>
                <w:szCs w:val="24"/>
              </w:rPr>
            </w:pPr>
            <w:r w:rsidRPr="008E7CFB">
              <w:rPr>
                <w:rFonts w:cs="Times New Roman"/>
                <w:bCs/>
                <w:szCs w:val="24"/>
              </w:rPr>
              <w:t>“moderately reduced systolic LV function”</w:t>
            </w:r>
          </w:p>
        </w:tc>
        <w:tc>
          <w:tcPr>
            <w:tcW w:w="1952" w:type="pct"/>
          </w:tcPr>
          <w:p w14:paraId="487B4102" w14:textId="77777777" w:rsidR="0057356D" w:rsidRPr="008E7CFB" w:rsidRDefault="0057356D" w:rsidP="0057356D">
            <w:pPr>
              <w:pStyle w:val="KeinLeerraum"/>
              <w:jc w:val="right"/>
              <w:rPr>
                <w:rFonts w:cs="Times New Roman"/>
                <w:bCs/>
                <w:szCs w:val="24"/>
              </w:rPr>
            </w:pPr>
            <w:r w:rsidRPr="008E7CFB">
              <w:rPr>
                <w:rFonts w:cs="Times New Roman"/>
                <w:bCs/>
                <w:szCs w:val="24"/>
              </w:rPr>
              <w:t>(30,40)</w:t>
            </w:r>
          </w:p>
        </w:tc>
      </w:tr>
      <w:tr w:rsidR="0057356D" w:rsidRPr="008E7CFB" w14:paraId="1C0EE4DD" w14:textId="77777777" w:rsidTr="0057356D">
        <w:tc>
          <w:tcPr>
            <w:tcW w:w="3048" w:type="pct"/>
          </w:tcPr>
          <w:p w14:paraId="4B0DEF4D" w14:textId="77777777" w:rsidR="0057356D" w:rsidRPr="008E7CFB" w:rsidRDefault="0057356D" w:rsidP="0057356D">
            <w:pPr>
              <w:pStyle w:val="KeinLeerraum"/>
              <w:rPr>
                <w:rFonts w:cs="Times New Roman"/>
                <w:bCs/>
                <w:szCs w:val="24"/>
              </w:rPr>
            </w:pPr>
            <w:r w:rsidRPr="008E7CFB">
              <w:rPr>
                <w:rFonts w:cs="Times New Roman"/>
                <w:bCs/>
                <w:szCs w:val="24"/>
              </w:rPr>
              <w:t>“moderately to severely reduced systolic LV function”</w:t>
            </w:r>
          </w:p>
        </w:tc>
        <w:tc>
          <w:tcPr>
            <w:tcW w:w="1952" w:type="pct"/>
          </w:tcPr>
          <w:p w14:paraId="70A243C6" w14:textId="77777777" w:rsidR="0057356D" w:rsidRPr="008E7CFB" w:rsidRDefault="0057356D" w:rsidP="0057356D">
            <w:pPr>
              <w:pStyle w:val="KeinLeerraum"/>
              <w:jc w:val="right"/>
              <w:rPr>
                <w:rFonts w:cs="Times New Roman"/>
                <w:bCs/>
                <w:szCs w:val="24"/>
              </w:rPr>
            </w:pPr>
            <w:r w:rsidRPr="008E7CFB">
              <w:rPr>
                <w:rFonts w:cs="Times New Roman"/>
                <w:bCs/>
                <w:szCs w:val="24"/>
              </w:rPr>
              <w:t>(20,35)</w:t>
            </w:r>
          </w:p>
        </w:tc>
      </w:tr>
    </w:tbl>
    <w:p w14:paraId="026EB55A" w14:textId="77777777" w:rsidR="0057356D" w:rsidRDefault="0057356D" w:rsidP="0057356D">
      <w:pPr>
        <w:jc w:val="both"/>
        <w:rPr>
          <w:rFonts w:cs="Times New Roman"/>
          <w:bCs/>
          <w:szCs w:val="24"/>
        </w:rPr>
      </w:pPr>
    </w:p>
    <w:p w14:paraId="7847FB2D" w14:textId="77777777" w:rsidR="0057356D" w:rsidRDefault="0057356D" w:rsidP="0057356D">
      <w:pPr>
        <w:pStyle w:val="KeinLeerraum"/>
        <w:jc w:val="both"/>
      </w:pPr>
    </w:p>
    <w:p w14:paraId="7B65BC41" w14:textId="77777777" w:rsidR="00DE23E8" w:rsidRPr="001549D3" w:rsidRDefault="00DE23E8" w:rsidP="00B36807">
      <w:pPr>
        <w:pStyle w:val="KeinLeerraum"/>
        <w:jc w:val="both"/>
      </w:pPr>
    </w:p>
    <w:sectPr w:rsidR="00DE23E8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007246777">
    <w:abstractNumId w:val="0"/>
  </w:num>
  <w:num w:numId="2" w16cid:durableId="843783063">
    <w:abstractNumId w:val="4"/>
  </w:num>
  <w:num w:numId="3" w16cid:durableId="1689256201">
    <w:abstractNumId w:val="1"/>
  </w:num>
  <w:num w:numId="4" w16cid:durableId="1886526529">
    <w:abstractNumId w:val="5"/>
  </w:num>
  <w:num w:numId="5" w16cid:durableId="174071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761523">
    <w:abstractNumId w:val="3"/>
  </w:num>
  <w:num w:numId="7" w16cid:durableId="1854804481">
    <w:abstractNumId w:val="6"/>
  </w:num>
  <w:num w:numId="8" w16cid:durableId="271009834">
    <w:abstractNumId w:val="6"/>
  </w:num>
  <w:num w:numId="9" w16cid:durableId="1049458404">
    <w:abstractNumId w:val="6"/>
  </w:num>
  <w:num w:numId="10" w16cid:durableId="915477581">
    <w:abstractNumId w:val="6"/>
  </w:num>
  <w:num w:numId="11" w16cid:durableId="931819855">
    <w:abstractNumId w:val="6"/>
  </w:num>
  <w:num w:numId="12" w16cid:durableId="1210339626">
    <w:abstractNumId w:val="6"/>
  </w:num>
  <w:num w:numId="13" w16cid:durableId="1455834416">
    <w:abstractNumId w:val="3"/>
  </w:num>
  <w:num w:numId="14" w16cid:durableId="1050421333">
    <w:abstractNumId w:val="2"/>
  </w:num>
  <w:num w:numId="15" w16cid:durableId="1779368965">
    <w:abstractNumId w:val="2"/>
  </w:num>
  <w:num w:numId="16" w16cid:durableId="1667781975">
    <w:abstractNumId w:val="2"/>
  </w:num>
  <w:num w:numId="17" w16cid:durableId="1998608326">
    <w:abstractNumId w:val="2"/>
  </w:num>
  <w:num w:numId="18" w16cid:durableId="7414757">
    <w:abstractNumId w:val="2"/>
  </w:num>
  <w:num w:numId="19" w16cid:durableId="176364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168"/>
    <w:rsid w:val="00035434"/>
    <w:rsid w:val="00052A14"/>
    <w:rsid w:val="00077D53"/>
    <w:rsid w:val="00105FD9"/>
    <w:rsid w:val="00117666"/>
    <w:rsid w:val="00152122"/>
    <w:rsid w:val="001549D3"/>
    <w:rsid w:val="00160065"/>
    <w:rsid w:val="00177D84"/>
    <w:rsid w:val="00267D18"/>
    <w:rsid w:val="0027089A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E311F"/>
    <w:rsid w:val="00401590"/>
    <w:rsid w:val="00447801"/>
    <w:rsid w:val="00452E9C"/>
    <w:rsid w:val="004735C8"/>
    <w:rsid w:val="004947A6"/>
    <w:rsid w:val="004961FF"/>
    <w:rsid w:val="00503369"/>
    <w:rsid w:val="00517A89"/>
    <w:rsid w:val="005250F2"/>
    <w:rsid w:val="0057356D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040EF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6807"/>
    <w:rsid w:val="00B37F4D"/>
    <w:rsid w:val="00B83D5E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67D70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367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Florian Posch</cp:lastModifiedBy>
  <cp:revision>11</cp:revision>
  <cp:lastPrinted>2013-10-03T12:51:00Z</cp:lastPrinted>
  <dcterms:created xsi:type="dcterms:W3CDTF">2022-04-30T19:47:00Z</dcterms:created>
  <dcterms:modified xsi:type="dcterms:W3CDTF">2022-04-30T19:53:00Z</dcterms:modified>
</cp:coreProperties>
</file>