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67D8" w14:textId="77777777" w:rsidR="0093545C" w:rsidRPr="00CA26B3" w:rsidRDefault="00BD69F2">
      <w:pPr>
        <w:spacing w:line="48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A26B3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Supplementary Material</w:t>
      </w:r>
    </w:p>
    <w:tbl>
      <w:tblPr>
        <w:tblW w:w="89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010"/>
        <w:gridCol w:w="1423"/>
        <w:gridCol w:w="1137"/>
        <w:gridCol w:w="1818"/>
        <w:gridCol w:w="2116"/>
      </w:tblGrid>
      <w:tr w:rsidR="00CA26B3" w:rsidRPr="00CA26B3" w14:paraId="76774F38" w14:textId="77777777">
        <w:trPr>
          <w:trHeight w:val="295"/>
        </w:trPr>
        <w:tc>
          <w:tcPr>
            <w:tcW w:w="890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1FED8796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A26B3"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  <w:lang w:bidi="ar"/>
              </w:rPr>
              <w:t xml:space="preserve">Supplementary </w:t>
            </w:r>
            <w:r w:rsidRPr="00CA26B3"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:lang w:bidi="ar"/>
              </w:rPr>
              <w:t xml:space="preserve">Table </w:t>
            </w:r>
            <w:r w:rsidRPr="00CA26B3"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  <w:lang w:bidi="ar"/>
              </w:rPr>
              <w:t>1</w:t>
            </w:r>
            <w:r w:rsidRPr="00CA26B3"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:lang w:bidi="ar"/>
              </w:rPr>
              <w:t xml:space="preserve">. Body weights and blood glucose levels of the </w:t>
            </w:r>
            <w:r w:rsidRPr="00CA26B3"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  <w:lang w:bidi="ar"/>
              </w:rPr>
              <w:t>nondiabetic</w:t>
            </w:r>
            <w:r w:rsidRPr="00CA26B3"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:lang w:bidi="ar"/>
              </w:rPr>
              <w:t xml:space="preserve"> and diabetic rats</w:t>
            </w:r>
            <w:r w:rsidRPr="00CA26B3">
              <w:rPr>
                <w:rFonts w:ascii="Times New Roman" w:hAnsi="Times New Roman"/>
                <w:b/>
                <w:color w:val="000000" w:themeColor="text1"/>
                <w:kern w:val="0"/>
                <w:sz w:val="22"/>
                <w:szCs w:val="22"/>
                <w:lang w:bidi="ar"/>
              </w:rPr>
              <w:t xml:space="preserve">  </w:t>
            </w:r>
          </w:p>
        </w:tc>
      </w:tr>
      <w:tr w:rsidR="00CA26B3" w:rsidRPr="00CA26B3" w14:paraId="264CDDB5" w14:textId="77777777">
        <w:trPr>
          <w:trHeight w:val="295"/>
        </w:trPr>
        <w:tc>
          <w:tcPr>
            <w:tcW w:w="2410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270D5B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Group</w:t>
            </w:r>
          </w:p>
        </w:tc>
        <w:tc>
          <w:tcPr>
            <w:tcW w:w="1423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383932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Nondiabetic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F7048A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Diabetic</w:t>
            </w:r>
          </w:p>
        </w:tc>
        <w:tc>
          <w:tcPr>
            <w:tcW w:w="1818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75DFA6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Diabetic</w:t>
            </w: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+ BBR</w:t>
            </w:r>
            <w:r w:rsidRPr="00CA26B3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+ PBS</w:t>
            </w:r>
          </w:p>
        </w:tc>
        <w:tc>
          <w:tcPr>
            <w:tcW w:w="2116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11C204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D</w:t>
            </w:r>
            <w:r w:rsidRPr="00CA26B3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iabetic</w:t>
            </w: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+ BBR + SR95531</w:t>
            </w:r>
          </w:p>
        </w:tc>
      </w:tr>
      <w:tr w:rsidR="00CA26B3" w:rsidRPr="00CA26B3" w14:paraId="6DDE20EB" w14:textId="77777777">
        <w:trPr>
          <w:trHeight w:val="295"/>
        </w:trPr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E242D1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Body weights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2A3281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Baseline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19E04BF8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234.5±2.46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4CCF190C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237.9±3.73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4000C4CA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230.1±2.32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8A54A4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234.5±2.14</w:t>
            </w:r>
          </w:p>
        </w:tc>
      </w:tr>
      <w:tr w:rsidR="00CA26B3" w:rsidRPr="00CA26B3" w14:paraId="62131BDC" w14:textId="77777777">
        <w:trPr>
          <w:trHeight w:val="295"/>
        </w:trPr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DA1D59F" w14:textId="77777777" w:rsidR="0093545C" w:rsidRPr="00CA26B3" w:rsidRDefault="0093545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8D3783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 w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78977514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543.6±13.66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65736DF5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211.80±6.84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184E4D36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300.3±18.72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†, ‡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F4D81A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301.9±20.28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†, ‡</w:t>
            </w:r>
          </w:p>
        </w:tc>
      </w:tr>
      <w:tr w:rsidR="00CA26B3" w:rsidRPr="00CA26B3" w14:paraId="58AA038A" w14:textId="77777777">
        <w:trPr>
          <w:trHeight w:val="280"/>
        </w:trPr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20AC87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Blood glucose levels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877636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Baseline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09CEADD1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5.65±0.13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58EEE73E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5.28±0.21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602A17D4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5.38±0.18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E105D8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5.53±0.30</w:t>
            </w:r>
          </w:p>
        </w:tc>
      </w:tr>
      <w:tr w:rsidR="00CA26B3" w:rsidRPr="00CA26B3" w14:paraId="538B4ECE" w14:textId="77777777">
        <w:trPr>
          <w:trHeight w:val="295"/>
        </w:trPr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569755" w14:textId="77777777" w:rsidR="0093545C" w:rsidRPr="00CA26B3" w:rsidRDefault="0093545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F85552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8 w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4AEE0288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Style w:val="font21"/>
                <w:color w:val="000000" w:themeColor="text1"/>
                <w:sz w:val="18"/>
                <w:szCs w:val="18"/>
                <w:lang w:bidi="ar"/>
              </w:rPr>
              <w:t>6.3</w:t>
            </w:r>
            <w:r w:rsidRPr="00CA26B3">
              <w:rPr>
                <w:rStyle w:val="font21"/>
                <w:rFonts w:hint="eastAsia"/>
                <w:color w:val="000000" w:themeColor="text1"/>
                <w:sz w:val="18"/>
                <w:szCs w:val="18"/>
                <w:lang w:bidi="ar"/>
              </w:rPr>
              <w:t>7</w:t>
            </w:r>
            <w:r w:rsidRPr="00CA26B3">
              <w:rPr>
                <w:rStyle w:val="font21"/>
                <w:color w:val="000000" w:themeColor="text1"/>
                <w:sz w:val="18"/>
                <w:szCs w:val="18"/>
                <w:lang w:bidi="ar"/>
              </w:rPr>
              <w:t>±0.41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27E3E9C8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28.28±2.33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6D8C7758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22.28±2.31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CB5511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21.53±1.50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</w:tr>
      <w:tr w:rsidR="00CA26B3" w:rsidRPr="00CA26B3" w14:paraId="53A57CBC" w14:textId="77777777">
        <w:trPr>
          <w:trHeight w:val="280"/>
        </w:trPr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5B28AD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OGTT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1E3447A5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30 min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AD53C4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15.4±2.10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736357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33.3±0.00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B6D1FB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27.58±3.92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A247B4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22.23±3.75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</w:tr>
      <w:tr w:rsidR="00CA26B3" w:rsidRPr="00CA26B3" w14:paraId="55C7BCD2" w14:textId="77777777">
        <w:trPr>
          <w:trHeight w:val="280"/>
        </w:trPr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AF28EB" w14:textId="77777777" w:rsidR="0093545C" w:rsidRPr="00CA26B3" w:rsidRDefault="0093545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70C17312" w14:textId="77777777" w:rsidR="0093545C" w:rsidRPr="00CA26B3" w:rsidRDefault="00BD69F2">
            <w:pPr>
              <w:widowControl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1 </w:t>
            </w:r>
            <w:proofErr w:type="spellStart"/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hr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68601E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10.76±0.46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3C2BFF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33.3±0.00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70D252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28.5±3.28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4150DC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28.75±2.76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</w:tr>
      <w:tr w:rsidR="00CA26B3" w:rsidRPr="00CA26B3" w14:paraId="2150DC50" w14:textId="77777777">
        <w:trPr>
          <w:trHeight w:val="280"/>
        </w:trPr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A3A744" w14:textId="77777777" w:rsidR="0093545C" w:rsidRPr="00CA26B3" w:rsidRDefault="0093545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354D9E2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2 </w:t>
            </w:r>
            <w:proofErr w:type="spellStart"/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hr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378873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9.42±0.66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7A52FC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26.28±1.29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CE51A9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26.95±3.82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1F7825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26.13±4.31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</w:tr>
      <w:tr w:rsidR="00CA26B3" w:rsidRPr="00CA26B3" w14:paraId="3CCCF626" w14:textId="77777777">
        <w:trPr>
          <w:trHeight w:val="295"/>
        </w:trPr>
        <w:tc>
          <w:tcPr>
            <w:tcW w:w="14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20BDBB" w14:textId="77777777" w:rsidR="0093545C" w:rsidRPr="00CA26B3" w:rsidRDefault="0093545C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1B9284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3 </w:t>
            </w:r>
            <w:proofErr w:type="spellStart"/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hr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D094CA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6.14±0.21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E8E420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24.95±0.27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8451D4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18.25±4.73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440051" w14:textId="77777777" w:rsidR="0093545C" w:rsidRPr="00CA26B3" w:rsidRDefault="00BD69F2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18.43±4.44</w:t>
            </w:r>
            <w:r w:rsidRPr="00CA26B3">
              <w:rPr>
                <w:rFonts w:ascii="Helvetica" w:eastAsia="Helvetica" w:hAnsi="Helvetica" w:cs="Helvetica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†</w:t>
            </w:r>
          </w:p>
        </w:tc>
      </w:tr>
    </w:tbl>
    <w:p w14:paraId="1E0BD7AA" w14:textId="77777777" w:rsidR="0093545C" w:rsidRPr="00CA26B3" w:rsidRDefault="00BD69F2">
      <w:pPr>
        <w:spacing w:line="480" w:lineRule="auto"/>
        <w:rPr>
          <w:rFonts w:ascii="Times New Roman" w:hAnsi="Times New Roman"/>
          <w:color w:val="000000" w:themeColor="text1"/>
          <w:szCs w:val="21"/>
        </w:rPr>
      </w:pPr>
      <w:r w:rsidRPr="00CA26B3">
        <w:rPr>
          <w:rFonts w:ascii="Times New Roman" w:hAnsi="Times New Roman" w:hint="eastAsia"/>
          <w:color w:val="000000" w:themeColor="text1"/>
          <w:szCs w:val="21"/>
        </w:rPr>
        <w:t>*</w:t>
      </w:r>
      <w:r w:rsidRPr="00CA26B3">
        <w:rPr>
          <w:rFonts w:ascii="Times New Roman" w:hAnsi="Times New Roman"/>
          <w:color w:val="000000" w:themeColor="text1"/>
          <w:szCs w:val="21"/>
        </w:rPr>
        <w:t>The data are presented as the mean ± S</w:t>
      </w:r>
      <w:r w:rsidRPr="00CA26B3">
        <w:rPr>
          <w:rFonts w:ascii="Times New Roman" w:hAnsi="Times New Roman" w:hint="eastAsia"/>
          <w:color w:val="000000" w:themeColor="text1"/>
          <w:szCs w:val="21"/>
        </w:rPr>
        <w:t>E</w:t>
      </w:r>
      <w:r w:rsidRPr="00CA26B3">
        <w:rPr>
          <w:rFonts w:ascii="Times New Roman" w:hAnsi="Times New Roman"/>
          <w:color w:val="000000" w:themeColor="text1"/>
          <w:szCs w:val="21"/>
        </w:rPr>
        <w:t xml:space="preserve"> of the results.</w:t>
      </w:r>
      <w:r w:rsidRPr="00CA26B3">
        <w:rPr>
          <w:rFonts w:ascii="Times New Roman" w:hAnsi="Times New Roman" w:hint="eastAsia"/>
          <w:color w:val="000000" w:themeColor="text1"/>
          <w:szCs w:val="21"/>
        </w:rPr>
        <w:t xml:space="preserve"> </w:t>
      </w:r>
    </w:p>
    <w:p w14:paraId="475D4FA7" w14:textId="77777777" w:rsidR="0093545C" w:rsidRPr="00CA26B3" w:rsidRDefault="00BD69F2">
      <w:pPr>
        <w:spacing w:line="480" w:lineRule="auto"/>
        <w:rPr>
          <w:rFonts w:ascii="Times New Roman" w:hAnsi="Times New Roman"/>
          <w:color w:val="000000" w:themeColor="text1"/>
          <w:szCs w:val="21"/>
        </w:rPr>
      </w:pPr>
      <w:r w:rsidRPr="00CA26B3">
        <w:rPr>
          <w:rFonts w:ascii="Times New Roman" w:hAnsi="Times New Roman" w:hint="eastAsia"/>
          <w:color w:val="000000" w:themeColor="text1"/>
          <w:szCs w:val="21"/>
        </w:rPr>
        <w:t xml:space="preserve">Measure Unit: </w:t>
      </w:r>
      <w:bookmarkStart w:id="0" w:name="OLE_LINK28"/>
      <w:r w:rsidRPr="00CA26B3">
        <w:rPr>
          <w:rFonts w:ascii="Times New Roman" w:hAnsi="Times New Roman" w:hint="eastAsia"/>
          <w:color w:val="000000" w:themeColor="text1"/>
          <w:szCs w:val="21"/>
        </w:rPr>
        <w:t>body weights, g; blood glucose levels</w:t>
      </w:r>
      <w:bookmarkEnd w:id="0"/>
      <w:r w:rsidRPr="00CA26B3">
        <w:rPr>
          <w:rFonts w:ascii="Times New Roman" w:hAnsi="Times New Roman" w:hint="eastAsia"/>
          <w:color w:val="000000" w:themeColor="text1"/>
          <w:szCs w:val="21"/>
        </w:rPr>
        <w:t>, mmol/L.</w:t>
      </w:r>
    </w:p>
    <w:p w14:paraId="61C58AAA" w14:textId="77777777" w:rsidR="0093545C" w:rsidRPr="00CA26B3" w:rsidRDefault="00BD69F2">
      <w:pPr>
        <w:spacing w:line="480" w:lineRule="auto"/>
        <w:rPr>
          <w:rFonts w:ascii="Times New Roman" w:hAnsi="Times New Roman"/>
          <w:color w:val="000000" w:themeColor="text1"/>
          <w:szCs w:val="21"/>
        </w:rPr>
      </w:pPr>
      <w:r w:rsidRPr="00CA26B3">
        <w:rPr>
          <w:rFonts w:ascii="Helvetica" w:eastAsia="Helvetica" w:hAnsi="Helvetica" w:cs="Helvetica"/>
          <w:color w:val="000000" w:themeColor="text1"/>
          <w:sz w:val="22"/>
          <w:szCs w:val="22"/>
          <w:shd w:val="clear" w:color="auto" w:fill="FFFFFF"/>
          <w:vertAlign w:val="superscript"/>
        </w:rPr>
        <w:t>†</w:t>
      </w:r>
      <w:r w:rsidRPr="00CA26B3">
        <w:rPr>
          <w:rFonts w:ascii="Helvetica" w:hAnsi="Helvetica" w:cs="Helvetica" w:hint="eastAsia"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Pr="00CA26B3">
        <w:rPr>
          <w:rFonts w:ascii="Times New Roman" w:hAnsi="Times New Roman"/>
          <w:color w:val="000000" w:themeColor="text1"/>
          <w:szCs w:val="21"/>
        </w:rPr>
        <w:t xml:space="preserve">P &lt; 0.05 compared to the </w:t>
      </w:r>
      <w:r w:rsidRPr="00CA26B3">
        <w:rPr>
          <w:rFonts w:ascii="Times New Roman" w:hAnsi="Times New Roman" w:hint="eastAsia"/>
          <w:color w:val="000000" w:themeColor="text1"/>
          <w:szCs w:val="21"/>
        </w:rPr>
        <w:t>nondiabetic group</w:t>
      </w:r>
      <w:r w:rsidRPr="00CA26B3">
        <w:rPr>
          <w:rFonts w:ascii="Times New Roman" w:hAnsi="Times New Roman"/>
          <w:color w:val="000000" w:themeColor="text1"/>
          <w:szCs w:val="21"/>
        </w:rPr>
        <w:t>.</w:t>
      </w:r>
    </w:p>
    <w:p w14:paraId="72658328" w14:textId="77777777" w:rsidR="0093545C" w:rsidRPr="00CA26B3" w:rsidRDefault="00BD69F2">
      <w:pPr>
        <w:spacing w:line="480" w:lineRule="auto"/>
        <w:rPr>
          <w:rFonts w:ascii="Times New Roman" w:hAnsi="Times New Roman"/>
          <w:color w:val="000000" w:themeColor="text1"/>
          <w:szCs w:val="21"/>
        </w:rPr>
      </w:pPr>
      <w:r w:rsidRPr="00CA26B3">
        <w:rPr>
          <w:rFonts w:ascii="Helvetica" w:eastAsia="Helvetica" w:hAnsi="Helvetica" w:cs="Helvetica"/>
          <w:color w:val="000000" w:themeColor="text1"/>
          <w:sz w:val="22"/>
          <w:szCs w:val="22"/>
          <w:shd w:val="clear" w:color="auto" w:fill="FFFFFF"/>
          <w:vertAlign w:val="superscript"/>
        </w:rPr>
        <w:t>‡</w:t>
      </w:r>
      <w:r w:rsidRPr="00CA26B3">
        <w:rPr>
          <w:rFonts w:ascii="Times New Roman" w:hAnsi="Times New Roman" w:hint="eastAsia"/>
          <w:color w:val="000000" w:themeColor="text1"/>
          <w:szCs w:val="21"/>
          <w:vertAlign w:val="superscript"/>
        </w:rPr>
        <w:t xml:space="preserve"> </w:t>
      </w:r>
      <w:r w:rsidRPr="00CA26B3">
        <w:rPr>
          <w:rFonts w:ascii="Times New Roman" w:hAnsi="Times New Roman"/>
          <w:color w:val="000000" w:themeColor="text1"/>
          <w:szCs w:val="21"/>
        </w:rPr>
        <w:t>P &lt; 0.05 compared to the</w:t>
      </w:r>
      <w:r w:rsidRPr="00CA26B3">
        <w:rPr>
          <w:rFonts w:ascii="Times New Roman" w:hAnsi="Times New Roman" w:hint="eastAsia"/>
          <w:color w:val="000000" w:themeColor="text1"/>
          <w:szCs w:val="21"/>
        </w:rPr>
        <w:t xml:space="preserve"> diabetic group.</w:t>
      </w:r>
    </w:p>
    <w:p w14:paraId="3B6588D9" w14:textId="77777777" w:rsidR="0093545C" w:rsidRPr="00CA26B3" w:rsidRDefault="0093545C">
      <w:pPr>
        <w:spacing w:line="48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13FB54A" w14:textId="77777777" w:rsidR="0093545C" w:rsidRPr="00CA26B3" w:rsidRDefault="0093545C">
      <w:pPr>
        <w:spacing w:line="48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832" w:tblpY="451"/>
        <w:tblOverlap w:val="never"/>
        <w:tblW w:w="8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662"/>
        <w:gridCol w:w="1420"/>
        <w:gridCol w:w="1825"/>
        <w:gridCol w:w="2046"/>
      </w:tblGrid>
      <w:tr w:rsidR="00CA26B3" w:rsidRPr="00CA26B3" w14:paraId="4D188F49" w14:textId="77777777">
        <w:trPr>
          <w:trHeight w:val="337"/>
        </w:trPr>
        <w:tc>
          <w:tcPr>
            <w:tcW w:w="876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441AA429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A26B3">
              <w:rPr>
                <w:rFonts w:ascii="Times New Roman" w:hAnsi="Times New Roman" w:hint="eastAsia"/>
                <w:b/>
                <w:color w:val="000000" w:themeColor="text1"/>
                <w:kern w:val="0"/>
                <w:szCs w:val="21"/>
                <w:lang w:bidi="ar"/>
              </w:rPr>
              <w:t>Supplementary Table 2</w:t>
            </w:r>
            <w:r w:rsidRPr="00CA26B3">
              <w:rPr>
                <w:rFonts w:ascii="Times New Roman" w:hAnsi="Times New Roman"/>
                <w:b/>
                <w:color w:val="000000" w:themeColor="text1"/>
                <w:kern w:val="0"/>
                <w:szCs w:val="21"/>
                <w:lang w:bidi="ar"/>
              </w:rPr>
              <w:t>. Density of retinal ganglion cells ( cells/mm2) in four groups of rats.</w:t>
            </w:r>
          </w:p>
        </w:tc>
      </w:tr>
      <w:tr w:rsidR="00CA26B3" w:rsidRPr="00CA26B3" w14:paraId="18639581" w14:textId="77777777">
        <w:trPr>
          <w:trHeight w:val="320"/>
        </w:trPr>
        <w:tc>
          <w:tcPr>
            <w:tcW w:w="1812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3DCDEB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Group</w:t>
            </w:r>
          </w:p>
        </w:tc>
        <w:tc>
          <w:tcPr>
            <w:tcW w:w="1662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118783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Nondiabetic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33888FF2" w14:textId="77777777" w:rsidR="0093545C" w:rsidRPr="00CA26B3" w:rsidRDefault="00BD69F2"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Diabetic</w:t>
            </w:r>
          </w:p>
        </w:tc>
        <w:tc>
          <w:tcPr>
            <w:tcW w:w="1825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19070B36" w14:textId="77777777" w:rsidR="0093545C" w:rsidRPr="00CA26B3" w:rsidRDefault="00BD69F2"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Diabetic</w:t>
            </w: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 xml:space="preserve"> + BBR</w:t>
            </w:r>
            <w:r w:rsidRPr="00CA26B3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 xml:space="preserve"> + PBS</w:t>
            </w: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3E45D75B" w14:textId="77777777" w:rsidR="0093545C" w:rsidRPr="00CA26B3" w:rsidRDefault="00BD69F2">
            <w:pPr>
              <w:widowControl/>
              <w:spacing w:line="400" w:lineRule="exact"/>
              <w:textAlignment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Diabetic+BBR+</w:t>
            </w: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SR95531</w:t>
            </w:r>
          </w:p>
        </w:tc>
      </w:tr>
      <w:tr w:rsidR="00CA26B3" w:rsidRPr="00CA26B3" w14:paraId="48DDB8C3" w14:textId="77777777">
        <w:trPr>
          <w:trHeight w:val="473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3F6B285E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Central region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0CF861F6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Style w:val="font31"/>
                <w:color w:val="000000" w:themeColor="text1"/>
                <w:sz w:val="18"/>
                <w:szCs w:val="18"/>
                <w:lang w:bidi="ar"/>
              </w:rPr>
              <w:t xml:space="preserve">2829.4 </w:t>
            </w: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± 209.0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2FD2DC9B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Style w:val="font31"/>
                <w:color w:val="000000" w:themeColor="text1"/>
                <w:sz w:val="18"/>
                <w:szCs w:val="18"/>
                <w:lang w:bidi="ar"/>
              </w:rPr>
              <w:t xml:space="preserve">1175.6 </w:t>
            </w: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± 110.2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765EFAA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2081.8 ± 41.2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CA81FEE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1492.0 ± 152.7</w:t>
            </w:r>
          </w:p>
        </w:tc>
      </w:tr>
      <w:tr w:rsidR="00CA26B3" w:rsidRPr="00CA26B3" w14:paraId="1FFDC101" w14:textId="77777777">
        <w:trPr>
          <w:trHeight w:val="443"/>
        </w:trPr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7D05FFBB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Peripheral region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bottom"/>
          </w:tcPr>
          <w:p w14:paraId="6A30A28A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Style w:val="font31"/>
                <w:color w:val="000000" w:themeColor="text1"/>
                <w:sz w:val="18"/>
                <w:szCs w:val="18"/>
                <w:lang w:bidi="ar"/>
              </w:rPr>
              <w:t xml:space="preserve">1353.0 </w:t>
            </w: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± 69.2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66D880D7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825.2 ± 87.9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1AD3A9D9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1163.4 ± 105.6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527B955" w14:textId="77777777" w:rsidR="0093545C" w:rsidRPr="00CA26B3" w:rsidRDefault="00BD69F2">
            <w:pPr>
              <w:widowControl/>
              <w:spacing w:line="400" w:lineRule="exact"/>
              <w:textAlignment w:val="bottom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A26B3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  <w:lang w:bidi="ar"/>
              </w:rPr>
              <w:t>867.2 ± 71.3</w:t>
            </w:r>
          </w:p>
        </w:tc>
      </w:tr>
    </w:tbl>
    <w:p w14:paraId="64E21602" w14:textId="77777777" w:rsidR="0093545C" w:rsidRPr="00CA26B3" w:rsidRDefault="00BD69F2">
      <w:pPr>
        <w:spacing w:line="480" w:lineRule="auto"/>
        <w:rPr>
          <w:rStyle w:val="Emphasis"/>
          <w:rFonts w:ascii="Helvetica" w:eastAsia="Helvetica" w:hAnsi="Helvetica" w:cs="Helvetica"/>
          <w:color w:val="000000" w:themeColor="text1"/>
          <w:sz w:val="18"/>
          <w:szCs w:val="18"/>
          <w:shd w:val="clear" w:color="auto" w:fill="F9F9F9"/>
        </w:rPr>
      </w:pPr>
      <w:r w:rsidRPr="00CA26B3">
        <w:rPr>
          <w:rFonts w:ascii="Times New Roman" w:hAnsi="Times New Roman" w:hint="eastAsia"/>
          <w:color w:val="000000" w:themeColor="text1"/>
          <w:szCs w:val="21"/>
        </w:rPr>
        <w:t xml:space="preserve">*N = 5, </w:t>
      </w:r>
      <w:r w:rsidRPr="00CA26B3">
        <w:rPr>
          <w:rFonts w:ascii="Times New Roman" w:hAnsi="Times New Roman"/>
          <w:color w:val="000000" w:themeColor="text1"/>
          <w:szCs w:val="21"/>
        </w:rPr>
        <w:t>the results are</w:t>
      </w:r>
      <w:r w:rsidRPr="00CA26B3">
        <w:rPr>
          <w:rFonts w:ascii="Times New Roman" w:hAnsi="Times New Roman" w:hint="eastAsia"/>
          <w:color w:val="000000" w:themeColor="text1"/>
          <w:szCs w:val="21"/>
        </w:rPr>
        <w:t xml:space="preserve"> analyzed using </w:t>
      </w:r>
      <w:r w:rsidRPr="00CA26B3">
        <w:rPr>
          <w:rFonts w:ascii="Times New Roman" w:hAnsi="Times New Roman"/>
          <w:color w:val="000000" w:themeColor="text1"/>
          <w:szCs w:val="21"/>
        </w:rPr>
        <w:t>one-way ANOVA</w:t>
      </w:r>
      <w:r w:rsidRPr="00CA26B3">
        <w:rPr>
          <w:rFonts w:ascii="Times New Roman" w:hAnsi="Times New Roman" w:hint="eastAsia"/>
          <w:color w:val="000000" w:themeColor="text1"/>
          <w:szCs w:val="21"/>
        </w:rPr>
        <w:t xml:space="preserve"> and</w:t>
      </w:r>
      <w:r w:rsidRPr="00CA26B3">
        <w:rPr>
          <w:rFonts w:ascii="Times New Roman" w:hAnsi="Times New Roman"/>
          <w:color w:val="000000" w:themeColor="text1"/>
          <w:szCs w:val="21"/>
        </w:rPr>
        <w:t xml:space="preserve"> expressed as the</w:t>
      </w:r>
      <w:r w:rsidRPr="00CA26B3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Pr="00CA26B3">
        <w:rPr>
          <w:rFonts w:ascii="Times New Roman" w:hAnsi="Times New Roman"/>
          <w:color w:val="000000" w:themeColor="text1"/>
          <w:szCs w:val="21"/>
        </w:rPr>
        <w:t>mean ±</w:t>
      </w:r>
      <w:r w:rsidRPr="00CA26B3"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 w:rsidRPr="00CA26B3">
        <w:rPr>
          <w:rFonts w:ascii="Times New Roman" w:hAnsi="Times New Roman"/>
          <w:color w:val="000000" w:themeColor="text1"/>
          <w:szCs w:val="21"/>
        </w:rPr>
        <w:t>SE</w:t>
      </w:r>
      <w:r w:rsidRPr="00CA26B3">
        <w:rPr>
          <w:rFonts w:ascii="Times New Roman" w:hAnsi="Times New Roman" w:hint="eastAsia"/>
          <w:color w:val="000000" w:themeColor="text1"/>
          <w:szCs w:val="21"/>
        </w:rPr>
        <w:t>.</w:t>
      </w:r>
    </w:p>
    <w:p w14:paraId="507331FA" w14:textId="77777777" w:rsidR="0093545C" w:rsidRPr="00CA26B3" w:rsidRDefault="00BD69F2">
      <w:pPr>
        <w:spacing w:line="480" w:lineRule="auto"/>
        <w:rPr>
          <w:rStyle w:val="Emphasis"/>
          <w:rFonts w:eastAsia="Helvetica"/>
          <w:color w:val="000000" w:themeColor="text1"/>
          <w:sz w:val="24"/>
          <w:shd w:val="clear" w:color="auto" w:fill="F9F9F9"/>
        </w:rPr>
      </w:pPr>
      <w:r w:rsidRPr="00CA26B3">
        <w:rPr>
          <w:rFonts w:ascii="Times New Roman" w:hAnsi="Times New Roman" w:hint="eastAsia"/>
          <w:b/>
          <w:bCs/>
          <w:color w:val="000000" w:themeColor="text1"/>
          <w:szCs w:val="21"/>
        </w:rPr>
        <w:t xml:space="preserve"> </w:t>
      </w:r>
    </w:p>
    <w:p w14:paraId="6E512932" w14:textId="77777777" w:rsidR="0093545C" w:rsidRPr="00CA26B3" w:rsidRDefault="0093545C">
      <w:pPr>
        <w:rPr>
          <w:color w:val="000000" w:themeColor="text1"/>
        </w:rPr>
      </w:pPr>
    </w:p>
    <w:sectPr w:rsidR="0093545C" w:rsidRPr="00CA26B3" w:rsidSect="00F3371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E81B" w14:textId="77777777" w:rsidR="00BD69F2" w:rsidRDefault="00BD69F2">
      <w:r>
        <w:separator/>
      </w:r>
    </w:p>
  </w:endnote>
  <w:endnote w:type="continuationSeparator" w:id="0">
    <w:p w14:paraId="4AD9525D" w14:textId="77777777" w:rsidR="00BD69F2" w:rsidRDefault="00BD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939" w14:textId="77777777" w:rsidR="0093545C" w:rsidRDefault="00BD69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C36AB" wp14:editId="3D3A28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2B8DB7" w14:textId="77777777" w:rsidR="0093545C" w:rsidRDefault="00BD69F2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6435" w14:textId="77777777" w:rsidR="00BD69F2" w:rsidRDefault="00BD69F2">
      <w:r>
        <w:separator/>
      </w:r>
    </w:p>
  </w:footnote>
  <w:footnote w:type="continuationSeparator" w:id="0">
    <w:p w14:paraId="38C42287" w14:textId="77777777" w:rsidR="00BD69F2" w:rsidRDefault="00BD6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wM2IxOTRlNjViN2ExZDc2MjRlMmFlZDdmZWJmZjYifQ=="/>
  </w:docVars>
  <w:rsids>
    <w:rsidRoot w:val="200A49FB"/>
    <w:rsid w:val="0093545C"/>
    <w:rsid w:val="00BD69F2"/>
    <w:rsid w:val="00CA26B3"/>
    <w:rsid w:val="00F33713"/>
    <w:rsid w:val="07814D74"/>
    <w:rsid w:val="200A49FB"/>
    <w:rsid w:val="76E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C0841"/>
  <w15:docId w15:val="{BFF94350-40BF-B14B-A1E6-A0A07645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Emphasis">
    <w:name w:val="Emphasis"/>
    <w:qFormat/>
    <w:rPr>
      <w:i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styleId="LineNumber">
    <w:name w:val="line number"/>
    <w:basedOn w:val="DefaultParagraphFont"/>
    <w:rsid w:val="00F3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7FB610-0709-5540-83DB-8A4D41F3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fangwangyi</dc:creator>
  <cp:lastModifiedBy>Molly Tottman</cp:lastModifiedBy>
  <cp:revision>2</cp:revision>
  <dcterms:created xsi:type="dcterms:W3CDTF">2022-04-08T06:29:00Z</dcterms:created>
  <dcterms:modified xsi:type="dcterms:W3CDTF">2022-07-14T11:31:00Z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91E29D91310248C4AD4ABD148BC54001</vt:lpwstr>
  </property>
</Properties>
</file>