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9E17E" w14:textId="77777777" w:rsidR="005C0AEE" w:rsidRDefault="009005D2">
      <w:pPr>
        <w:pStyle w:val="Heading2"/>
      </w:pPr>
      <w:bookmarkStart w:id="0" w:name="_xxsrzma5rxrr" w:colFirst="0" w:colLast="0"/>
      <w:bookmarkEnd w:id="0"/>
      <w:r>
        <w:t>Supplementary Methods</w:t>
      </w:r>
    </w:p>
    <w:p w14:paraId="55FC5851" w14:textId="77777777" w:rsidR="005C0AEE" w:rsidRDefault="009005D2">
      <w:pPr>
        <w:pStyle w:val="Heading3"/>
      </w:pPr>
      <w:bookmarkStart w:id="1" w:name="_yq3brqpdex2j" w:colFirst="0" w:colLast="0"/>
      <w:bookmarkEnd w:id="1"/>
      <w:r>
        <w:t>Bulk RNA sequencing in ROS/MAP</w:t>
      </w:r>
    </w:p>
    <w:p w14:paraId="4CD50872" w14:textId="29C105D9" w:rsidR="005C0AEE" w:rsidRDefault="009005D2">
      <w:r>
        <w:t xml:space="preserve">All samples were extracted using Qiagen's </w:t>
      </w:r>
      <w:proofErr w:type="spellStart"/>
      <w:r>
        <w:t>miRNeasy</w:t>
      </w:r>
      <w:proofErr w:type="spellEnd"/>
      <w:r>
        <w:t xml:space="preserve"> mini kit (cat. no. 217004) and the RNase free DNase Set (cat. no. 79254), and quality was evaluated by Agilent Bioanalyzer. Briefly, for pipeline #1, The Broad </w:t>
      </w:r>
      <w:proofErr w:type="spellStart"/>
      <w:r>
        <w:t>Institutes's</w:t>
      </w:r>
      <w:proofErr w:type="spellEnd"/>
      <w:r>
        <w:t xml:space="preserve"> Genomics Platform performed RNA-Seq library preparation using the strand specific </w:t>
      </w:r>
      <w:proofErr w:type="spellStart"/>
      <w:r>
        <w:t>dUTP</w:t>
      </w:r>
      <w:proofErr w:type="spellEnd"/>
      <w:r>
        <w:t xml:space="preserve"> method with poly-A selection. Sequencing was performed on the Illumina </w:t>
      </w:r>
      <w:proofErr w:type="spellStart"/>
      <w:r>
        <w:t>HiSeq</w:t>
      </w:r>
      <w:proofErr w:type="spellEnd"/>
      <w:r>
        <w:t xml:space="preserve"> with 101bp paired-end reads and achieved coverage of 150M reads of the first 12 samples. The remaining samples were sequenced with coverage of 50M reads. For pipeline #2, RNA sequencing libraries were prepared using the KAPA Stranded RNA-Seq Kit with </w:t>
      </w:r>
      <w:proofErr w:type="spellStart"/>
      <w:r>
        <w:t>RiboErase</w:t>
      </w:r>
      <w:proofErr w:type="spellEnd"/>
      <w:r>
        <w:t xml:space="preserve"> (</w:t>
      </w:r>
      <w:proofErr w:type="spellStart"/>
      <w:r>
        <w:t>kapabiosystems</w:t>
      </w:r>
      <w:proofErr w:type="spellEnd"/>
      <w:r>
        <w:t xml:space="preserve">) in accordance with the manufacturer’s instructions. Sequencing was performed on the Illumina NovaSeq6000 using 2 x 100bp cycles targeting 30 million reads per sample. For pipeline #3, RNA was extracted using </w:t>
      </w:r>
      <w:proofErr w:type="spellStart"/>
      <w:r>
        <w:t>Chemagic</w:t>
      </w:r>
      <w:proofErr w:type="spellEnd"/>
      <w:r>
        <w:t xml:space="preserve"> RNA tissue kits (Perkin Elmer, CMG-1212) on a </w:t>
      </w:r>
      <w:proofErr w:type="spellStart"/>
      <w:r>
        <w:t>Chemagic</w:t>
      </w:r>
      <w:proofErr w:type="spellEnd"/>
      <w:r>
        <w:t xml:space="preserve"> 360 instrument. 500ng total RNA was used as input for sequencing library generation and rRNA was depleted with </w:t>
      </w:r>
      <w:proofErr w:type="spellStart"/>
      <w:r>
        <w:t>RiboGold</w:t>
      </w:r>
      <w:proofErr w:type="spellEnd"/>
      <w:r>
        <w:t xml:space="preserve"> (Illumina, 20020599). A Zephyr G3 NGS workstation (Perkin Elmer) was utilized to generate </w:t>
      </w:r>
      <w:proofErr w:type="spellStart"/>
      <w:r>
        <w:t>TruSeq</w:t>
      </w:r>
      <w:proofErr w:type="spellEnd"/>
      <w:r>
        <w:t xml:space="preserve"> stranded sequencing libraries (Illumina, 20020599). Sequencing was performed on a NovaSeq6000 (Illumina) at 40-50M reads (2x150bp paired end). Full details on these methods are available on the AMP-AD knowledge portal (syn3219045).</w:t>
      </w:r>
    </w:p>
    <w:p w14:paraId="23B1EDBC" w14:textId="77777777" w:rsidR="005C0AEE" w:rsidRDefault="009005D2">
      <w:pPr>
        <w:pStyle w:val="Heading3"/>
      </w:pPr>
      <w:bookmarkStart w:id="2" w:name="_g0rxyfm7qo2n" w:colFirst="0" w:colLast="0"/>
      <w:bookmarkEnd w:id="2"/>
      <w:r>
        <w:t xml:space="preserve">Single-nucleus </w:t>
      </w:r>
      <w:proofErr w:type="spellStart"/>
      <w:r>
        <w:t>RNAseq</w:t>
      </w:r>
      <w:proofErr w:type="spellEnd"/>
      <w:r>
        <w:t xml:space="preserve"> datasets</w:t>
      </w:r>
    </w:p>
    <w:p w14:paraId="7BFA037C" w14:textId="1B73A644" w:rsidR="005C0AEE" w:rsidRDefault="009005D2">
      <w:r>
        <w:t>In total, we accessed expression data from four human cortical single-nucleus RNA</w:t>
      </w:r>
      <w:r w:rsidR="00D85B67">
        <w:t>-</w:t>
      </w:r>
      <w:r>
        <w:t>sequencing (</w:t>
      </w:r>
      <w:proofErr w:type="spellStart"/>
      <w:r>
        <w:t>snRNAseq</w:t>
      </w:r>
      <w:proofErr w:type="spellEnd"/>
      <w:r>
        <w:t>) datasets for this study.</w:t>
      </w:r>
    </w:p>
    <w:p w14:paraId="4164A31C" w14:textId="77777777" w:rsidR="005C0AEE" w:rsidRDefault="005C0AEE"/>
    <w:p w14:paraId="4CD234C6" w14:textId="77777777" w:rsidR="005C0AEE" w:rsidRDefault="009005D2">
      <w:r>
        <w:t xml:space="preserve">For cell type marker gene development, </w:t>
      </w:r>
      <w:proofErr w:type="spellStart"/>
      <w:r>
        <w:t>ultra high</w:t>
      </w:r>
      <w:proofErr w:type="spellEnd"/>
      <w:r>
        <w:t>-depth single-nucleus RNA sequencing data from the human neocortex was obtained from datasets provided by the Allen Institute for Brain Sciences (AIBS). Specifically, we made use of the “Multiple Cortical Areas - Smart-seq (2019)” dataset accessed in August 2020 (</w:t>
      </w:r>
      <w:hyperlink r:id="rId5">
        <w:r>
          <w:rPr>
            <w:color w:val="1155CC"/>
            <w:u w:val="single"/>
          </w:rPr>
          <w:t>https://portal.brain-map.org/atlases-and-data/rnaseq/human-multiple-cortical-areas-smart-seq</w:t>
        </w:r>
      </w:hyperlink>
      <w:r>
        <w:t xml:space="preserve">) with collection and analysis methodology described in Hodge et al. 2019 </w:t>
      </w:r>
      <w:hyperlink r:id="rId6">
        <w:r>
          <w:t>[1]</w:t>
        </w:r>
      </w:hyperlink>
      <w:r>
        <w:t>. Briefly, single nuclei were sorted and reverse transcribed using SMART-Seq.v4 protocol. Outlier cells were removed according to the “</w:t>
      </w:r>
      <w:proofErr w:type="spellStart"/>
      <w:r>
        <w:t>outlier_call</w:t>
      </w:r>
      <w:proofErr w:type="spellEnd"/>
      <w:r>
        <w:t xml:space="preserve">” column in accompanying metadata. For our analyses, we used all nuclei sampled from the cingulate gyrus (5,939 nuclei) and medial temporal cortex (15,519), as these correspond most closely with the bulk expression samples described above. Given that nuclei from non-neuronal cell types were relatively </w:t>
      </w:r>
      <w:proofErr w:type="spellStart"/>
      <w:r>
        <w:t>undersampled</w:t>
      </w:r>
      <w:proofErr w:type="spellEnd"/>
      <w:r>
        <w:t xml:space="preserve"> in these datasets (722 from cingulate gyrus and 1,411 from medial temporal cortex), we supplemented with 2,620 nuclei corresponding to non-neurons sampled from other cortical regions, including visual, auditory, somatosensory and motor cortex (502, 742, 595, and 781 nuclei respectively). </w:t>
      </w:r>
    </w:p>
    <w:p w14:paraId="373F7456" w14:textId="77777777" w:rsidR="005C0AEE" w:rsidRDefault="005C0AEE"/>
    <w:p w14:paraId="185ECA02" w14:textId="77777777" w:rsidR="005C0AEE" w:rsidRDefault="009005D2">
      <w:r>
        <w:t xml:space="preserve">For analyses of </w:t>
      </w:r>
      <w:proofErr w:type="spellStart"/>
      <w:r>
        <w:t>snRNAseq</w:t>
      </w:r>
      <w:proofErr w:type="spellEnd"/>
      <w:r>
        <w:t xml:space="preserve">-derived cell type proportions in AD, three </w:t>
      </w:r>
      <w:proofErr w:type="spellStart"/>
      <w:r>
        <w:t>snRNAseq</w:t>
      </w:r>
      <w:proofErr w:type="spellEnd"/>
      <w:r>
        <w:t xml:space="preserve"> datasets collected from individual subjects sampled from the ROS/MAP cohort were also used. </w:t>
      </w:r>
    </w:p>
    <w:p w14:paraId="07785C23" w14:textId="77777777" w:rsidR="005C0AEE" w:rsidRDefault="009005D2">
      <w:pPr>
        <w:numPr>
          <w:ilvl w:val="0"/>
          <w:numId w:val="1"/>
        </w:numPr>
        <w:rPr>
          <w:color w:val="000000"/>
        </w:rPr>
      </w:pPr>
      <w:proofErr w:type="spellStart"/>
      <w:r>
        <w:lastRenderedPageBreak/>
        <w:t>Mathys</w:t>
      </w:r>
      <w:proofErr w:type="spellEnd"/>
      <w:r>
        <w:t xml:space="preserve"> et al </w:t>
      </w:r>
      <w:hyperlink r:id="rId7">
        <w:r>
          <w:t>[2]</w:t>
        </w:r>
      </w:hyperlink>
      <w:r>
        <w:t xml:space="preserve">, sampled from 48 individuals. Processed data were obtained from Synapse (ID: </w:t>
      </w:r>
      <w:r>
        <w:rPr>
          <w:rFonts w:ascii="Roboto" w:eastAsia="Roboto" w:hAnsi="Roboto" w:cs="Roboto"/>
          <w:sz w:val="21"/>
          <w:szCs w:val="21"/>
          <w:highlight w:val="white"/>
        </w:rPr>
        <w:t>syn18681734</w:t>
      </w:r>
      <w:r>
        <w:t>). Specifically, we made use of files labeled “</w:t>
      </w:r>
      <w:proofErr w:type="spellStart"/>
      <w:r>
        <w:t>filtered_count_matrix.mtx</w:t>
      </w:r>
      <w:proofErr w:type="spellEnd"/>
      <w:r>
        <w:t xml:space="preserve">” and “filtered_column_metadata.txt”, which reflected 70634 cells passing quality control (described in </w:t>
      </w:r>
      <w:hyperlink r:id="rId8">
        <w:r>
          <w:t>[2]</w:t>
        </w:r>
      </w:hyperlink>
      <w:r>
        <w:t>).</w:t>
      </w:r>
    </w:p>
    <w:p w14:paraId="2F73610A" w14:textId="77777777" w:rsidR="005C0AEE" w:rsidRDefault="009005D2">
      <w:pPr>
        <w:numPr>
          <w:ilvl w:val="0"/>
          <w:numId w:val="1"/>
        </w:numPr>
        <w:rPr>
          <w:color w:val="000000"/>
        </w:rPr>
      </w:pPr>
      <w:r>
        <w:t xml:space="preserve">Zhou et al </w:t>
      </w:r>
      <w:hyperlink r:id="rId9">
        <w:r>
          <w:t>[3]</w:t>
        </w:r>
      </w:hyperlink>
      <w:r>
        <w:t xml:space="preserve">, reflecting 32 individual subjects. We processed and analyzed data from 32 10X-genomics-format matrices with their accompanying metadata (“snRNAseqAD_TREM2_assay_scRNAseq_metadata.csv” and “snRNAseqAD_TREM2_biospecimen_metadata.csv”), also from synapse.org (ID: syn21670836). As the cells from these files were not pre-filtered based on quality control metrics, we performed a simple quality-control step by selecting cells that expressed 200-2500 genes after mapping cells to the AIBS cell taxonomy as described below. After filtering, this Zhou et al dataset consisted of 89993 cells. The authors state that their </w:t>
      </w:r>
      <w:proofErr w:type="spellStart"/>
      <w:r>
        <w:t>RNAseq</w:t>
      </w:r>
      <w:proofErr w:type="spellEnd"/>
      <w:r>
        <w:t xml:space="preserve"> data were aligned to the “hg38, human genome GRCh38” reference.</w:t>
      </w:r>
    </w:p>
    <w:p w14:paraId="785E8A8E" w14:textId="77777777" w:rsidR="005C0AEE" w:rsidRDefault="009005D2">
      <w:pPr>
        <w:numPr>
          <w:ilvl w:val="0"/>
          <w:numId w:val="1"/>
        </w:numPr>
        <w:rPr>
          <w:color w:val="000000"/>
        </w:rPr>
      </w:pPr>
      <w:r>
        <w:t xml:space="preserve">Cain et al </w:t>
      </w:r>
      <w:hyperlink r:id="rId10">
        <w:r>
          <w:t>[4]</w:t>
        </w:r>
      </w:hyperlink>
      <w:r>
        <w:t xml:space="preserve">, reflecting 24 individual subjects. Processed data were obtained from “ROSMAP_Brain.snRNAseq_metadata_cells_20201107.csv", “ROSMAP_Brain.snRNAseq_metadata_genes_20201107.csv”, and “ROSMAP_Brain.snRNAseq_counts_sparse_format_20201107.csv.gz” (synapse ID: syn16780177). The dataset contains 162767 cells. The authors state that their </w:t>
      </w:r>
      <w:proofErr w:type="spellStart"/>
      <w:r>
        <w:t>RNAseq</w:t>
      </w:r>
      <w:proofErr w:type="spellEnd"/>
      <w:r>
        <w:t xml:space="preserve"> data were aligned to “the hg38 transcriptome”. Cells that the authors labelled as "None.NA" for their cell-type identity were considered low quality and removed from further analysis. </w:t>
      </w:r>
    </w:p>
    <w:p w14:paraId="5DF66631" w14:textId="77777777" w:rsidR="005C0AEE" w:rsidRDefault="005C0AEE">
      <w:pPr>
        <w:rPr>
          <w:highlight w:val="yellow"/>
        </w:rPr>
      </w:pPr>
    </w:p>
    <w:p w14:paraId="50BB4256" w14:textId="77777777" w:rsidR="005C0AEE" w:rsidRDefault="009005D2">
      <w:pPr>
        <w:pStyle w:val="Heading3"/>
      </w:pPr>
      <w:bookmarkStart w:id="3" w:name="_brjfjs9fc9et" w:colFirst="0" w:colLast="0"/>
      <w:bookmarkEnd w:id="3"/>
      <w:r>
        <w:t>Description of Cell Type Taxonomy</w:t>
      </w:r>
    </w:p>
    <w:p w14:paraId="3AECC398" w14:textId="77777777" w:rsidR="005C0AEE" w:rsidRDefault="009005D2">
      <w:r>
        <w:t xml:space="preserve">We made use of the cortical cell type taxonomy recently established by the Allen Institute for Brain Sciences (AIBS) that defines taxonomic relationships between cells and cell types in the human neocortex </w:t>
      </w:r>
      <w:hyperlink r:id="rId11">
        <w:r>
          <w:t>[1]</w:t>
        </w:r>
      </w:hyperlink>
      <w:r>
        <w:t xml:space="preserve">. This taxonomy was based on unbiased clustering analysis of </w:t>
      </w:r>
      <w:proofErr w:type="spellStart"/>
      <w:r>
        <w:t>snRNAseq</w:t>
      </w:r>
      <w:proofErr w:type="spellEnd"/>
      <w:r>
        <w:t xml:space="preserve"> datasets and uses consistent nomenclature with orthologous datasets from the mouse neocortex, enabling annotation of </w:t>
      </w:r>
      <w:proofErr w:type="spellStart"/>
      <w:r>
        <w:t>snRNAseq</w:t>
      </w:r>
      <w:proofErr w:type="spellEnd"/>
      <w:r>
        <w:t xml:space="preserve"> derived clusters with multi-modal features and attributes. We focused our analyses primarily on the “subclass” cell type resolution (e.g., somatostatin-expressing GABAergic interneurons), which serves as an intermediate resolution between more coarse-grained (e.g., excitatory versus inhibitory neurons) and fine-grained cell taxonomic divisions (e.g., </w:t>
      </w:r>
      <w:proofErr w:type="spellStart"/>
      <w:r>
        <w:t>Martinotti</w:t>
      </w:r>
      <w:proofErr w:type="spellEnd"/>
      <w:r>
        <w:t xml:space="preserve"> neurons). Taxonomy information can be found here: https://portal.brain-map.org/atlases-and-data/rnaseq/human-multiple-cortical-areas-smart-seq.</w:t>
      </w:r>
    </w:p>
    <w:p w14:paraId="28187CB5" w14:textId="77777777" w:rsidR="005C0AEE" w:rsidRDefault="005C0AEE"/>
    <w:p w14:paraId="4E74E11A" w14:textId="77777777" w:rsidR="005C0AEE" w:rsidRDefault="009005D2">
      <w:r>
        <w:t>Cell types were primarily operationally defined at the “subclass” resolution as defined by AIBS, using the column “</w:t>
      </w:r>
      <w:proofErr w:type="spellStart"/>
      <w:r>
        <w:t>subclass_label</w:t>
      </w:r>
      <w:proofErr w:type="spellEnd"/>
      <w:r>
        <w:t>”. We similarly made use of cell class definitions provided by AIBS via the “</w:t>
      </w:r>
      <w:proofErr w:type="spellStart"/>
      <w:r>
        <w:t>class_label</w:t>
      </w:r>
      <w:proofErr w:type="spellEnd"/>
      <w:r>
        <w:t xml:space="preserve">” column, which identified cells as “GABAergic”, “Glutamatergic”, and “Non-neuronal”. Finally, we also combined the GABAergic and Glutamatergic cells defined by AIBS class labels into a “Neuronal” group. We used AIBS defined subclasses, classes, and our AIBS-derived “Neuronal” group for the marker selection and/or subsequent analyses described below. </w:t>
      </w:r>
    </w:p>
    <w:p w14:paraId="74EC88DF" w14:textId="77777777" w:rsidR="005C0AEE" w:rsidRDefault="009005D2">
      <w:pPr>
        <w:pStyle w:val="Heading3"/>
      </w:pPr>
      <w:bookmarkStart w:id="4" w:name="_jar0kkagy71m" w:colFirst="0" w:colLast="0"/>
      <w:bookmarkEnd w:id="4"/>
      <w:r>
        <w:lastRenderedPageBreak/>
        <w:t xml:space="preserve">Mapping of external </w:t>
      </w:r>
      <w:proofErr w:type="spellStart"/>
      <w:r>
        <w:t>snRNAseq</w:t>
      </w:r>
      <w:proofErr w:type="spellEnd"/>
      <w:r>
        <w:t xml:space="preserve"> data onto AIBS cell taxonomy</w:t>
      </w:r>
    </w:p>
    <w:p w14:paraId="314BB877" w14:textId="77777777" w:rsidR="005C0AEE" w:rsidRDefault="009005D2">
      <w:r>
        <w:t xml:space="preserve">Cells from each of the three ROS/MAP </w:t>
      </w:r>
      <w:proofErr w:type="spellStart"/>
      <w:r>
        <w:t>snRNAseq</w:t>
      </w:r>
      <w:proofErr w:type="spellEnd"/>
      <w:r>
        <w:t xml:space="preserve"> datasets (</w:t>
      </w:r>
      <w:proofErr w:type="spellStart"/>
      <w:r>
        <w:t>Mathys</w:t>
      </w:r>
      <w:proofErr w:type="spellEnd"/>
      <w:r>
        <w:t xml:space="preserve">, Zhou, and Cain) were mapped onto the AIBS </w:t>
      </w:r>
      <w:proofErr w:type="spellStart"/>
      <w:r>
        <w:t>snRNAseq</w:t>
      </w:r>
      <w:proofErr w:type="spellEnd"/>
      <w:r>
        <w:t xml:space="preserve"> dataset after the cell selection described under “Single-cell </w:t>
      </w:r>
      <w:proofErr w:type="spellStart"/>
      <w:r>
        <w:t>RNAseq</w:t>
      </w:r>
      <w:proofErr w:type="spellEnd"/>
      <w:r>
        <w:t xml:space="preserve"> dataset description”, including filtering out low-quality outlier cells. Cross-dataset mapping was performed using the </w:t>
      </w:r>
      <w:proofErr w:type="spellStart"/>
      <w:r>
        <w:t>FindTransferAnchors</w:t>
      </w:r>
      <w:proofErr w:type="spellEnd"/>
      <w:r>
        <w:t xml:space="preserve"> and </w:t>
      </w:r>
      <w:proofErr w:type="spellStart"/>
      <w:r>
        <w:t>TransferData</w:t>
      </w:r>
      <w:proofErr w:type="spellEnd"/>
      <w:r>
        <w:t xml:space="preserve"> functions in Seurat version 3.2.1 after identification of the top 20 percent of most variable features (genes) for each dataset </w:t>
      </w:r>
      <w:hyperlink r:id="rId12">
        <w:r>
          <w:t>[5]</w:t>
        </w:r>
      </w:hyperlink>
      <w:r>
        <w:t xml:space="preserve">. </w:t>
      </w:r>
      <w:proofErr w:type="spellStart"/>
      <w:r>
        <w:t>snRNAseq</w:t>
      </w:r>
      <w:proofErr w:type="spellEnd"/>
      <w:r>
        <w:t xml:space="preserve"> nuclei were mapped to subclass labels from the AIBS reference dataset. Individual nuclei with mapped cell type identities with Seurat-derived prediction scores greater than 0.5 were accepted, except for nuclei mapping to the AIBS “IT” subclass, where a more stringent cutoff of 0.8 was used. We found this additional stringent cutoff necessary, because in preliminary analyses, nuclei mapping to the IT cell group had more unexpected mappings to mis-matched cell types (compared to original identities in Cain et al. and </w:t>
      </w:r>
      <w:proofErr w:type="spellStart"/>
      <w:r>
        <w:t>Mathys</w:t>
      </w:r>
      <w:proofErr w:type="spellEnd"/>
      <w:r>
        <w:t xml:space="preserve"> et al.) than other reference subclasses. Following this custom re-mapping, we retained 54880 nuclei from </w:t>
      </w:r>
      <w:proofErr w:type="spellStart"/>
      <w:r>
        <w:t>Mathys</w:t>
      </w:r>
      <w:proofErr w:type="spellEnd"/>
      <w:r>
        <w:t xml:space="preserve">, 50417 nuclei from Zhou, and 128094 nuclei from Cain. </w:t>
      </w:r>
    </w:p>
    <w:p w14:paraId="40F084F9" w14:textId="77777777" w:rsidR="005C0AEE" w:rsidRDefault="005C0AEE"/>
    <w:p w14:paraId="662A12D4" w14:textId="77777777" w:rsidR="005C0AEE" w:rsidRDefault="009005D2">
      <w:r>
        <w:t>Confusion matrices were used to quantify the overlap between original-author annotated cell type labels and our re-mapped labels following mapping to the AIBS reference taxonomy. We note that original-author annotated cell type labels were not provided for the Zhou et al dataset.</w:t>
      </w:r>
    </w:p>
    <w:p w14:paraId="77214F11" w14:textId="77777777" w:rsidR="005C0AEE" w:rsidRDefault="009005D2">
      <w:pPr>
        <w:pStyle w:val="Heading3"/>
      </w:pPr>
      <w:bookmarkStart w:id="5" w:name="_tn1q98ohtjnh" w:colFirst="0" w:colLast="0"/>
      <w:bookmarkEnd w:id="5"/>
      <w:r>
        <w:t>Generation of cell type-enriched marker genes</w:t>
      </w:r>
    </w:p>
    <w:p w14:paraId="53E32946" w14:textId="77777777" w:rsidR="005C0AEE" w:rsidRDefault="009005D2">
      <w:r>
        <w:t xml:space="preserve">Cell-type marker identification from </w:t>
      </w:r>
      <w:proofErr w:type="spellStart"/>
      <w:r>
        <w:t>snRNAseq</w:t>
      </w:r>
      <w:proofErr w:type="spellEnd"/>
      <w:r>
        <w:t xml:space="preserve"> data was performed similarly to previously published methods </w:t>
      </w:r>
      <w:hyperlink r:id="rId13">
        <w:r>
          <w:t>[6]</w:t>
        </w:r>
      </w:hyperlink>
      <w:r>
        <w:t xml:space="preserve">. Marker genes for the taxonomic groupings specified previously (AIBS-defined cell subclasses and classes and the AIBS-derived “Neuronal” group) were identified by differential expression testing between taxonomic groups of the same resolution, such as “SST” cells compared to cells of all other subclasses or “GABAergic” cells vs “Glutamatergic” and “Non-neuronal” cells. “Neuronal” cells were also compared to “Non-neuronal” cells to </w:t>
      </w:r>
      <w:proofErr w:type="spellStart"/>
      <w:r>
        <w:t>transcriptomically</w:t>
      </w:r>
      <w:proofErr w:type="spellEnd"/>
      <w:r>
        <w:t xml:space="preserve"> define markers of neurons. Differential gene expression tests were conducted using Seurat Version 3.2.1 </w:t>
      </w:r>
      <w:hyperlink r:id="rId14">
        <w:r>
          <w:t>[5]</w:t>
        </w:r>
      </w:hyperlink>
      <w:r>
        <w:t xml:space="preserve"> in R version 3.6 (R Core Team, 2019). Specifically, marker genes were identified using the </w:t>
      </w:r>
      <w:proofErr w:type="spellStart"/>
      <w:r>
        <w:t>FindAllMarkers</w:t>
      </w:r>
      <w:proofErr w:type="spellEnd"/>
      <w:r>
        <w:t xml:space="preserve"> function with a log fold-change threshold of 2.5 and a minimal detection percentage of 35% (min.pct = 0.35). Both the “MAST” and “roc” methods were used with log-normalized gene counts, and a marker detected with either method was included in the potential marker list. In cases where potential markers were shared between multiple cell types, such genes were removed as markers from our analysis to yield a final marker list with high specificity.</w:t>
      </w:r>
    </w:p>
    <w:p w14:paraId="4CB34410" w14:textId="77777777" w:rsidR="005C0AEE" w:rsidRDefault="009005D2">
      <w:pPr>
        <w:pStyle w:val="Heading3"/>
      </w:pPr>
      <w:bookmarkStart w:id="6" w:name="_jsm9znrhombs" w:colFirst="0" w:colLast="0"/>
      <w:bookmarkEnd w:id="6"/>
      <w:r>
        <w:t xml:space="preserve">Estimation of relative cell type proportions from bulk </w:t>
      </w:r>
      <w:proofErr w:type="spellStart"/>
      <w:r>
        <w:t>RNAseq</w:t>
      </w:r>
      <w:proofErr w:type="spellEnd"/>
      <w:r>
        <w:t xml:space="preserve"> samples</w:t>
      </w:r>
    </w:p>
    <w:p w14:paraId="1446E74B" w14:textId="77777777" w:rsidR="005C0AEE" w:rsidRDefault="009005D2">
      <w:r>
        <w:t xml:space="preserve">Relative cell type proportions were estimated with the </w:t>
      </w:r>
      <w:proofErr w:type="spellStart"/>
      <w:r>
        <w:t>MarkerGeneProfile</w:t>
      </w:r>
      <w:proofErr w:type="spellEnd"/>
      <w:r>
        <w:t xml:space="preserve"> (MGP) R package, as described previously </w:t>
      </w:r>
      <w:hyperlink r:id="rId15">
        <w:r>
          <w:t>[7,8]</w:t>
        </w:r>
      </w:hyperlink>
      <w:r>
        <w:t xml:space="preserve">, using our AIBS-derived human neocortex cell type-specific marker genes described above. The output of the </w:t>
      </w:r>
      <w:proofErr w:type="spellStart"/>
      <w:r>
        <w:t>mgpEstimate</w:t>
      </w:r>
      <w:proofErr w:type="spellEnd"/>
      <w:r>
        <w:t xml:space="preserve"> function was taken as the relative cell-type proportion estimates (</w:t>
      </w:r>
      <w:proofErr w:type="spellStart"/>
      <w:r>
        <w:t>rCTPs</w:t>
      </w:r>
      <w:proofErr w:type="spellEnd"/>
      <w:r>
        <w:t xml:space="preserve">), providing an indirect measure of cell type abundance in each sample. To ensure consistency in </w:t>
      </w:r>
      <w:proofErr w:type="spellStart"/>
      <w:r>
        <w:t>rCTP</w:t>
      </w:r>
      <w:proofErr w:type="spellEnd"/>
      <w:r>
        <w:t xml:space="preserve"> definitions across individual bulk datasets, </w:t>
      </w:r>
      <w:proofErr w:type="spellStart"/>
      <w:r>
        <w:t>rCTPs</w:t>
      </w:r>
      <w:proofErr w:type="spellEnd"/>
      <w:r>
        <w:t xml:space="preserve"> were </w:t>
      </w:r>
      <w:r>
        <w:lastRenderedPageBreak/>
        <w:t xml:space="preserve">estimated using only marker genes passing QC in all datasets. </w:t>
      </w:r>
      <w:proofErr w:type="spellStart"/>
      <w:r>
        <w:t>rCTPs</w:t>
      </w:r>
      <w:proofErr w:type="spellEnd"/>
      <w:r>
        <w:t xml:space="preserve"> were converted to standardized z-scores within each dataset prior to downstream analysis.</w:t>
      </w:r>
    </w:p>
    <w:p w14:paraId="7F23D4AD" w14:textId="77777777" w:rsidR="005C0AEE" w:rsidRDefault="009005D2">
      <w:pPr>
        <w:pStyle w:val="Heading3"/>
      </w:pPr>
      <w:bookmarkStart w:id="7" w:name="_kfkiyxnj7zhw" w:colFirst="0" w:colLast="0"/>
      <w:bookmarkEnd w:id="7"/>
      <w:r>
        <w:t>Estimation of RNA seq-derived cell type proportions</w:t>
      </w:r>
    </w:p>
    <w:p w14:paraId="1CA2E60A" w14:textId="77777777" w:rsidR="005C0AEE" w:rsidRDefault="009005D2">
      <w:r>
        <w:t xml:space="preserve">Cell type proportions from </w:t>
      </w:r>
      <w:proofErr w:type="spellStart"/>
      <w:r>
        <w:t>snRNAseq</w:t>
      </w:r>
      <w:proofErr w:type="spellEnd"/>
      <w:r>
        <w:t xml:space="preserve"> datasets (</w:t>
      </w:r>
      <w:proofErr w:type="spellStart"/>
      <w:r>
        <w:t>snCTPs</w:t>
      </w:r>
      <w:proofErr w:type="spellEnd"/>
      <w:r>
        <w:t xml:space="preserve">) were directly estimated from </w:t>
      </w:r>
      <w:proofErr w:type="spellStart"/>
      <w:r>
        <w:t>snRNAseq</w:t>
      </w:r>
      <w:proofErr w:type="spellEnd"/>
      <w:r>
        <w:t xml:space="preserve"> datasets by counting nuclei annotated to each cell type and normalizing by the total count of all QC-passing nuclei per individual subject. We note that such calculations were only performed on nuclei passing quality control and also met our mapping criteria to our reference cell type taxonomy. Direct comparisons between bulk and </w:t>
      </w:r>
      <w:proofErr w:type="spellStart"/>
      <w:r>
        <w:t>snRNAseq</w:t>
      </w:r>
      <w:proofErr w:type="spellEnd"/>
      <w:r>
        <w:t xml:space="preserve"> derived cell type proportions for subjects from the ROS/MAP cohort were performed by identifying subjects in common between both datasets and correlating </w:t>
      </w:r>
      <w:proofErr w:type="spellStart"/>
      <w:r>
        <w:t>rCTPs</w:t>
      </w:r>
      <w:proofErr w:type="spellEnd"/>
      <w:r>
        <w:t xml:space="preserve"> with </w:t>
      </w:r>
      <w:proofErr w:type="spellStart"/>
      <w:r>
        <w:t>snCTPs</w:t>
      </w:r>
      <w:proofErr w:type="spellEnd"/>
      <w:r>
        <w:t xml:space="preserve"> values across subjects.</w:t>
      </w:r>
    </w:p>
    <w:p w14:paraId="305FC468" w14:textId="77777777" w:rsidR="005C0AEE" w:rsidRDefault="009005D2">
      <w:pPr>
        <w:pStyle w:val="Heading3"/>
      </w:pPr>
      <w:bookmarkStart w:id="8" w:name="_o9u3awp6xztc" w:colFirst="0" w:colLast="0"/>
      <w:bookmarkEnd w:id="8"/>
      <w:r>
        <w:t>Differential gene expression using bulk tissue data</w:t>
      </w:r>
    </w:p>
    <w:p w14:paraId="64FE9B27" w14:textId="77777777" w:rsidR="005C0AEE" w:rsidRDefault="009005D2">
      <w:pPr>
        <w:spacing w:before="240" w:after="240"/>
      </w:pPr>
      <w:r>
        <w:t xml:space="preserve">Association analysis of bulk tissue gene expression and AD case/control status were performed as described previously </w:t>
      </w:r>
      <w:hyperlink r:id="rId16">
        <w:r>
          <w:t>[9,10]</w:t>
        </w:r>
      </w:hyperlink>
      <w:r>
        <w:t xml:space="preserve">. This was done using </w:t>
      </w:r>
      <w:proofErr w:type="spellStart"/>
      <w:r>
        <w:t>limmas</w:t>
      </w:r>
      <w:proofErr w:type="spellEnd"/>
      <w:r>
        <w:t xml:space="preserve"> </w:t>
      </w:r>
      <w:proofErr w:type="spellStart"/>
      <w:r>
        <w:t>lmFit</w:t>
      </w:r>
      <w:proofErr w:type="spellEnd"/>
      <w:r>
        <w:t xml:space="preserve">, </w:t>
      </w:r>
      <w:proofErr w:type="spellStart"/>
      <w:r>
        <w:t>modelMatrix</w:t>
      </w:r>
      <w:proofErr w:type="spellEnd"/>
      <w:r>
        <w:t xml:space="preserve">, and </w:t>
      </w:r>
      <w:proofErr w:type="spellStart"/>
      <w:r>
        <w:t>eBayes</w:t>
      </w:r>
      <w:proofErr w:type="spellEnd"/>
      <w:r>
        <w:t xml:space="preserve"> methods in R. Before running </w:t>
      </w:r>
      <w:proofErr w:type="spellStart"/>
      <w:r>
        <w:t>removeBatchEffect</w:t>
      </w:r>
      <w:proofErr w:type="spellEnd"/>
      <w:r>
        <w:t xml:space="preserve"> and after calculation of TMM normalization values and mean-variance derived observational-level weights, each dataset (ROS/MAP, Mayo, MSBB FP, MSBB STG, MSBB PHG, and MSBB IFG) was inputted to </w:t>
      </w:r>
      <w:proofErr w:type="spellStart"/>
      <w:r>
        <w:t>lmFit</w:t>
      </w:r>
      <w:proofErr w:type="spellEnd"/>
      <w:r>
        <w:t xml:space="preserve"> for a robust regression with maximum number of iterations capped at 1000. The design matrix for the </w:t>
      </w:r>
      <w:proofErr w:type="spellStart"/>
      <w:r>
        <w:t>lmFit</w:t>
      </w:r>
      <w:proofErr w:type="spellEnd"/>
      <w:r>
        <w:t xml:space="preserve"> method was constructed using </w:t>
      </w:r>
      <w:proofErr w:type="spellStart"/>
      <w:r>
        <w:t>limma’s</w:t>
      </w:r>
      <w:proofErr w:type="spellEnd"/>
      <w:r>
        <w:t xml:space="preserve"> </w:t>
      </w:r>
      <w:proofErr w:type="spellStart"/>
      <w:r>
        <w:t>modelMatrix</w:t>
      </w:r>
      <w:proofErr w:type="spellEnd"/>
      <w:r>
        <w:t xml:space="preserve"> function, accounting for sequencing batch, sex, percent of mapped bases, percent usable bases, RNA integrity number (RIN), age at death, postmortem interval and AD diagnosis. </w:t>
      </w:r>
      <w:proofErr w:type="spellStart"/>
      <w:r>
        <w:t>Limma’s</w:t>
      </w:r>
      <w:proofErr w:type="spellEnd"/>
      <w:r>
        <w:t xml:space="preserve"> </w:t>
      </w:r>
      <w:proofErr w:type="spellStart"/>
      <w:r>
        <w:t>eBayes</w:t>
      </w:r>
      <w:proofErr w:type="spellEnd"/>
      <w:r>
        <w:t xml:space="preserve"> method was then used on the result of the </w:t>
      </w:r>
      <w:proofErr w:type="spellStart"/>
      <w:r>
        <w:t>lmFit</w:t>
      </w:r>
      <w:proofErr w:type="spellEnd"/>
      <w:r>
        <w:t xml:space="preserve"> call for each dataset to calculate moderated t-statistics, moderated F-statistics, and log-odds of differential expression. From the resulting object the strength (p-value) of the association between each gene present in the dataset and AD diagnosis was extracted. The beta-coefficient, or direction of the association between each gene in the dataset and AD diagnosis, was derived from the object returned by the </w:t>
      </w:r>
      <w:proofErr w:type="spellStart"/>
      <w:r>
        <w:t>lmFit</w:t>
      </w:r>
      <w:proofErr w:type="spellEnd"/>
      <w:r>
        <w:t xml:space="preserve"> call. </w:t>
      </w:r>
    </w:p>
    <w:p w14:paraId="74202596" w14:textId="77777777" w:rsidR="007B4C52" w:rsidRDefault="009005D2">
      <w:pPr>
        <w:pStyle w:val="Heading2"/>
        <w:rPr>
          <w:sz w:val="22"/>
          <w:szCs w:val="22"/>
        </w:rPr>
      </w:pPr>
      <w:bookmarkStart w:id="9" w:name="_r7vhniggeu3h" w:colFirst="0" w:colLast="0"/>
      <w:bookmarkEnd w:id="9"/>
      <w:r>
        <w:rPr>
          <w:sz w:val="22"/>
          <w:szCs w:val="22"/>
        </w:rPr>
        <w:t xml:space="preserve">The genes with p-values and beta-values calculated from their association with AD diagnosis were then subset into marker gene categories for each cell-type defined by the human neocortex </w:t>
      </w:r>
      <w:proofErr w:type="spellStart"/>
      <w:r>
        <w:rPr>
          <w:sz w:val="22"/>
          <w:szCs w:val="22"/>
        </w:rPr>
        <w:t>snRNAseq</w:t>
      </w:r>
      <w:proofErr w:type="spellEnd"/>
      <w:r>
        <w:rPr>
          <w:sz w:val="22"/>
          <w:szCs w:val="22"/>
        </w:rPr>
        <w:t xml:space="preserve">-derived cell type-specific marker genes. Each marker gene’s strength and direction of association to AD diagnosis could then be determined per cell-type, per dataset. </w:t>
      </w:r>
    </w:p>
    <w:p w14:paraId="00F88CCD" w14:textId="59A621D5" w:rsidR="007B4C52" w:rsidRDefault="007B4C52" w:rsidP="007B4C52">
      <w:pPr>
        <w:pStyle w:val="Heading3"/>
      </w:pPr>
      <w:r>
        <w:t>Differential gene expression using single-nucleus data</w:t>
      </w:r>
    </w:p>
    <w:p w14:paraId="5BDEFC7E" w14:textId="77777777" w:rsidR="00D670C6" w:rsidRDefault="007B4C52" w:rsidP="00D670C6">
      <w:r>
        <w:t>To estimate differences in average SST mRNA expression per SST-annotated nucleus</w:t>
      </w:r>
      <w:r w:rsidR="00D670C6">
        <w:t xml:space="preserve"> between AD cases and controls</w:t>
      </w:r>
      <w:r>
        <w:t xml:space="preserve">, we first calculated the average </w:t>
      </w:r>
      <w:r w:rsidR="000F2336">
        <w:t xml:space="preserve">normalized </w:t>
      </w:r>
      <w:r>
        <w:t xml:space="preserve">expression </w:t>
      </w:r>
      <w:r w:rsidR="000F2336">
        <w:t xml:space="preserve">of </w:t>
      </w:r>
      <w:r>
        <w:t>SST mRNA</w:t>
      </w:r>
      <w:r w:rsidR="000F2336">
        <w:t xml:space="preserve"> among each SST-annotated nucleus per subject. </w:t>
      </w:r>
      <w:r w:rsidR="00D670C6" w:rsidRPr="007B4C52">
        <w:t>Only subjects with at least 3 QC-passing SST nuclei were included in analysis.</w:t>
      </w:r>
      <w:r w:rsidR="00D670C6">
        <w:t xml:space="preserve"> </w:t>
      </w:r>
    </w:p>
    <w:p w14:paraId="728A1853" w14:textId="77777777" w:rsidR="00D670C6" w:rsidRDefault="00D670C6" w:rsidP="00D670C6"/>
    <w:p w14:paraId="3DC3CE3C" w14:textId="0323516C" w:rsidR="00D670C6" w:rsidRDefault="000F2336" w:rsidP="00D670C6">
      <w:r>
        <w:t xml:space="preserve">We used a linear model to estimate the </w:t>
      </w:r>
      <w:r w:rsidR="006C66F9">
        <w:t>effect</w:t>
      </w:r>
      <w:r>
        <w:t xml:space="preserve"> of AD diagnosis on normalized SST expression (among SST-annotated nuclei)</w:t>
      </w:r>
      <w:r w:rsidR="006C66F9">
        <w:t xml:space="preserve"> while </w:t>
      </w:r>
      <w:r>
        <w:t xml:space="preserve">covarying for </w:t>
      </w:r>
      <w:r w:rsidR="00D670C6">
        <w:t xml:space="preserve">each subject’s SST cell type proportion and </w:t>
      </w:r>
      <w:r w:rsidR="006C66F9">
        <w:lastRenderedPageBreak/>
        <w:t xml:space="preserve">count of </w:t>
      </w:r>
      <w:r w:rsidR="00D670C6">
        <w:t>SST</w:t>
      </w:r>
      <w:r w:rsidR="006C66F9">
        <w:t>-annotated</w:t>
      </w:r>
      <w:r w:rsidR="00D670C6">
        <w:t xml:space="preserve"> nucle</w:t>
      </w:r>
      <w:r w:rsidR="006C66F9">
        <w:t>i</w:t>
      </w:r>
      <w:r w:rsidR="00D670C6">
        <w:t xml:space="preserve">, in addition to </w:t>
      </w:r>
      <w:proofErr w:type="spellStart"/>
      <w:r w:rsidR="00D670C6">
        <w:t>snRNAseq</w:t>
      </w:r>
      <w:proofErr w:type="spellEnd"/>
      <w:r w:rsidR="00D670C6">
        <w:t xml:space="preserve"> dataset identity, age at death, sex, and post-mortem interval. For plotting purposes, we </w:t>
      </w:r>
      <w:proofErr w:type="spellStart"/>
      <w:r w:rsidR="00D670C6">
        <w:t>residualized</w:t>
      </w:r>
      <w:proofErr w:type="spellEnd"/>
      <w:r w:rsidR="00D670C6">
        <w:t xml:space="preserve"> SST mRNA expression using a model identical to the one below, but excluding the term for AD diagnosis.</w:t>
      </w:r>
    </w:p>
    <w:p w14:paraId="52221335" w14:textId="0047BF0F" w:rsidR="000F2336" w:rsidRDefault="000F2336" w:rsidP="007B4C52"/>
    <w:p w14:paraId="71404850" w14:textId="0E2533A3" w:rsidR="000F2336" w:rsidRDefault="000F2336" w:rsidP="000F2336">
      <w:pPr>
        <w:numPr>
          <w:ilvl w:val="0"/>
          <w:numId w:val="2"/>
        </w:numPr>
      </w:pPr>
      <w:proofErr w:type="spellStart"/>
      <w:r>
        <w:t>SST_</w:t>
      </w:r>
      <w:r w:rsidR="006C66F9">
        <w:t>mRNA_</w:t>
      </w:r>
      <w:r>
        <w:t>expr</w:t>
      </w:r>
      <w:proofErr w:type="spellEnd"/>
      <w:r w:rsidRPr="000F2336">
        <w:t xml:space="preserve"> ~ AD</w:t>
      </w:r>
      <w:r>
        <w:t xml:space="preserve"> </w:t>
      </w:r>
      <w:r w:rsidRPr="000F2336">
        <w:t xml:space="preserve">diagnosis + </w:t>
      </w:r>
      <w:proofErr w:type="spellStart"/>
      <w:r>
        <w:t>SST_cell_proportion</w:t>
      </w:r>
      <w:proofErr w:type="spellEnd"/>
      <w:r>
        <w:t xml:space="preserve"> + </w:t>
      </w:r>
      <w:proofErr w:type="spellStart"/>
      <w:r>
        <w:t>SST_cell_count</w:t>
      </w:r>
      <w:proofErr w:type="spellEnd"/>
      <w:r w:rsidRPr="000F2336">
        <w:t xml:space="preserve"> + </w:t>
      </w:r>
      <w:r w:rsidR="00D670C6">
        <w:t>dataset</w:t>
      </w:r>
      <w:r w:rsidRPr="000F2336">
        <w:t xml:space="preserve"> + </w:t>
      </w:r>
    </w:p>
    <w:p w14:paraId="723EA5B1" w14:textId="355C97B8" w:rsidR="000F2336" w:rsidRPr="000F2336" w:rsidRDefault="000F2336" w:rsidP="000F2336">
      <w:pPr>
        <w:ind w:left="720"/>
      </w:pPr>
      <w:r w:rsidRPr="000F2336">
        <w:t>age at death + sex</w:t>
      </w:r>
      <w:r w:rsidR="00D670C6">
        <w:t xml:space="preserve"> + </w:t>
      </w:r>
      <w:proofErr w:type="spellStart"/>
      <w:r w:rsidR="00D670C6">
        <w:t>pmi</w:t>
      </w:r>
      <w:proofErr w:type="spellEnd"/>
    </w:p>
    <w:p w14:paraId="16930B0D" w14:textId="104EE148" w:rsidR="005C0AEE" w:rsidRDefault="009005D2">
      <w:pPr>
        <w:pStyle w:val="Heading2"/>
      </w:pPr>
      <w:r>
        <w:br w:type="page"/>
      </w:r>
    </w:p>
    <w:p w14:paraId="221BAA12" w14:textId="77777777" w:rsidR="005C0AEE" w:rsidRDefault="009005D2">
      <w:pPr>
        <w:pStyle w:val="Heading2"/>
      </w:pPr>
      <w:bookmarkStart w:id="10" w:name="_m6d8cky1cc7l" w:colFirst="0" w:colLast="0"/>
      <w:bookmarkEnd w:id="10"/>
      <w:r>
        <w:lastRenderedPageBreak/>
        <w:t>Supplementary References</w:t>
      </w:r>
    </w:p>
    <w:p w14:paraId="1A583ECC" w14:textId="77777777" w:rsidR="005C0AEE" w:rsidRDefault="00B63361">
      <w:pPr>
        <w:spacing w:line="240" w:lineRule="auto"/>
      </w:pPr>
      <w:hyperlink r:id="rId17">
        <w:r w:rsidR="009005D2">
          <w:t xml:space="preserve">1. Hodge RD, Bakken TE, Miller JA, Smith KA, </w:t>
        </w:r>
        <w:proofErr w:type="spellStart"/>
        <w:r w:rsidR="009005D2">
          <w:t>Barkan</w:t>
        </w:r>
        <w:proofErr w:type="spellEnd"/>
        <w:r w:rsidR="009005D2">
          <w:t xml:space="preserve"> ER, </w:t>
        </w:r>
        <w:proofErr w:type="spellStart"/>
        <w:r w:rsidR="009005D2">
          <w:t>Graybuck</w:t>
        </w:r>
        <w:proofErr w:type="spellEnd"/>
        <w:r w:rsidR="009005D2">
          <w:t xml:space="preserve"> LT, et al. Conserved cell types with divergent features in human versus mouse cortex. Nature. 2019;573:61–8. </w:t>
        </w:r>
      </w:hyperlink>
    </w:p>
    <w:p w14:paraId="466DCBCF" w14:textId="77777777" w:rsidR="005C0AEE" w:rsidRPr="00362FAA" w:rsidRDefault="00B63361">
      <w:pPr>
        <w:widowControl w:val="0"/>
        <w:pBdr>
          <w:top w:val="nil"/>
          <w:left w:val="nil"/>
          <w:bottom w:val="nil"/>
          <w:right w:val="nil"/>
          <w:between w:val="nil"/>
        </w:pBdr>
        <w:spacing w:line="240" w:lineRule="auto"/>
        <w:rPr>
          <w:lang w:val="fr-FR"/>
        </w:rPr>
      </w:pPr>
      <w:hyperlink r:id="rId18">
        <w:r w:rsidR="009005D2">
          <w:t xml:space="preserve">2. </w:t>
        </w:r>
        <w:proofErr w:type="spellStart"/>
        <w:r w:rsidR="009005D2">
          <w:t>Mathys</w:t>
        </w:r>
        <w:proofErr w:type="spellEnd"/>
        <w:r w:rsidR="009005D2">
          <w:t xml:space="preserve"> H, Davila-</w:t>
        </w:r>
        <w:proofErr w:type="spellStart"/>
        <w:r w:rsidR="009005D2">
          <w:t>Velderrain</w:t>
        </w:r>
        <w:proofErr w:type="spellEnd"/>
        <w:r w:rsidR="009005D2">
          <w:t xml:space="preserve"> J, Peng Z, Gao F, Mohammadi S, Young JZ, et al. Single-cell transcriptomic analysis of Alzheimer’s disease. </w:t>
        </w:r>
        <w:r w:rsidR="009005D2" w:rsidRPr="00362FAA">
          <w:rPr>
            <w:lang w:val="fr-FR"/>
          </w:rPr>
          <w:t xml:space="preserve">Nature. 2019;570:332–7. </w:t>
        </w:r>
      </w:hyperlink>
    </w:p>
    <w:p w14:paraId="7D30AAC6" w14:textId="77777777" w:rsidR="005C0AEE" w:rsidRDefault="00B63361">
      <w:pPr>
        <w:widowControl w:val="0"/>
        <w:pBdr>
          <w:top w:val="nil"/>
          <w:left w:val="nil"/>
          <w:bottom w:val="nil"/>
          <w:right w:val="nil"/>
          <w:between w:val="nil"/>
        </w:pBdr>
        <w:spacing w:line="240" w:lineRule="auto"/>
      </w:pPr>
      <w:hyperlink r:id="rId19">
        <w:r w:rsidR="009005D2" w:rsidRPr="00362FAA">
          <w:rPr>
            <w:lang w:val="fr-FR"/>
          </w:rPr>
          <w:t xml:space="preserve">3. Zhou Y, Song WM, </w:t>
        </w:r>
        <w:proofErr w:type="spellStart"/>
        <w:r w:rsidR="009005D2" w:rsidRPr="00362FAA">
          <w:rPr>
            <w:lang w:val="fr-FR"/>
          </w:rPr>
          <w:t>Andhey</w:t>
        </w:r>
        <w:proofErr w:type="spellEnd"/>
        <w:r w:rsidR="009005D2" w:rsidRPr="00362FAA">
          <w:rPr>
            <w:lang w:val="fr-FR"/>
          </w:rPr>
          <w:t xml:space="preserve"> PS, </w:t>
        </w:r>
        <w:proofErr w:type="spellStart"/>
        <w:r w:rsidR="009005D2" w:rsidRPr="00362FAA">
          <w:rPr>
            <w:lang w:val="fr-FR"/>
          </w:rPr>
          <w:t>Swain</w:t>
        </w:r>
        <w:proofErr w:type="spellEnd"/>
        <w:r w:rsidR="009005D2" w:rsidRPr="00362FAA">
          <w:rPr>
            <w:lang w:val="fr-FR"/>
          </w:rPr>
          <w:t xml:space="preserve"> A, Levy T, Miller KR, et al. </w:t>
        </w:r>
        <w:r w:rsidR="009005D2">
          <w:t xml:space="preserve">Human and mouse single-nucleus transcriptomics reveal TREM2-dependent and TREM2-independent cellular responses in Alzheimer’s disease. Nat Med. 2020;26:131–42. </w:t>
        </w:r>
      </w:hyperlink>
    </w:p>
    <w:p w14:paraId="4F146152" w14:textId="77777777" w:rsidR="005C0AEE" w:rsidRPr="00362FAA" w:rsidRDefault="00B63361">
      <w:pPr>
        <w:widowControl w:val="0"/>
        <w:pBdr>
          <w:top w:val="nil"/>
          <w:left w:val="nil"/>
          <w:bottom w:val="nil"/>
          <w:right w:val="nil"/>
          <w:between w:val="nil"/>
        </w:pBdr>
        <w:spacing w:line="240" w:lineRule="auto"/>
        <w:rPr>
          <w:lang w:val="de-DE"/>
        </w:rPr>
      </w:pPr>
      <w:hyperlink r:id="rId20">
        <w:r w:rsidR="009005D2">
          <w:t xml:space="preserve">4. Cain A, </w:t>
        </w:r>
        <w:proofErr w:type="spellStart"/>
        <w:r w:rsidR="009005D2">
          <w:t>Taga</w:t>
        </w:r>
        <w:proofErr w:type="spellEnd"/>
        <w:r w:rsidR="009005D2">
          <w:t xml:space="preserve"> M, McCabe C, </w:t>
        </w:r>
        <w:proofErr w:type="spellStart"/>
        <w:r w:rsidR="009005D2">
          <w:t>Hekselman</w:t>
        </w:r>
        <w:proofErr w:type="spellEnd"/>
        <w:r w:rsidR="009005D2">
          <w:t xml:space="preserve"> I, White CC, Green G, et al. Multi-cellular communities are perturbed in the aging human brain and with Alzheimer’s disease. </w:t>
        </w:r>
        <w:proofErr w:type="spellStart"/>
        <w:r w:rsidR="009005D2">
          <w:t>bioRxiv</w:t>
        </w:r>
        <w:proofErr w:type="spellEnd"/>
        <w:r w:rsidR="009005D2">
          <w:t xml:space="preserve">. </w:t>
        </w:r>
        <w:r w:rsidR="009005D2" w:rsidRPr="00362FAA">
          <w:rPr>
            <w:lang w:val="de-DE"/>
          </w:rPr>
          <w:t xml:space="preserve">2020;2020.12.22.424084. </w:t>
        </w:r>
      </w:hyperlink>
    </w:p>
    <w:p w14:paraId="5BE65623" w14:textId="77777777" w:rsidR="005C0AEE" w:rsidRDefault="00B63361">
      <w:pPr>
        <w:widowControl w:val="0"/>
        <w:pBdr>
          <w:top w:val="nil"/>
          <w:left w:val="nil"/>
          <w:bottom w:val="nil"/>
          <w:right w:val="nil"/>
          <w:between w:val="nil"/>
        </w:pBdr>
        <w:spacing w:line="240" w:lineRule="auto"/>
      </w:pPr>
      <w:hyperlink r:id="rId21">
        <w:r w:rsidR="009005D2" w:rsidRPr="00362FAA">
          <w:rPr>
            <w:lang w:val="de-DE"/>
          </w:rPr>
          <w:t xml:space="preserve">5. Stuart T, Butler A, Hoffman P, Hafemeister C, </w:t>
        </w:r>
        <w:proofErr w:type="spellStart"/>
        <w:r w:rsidR="009005D2" w:rsidRPr="00362FAA">
          <w:rPr>
            <w:lang w:val="de-DE"/>
          </w:rPr>
          <w:t>Papalexi</w:t>
        </w:r>
        <w:proofErr w:type="spellEnd"/>
        <w:r w:rsidR="009005D2" w:rsidRPr="00362FAA">
          <w:rPr>
            <w:lang w:val="de-DE"/>
          </w:rPr>
          <w:t xml:space="preserve"> E, </w:t>
        </w:r>
        <w:proofErr w:type="spellStart"/>
        <w:r w:rsidR="009005D2" w:rsidRPr="00362FAA">
          <w:rPr>
            <w:lang w:val="de-DE"/>
          </w:rPr>
          <w:t>Mauck</w:t>
        </w:r>
        <w:proofErr w:type="spellEnd"/>
        <w:r w:rsidR="009005D2" w:rsidRPr="00362FAA">
          <w:rPr>
            <w:lang w:val="de-DE"/>
          </w:rPr>
          <w:t xml:space="preserve"> WM 3rd, et al. </w:t>
        </w:r>
        <w:r w:rsidR="009005D2">
          <w:t xml:space="preserve">Comprehensive Integration of Single-Cell Data. Cell. 2019;177:1888-1902.e21. </w:t>
        </w:r>
      </w:hyperlink>
    </w:p>
    <w:p w14:paraId="2E836444" w14:textId="77777777" w:rsidR="005C0AEE" w:rsidRPr="00362FAA" w:rsidRDefault="00B63361">
      <w:pPr>
        <w:widowControl w:val="0"/>
        <w:pBdr>
          <w:top w:val="nil"/>
          <w:left w:val="nil"/>
          <w:bottom w:val="nil"/>
          <w:right w:val="nil"/>
          <w:between w:val="nil"/>
        </w:pBdr>
        <w:spacing w:line="240" w:lineRule="auto"/>
        <w:rPr>
          <w:lang w:val="it-IT"/>
        </w:rPr>
      </w:pPr>
      <w:hyperlink r:id="rId22">
        <w:r w:rsidR="009005D2">
          <w:t xml:space="preserve">6. Sicherman J, Newton DF, </w:t>
        </w:r>
        <w:proofErr w:type="spellStart"/>
        <w:r w:rsidR="009005D2">
          <w:t>Pavlidis</w:t>
        </w:r>
        <w:proofErr w:type="spellEnd"/>
        <w:r w:rsidR="009005D2">
          <w:t xml:space="preserve"> P, </w:t>
        </w:r>
        <w:proofErr w:type="spellStart"/>
        <w:r w:rsidR="009005D2">
          <w:t>Sibille</w:t>
        </w:r>
        <w:proofErr w:type="spellEnd"/>
        <w:r w:rsidR="009005D2">
          <w:t xml:space="preserve"> E, Tripathy SJ. Estimating and Correcting for Off-Target Cellular Contamination in Brain Cell Type Specific RNA-Seq Data. </w:t>
        </w:r>
        <w:r w:rsidR="009005D2" w:rsidRPr="00362FAA">
          <w:rPr>
            <w:lang w:val="it-IT"/>
          </w:rPr>
          <w:t xml:space="preserve">Front Mol </w:t>
        </w:r>
        <w:proofErr w:type="spellStart"/>
        <w:r w:rsidR="009005D2" w:rsidRPr="00362FAA">
          <w:rPr>
            <w:lang w:val="it-IT"/>
          </w:rPr>
          <w:t>Neurosci</w:t>
        </w:r>
        <w:proofErr w:type="spellEnd"/>
        <w:r w:rsidR="009005D2" w:rsidRPr="00362FAA">
          <w:rPr>
            <w:lang w:val="it-IT"/>
          </w:rPr>
          <w:t xml:space="preserve">. 2021;14:18. </w:t>
        </w:r>
      </w:hyperlink>
    </w:p>
    <w:p w14:paraId="01AA5F98" w14:textId="77777777" w:rsidR="005C0AEE" w:rsidRDefault="00B63361">
      <w:pPr>
        <w:widowControl w:val="0"/>
        <w:pBdr>
          <w:top w:val="nil"/>
          <w:left w:val="nil"/>
          <w:bottom w:val="nil"/>
          <w:right w:val="nil"/>
          <w:between w:val="nil"/>
        </w:pBdr>
        <w:spacing w:line="240" w:lineRule="auto"/>
      </w:pPr>
      <w:hyperlink r:id="rId23">
        <w:r w:rsidR="009005D2" w:rsidRPr="00362FAA">
          <w:rPr>
            <w:lang w:val="it-IT"/>
          </w:rPr>
          <w:t xml:space="preserve">7. Mancarci BO, </w:t>
        </w:r>
        <w:proofErr w:type="spellStart"/>
        <w:r w:rsidR="009005D2" w:rsidRPr="00362FAA">
          <w:rPr>
            <w:lang w:val="it-IT"/>
          </w:rPr>
          <w:t>Toker</w:t>
        </w:r>
        <w:proofErr w:type="spellEnd"/>
        <w:r w:rsidR="009005D2" w:rsidRPr="00362FAA">
          <w:rPr>
            <w:lang w:val="it-IT"/>
          </w:rPr>
          <w:t xml:space="preserve"> L, </w:t>
        </w:r>
        <w:proofErr w:type="spellStart"/>
        <w:r w:rsidR="009005D2" w:rsidRPr="00362FAA">
          <w:rPr>
            <w:lang w:val="it-IT"/>
          </w:rPr>
          <w:t>Tripathy</w:t>
        </w:r>
        <w:proofErr w:type="spellEnd"/>
        <w:r w:rsidR="009005D2" w:rsidRPr="00362FAA">
          <w:rPr>
            <w:lang w:val="it-IT"/>
          </w:rPr>
          <w:t xml:space="preserve"> SJ, Li B, Rocco B, Sibille E, et al. </w:t>
        </w:r>
        <w:r w:rsidR="009005D2">
          <w:t xml:space="preserve">Cross-Laboratory Analysis of Brain Cell Type Transcriptomes with Applications to Interpretation of Bulk Tissue Data. </w:t>
        </w:r>
        <w:proofErr w:type="spellStart"/>
        <w:r w:rsidR="009005D2">
          <w:t>eneuro</w:t>
        </w:r>
        <w:proofErr w:type="spellEnd"/>
        <w:r w:rsidR="009005D2">
          <w:t xml:space="preserve">. 2017;4:ENEURO.0212-17.2017. </w:t>
        </w:r>
      </w:hyperlink>
    </w:p>
    <w:p w14:paraId="00220A5D" w14:textId="77777777" w:rsidR="005C0AEE" w:rsidRDefault="00B63361">
      <w:pPr>
        <w:widowControl w:val="0"/>
        <w:pBdr>
          <w:top w:val="nil"/>
          <w:left w:val="nil"/>
          <w:bottom w:val="nil"/>
          <w:right w:val="nil"/>
          <w:between w:val="nil"/>
        </w:pBdr>
        <w:spacing w:line="240" w:lineRule="auto"/>
      </w:pPr>
      <w:hyperlink r:id="rId24">
        <w:r w:rsidR="009005D2">
          <w:t xml:space="preserve">8. </w:t>
        </w:r>
        <w:proofErr w:type="spellStart"/>
        <w:r w:rsidR="009005D2">
          <w:t>Toker</w:t>
        </w:r>
        <w:proofErr w:type="spellEnd"/>
        <w:r w:rsidR="009005D2">
          <w:t xml:space="preserve"> L, </w:t>
        </w:r>
        <w:proofErr w:type="spellStart"/>
        <w:r w:rsidR="009005D2">
          <w:t>Mancarci</w:t>
        </w:r>
        <w:proofErr w:type="spellEnd"/>
        <w:r w:rsidR="009005D2">
          <w:t xml:space="preserve"> BO, Tripathy S, </w:t>
        </w:r>
        <w:proofErr w:type="spellStart"/>
        <w:r w:rsidR="009005D2">
          <w:t>Pavlidis</w:t>
        </w:r>
        <w:proofErr w:type="spellEnd"/>
        <w:r w:rsidR="009005D2">
          <w:t xml:space="preserve"> P. Transcriptomic Evidence for Alterations in Astrocytes and Parvalbumin Interneurons in Subjects With Bipolar Disorder and Schizophrenia. Biol Psychiatry. Elsevier; 2018;84:787–96. </w:t>
        </w:r>
      </w:hyperlink>
    </w:p>
    <w:p w14:paraId="34F4317C" w14:textId="77777777" w:rsidR="005C0AEE" w:rsidRDefault="00B63361">
      <w:pPr>
        <w:widowControl w:val="0"/>
        <w:pBdr>
          <w:top w:val="nil"/>
          <w:left w:val="nil"/>
          <w:bottom w:val="nil"/>
          <w:right w:val="nil"/>
          <w:between w:val="nil"/>
        </w:pBdr>
        <w:spacing w:line="240" w:lineRule="auto"/>
      </w:pPr>
      <w:hyperlink r:id="rId25">
        <w:r w:rsidR="009005D2">
          <w:t xml:space="preserve">9. </w:t>
        </w:r>
        <w:proofErr w:type="spellStart"/>
        <w:r w:rsidR="009005D2">
          <w:t>Felsky</w:t>
        </w:r>
        <w:proofErr w:type="spellEnd"/>
        <w:r w:rsidR="009005D2">
          <w:t xml:space="preserve"> D, </w:t>
        </w:r>
        <w:proofErr w:type="spellStart"/>
        <w:r w:rsidR="009005D2">
          <w:t>Sariya</w:t>
        </w:r>
        <w:proofErr w:type="spellEnd"/>
        <w:r w:rsidR="009005D2">
          <w:t xml:space="preserve"> S, Santa-Maria I, French L, Schneider JA, Bennett DA, et al. The Caribbean-Hispanic Alzheimer’s Brain Transcriptome Reveals Ancestry-Specific Disease Mechanisms. </w:t>
        </w:r>
        <w:proofErr w:type="spellStart"/>
        <w:r w:rsidR="009005D2">
          <w:t>bioRxiv</w:t>
        </w:r>
        <w:proofErr w:type="spellEnd"/>
        <w:r w:rsidR="009005D2">
          <w:t xml:space="preserve">. 2020;2020.05.28.122234. </w:t>
        </w:r>
      </w:hyperlink>
    </w:p>
    <w:p w14:paraId="171B2627" w14:textId="77777777" w:rsidR="005C0AEE" w:rsidRDefault="00B63361">
      <w:pPr>
        <w:widowControl w:val="0"/>
        <w:pBdr>
          <w:top w:val="nil"/>
          <w:left w:val="nil"/>
          <w:bottom w:val="nil"/>
          <w:right w:val="nil"/>
          <w:between w:val="nil"/>
        </w:pBdr>
        <w:spacing w:line="240" w:lineRule="auto"/>
      </w:pPr>
      <w:hyperlink r:id="rId26">
        <w:r w:rsidR="009005D2">
          <w:t>10. Wan Y-W, Al-</w:t>
        </w:r>
        <w:proofErr w:type="spellStart"/>
        <w:r w:rsidR="009005D2">
          <w:t>Ouran</w:t>
        </w:r>
        <w:proofErr w:type="spellEnd"/>
        <w:r w:rsidR="009005D2">
          <w:t xml:space="preserve"> R, </w:t>
        </w:r>
        <w:proofErr w:type="spellStart"/>
        <w:r w:rsidR="009005D2">
          <w:t>Mangleburg</w:t>
        </w:r>
        <w:proofErr w:type="spellEnd"/>
        <w:r w:rsidR="009005D2">
          <w:t xml:space="preserve"> CG, Perumal TM, Lee TV, Allison K, et al. Meta-Analysis of the Alzheimer’s Disease Human Brain Transcriptome and Functional Dissection in Mouse Models. Cell Rep. 2020;32:107908–107908. </w:t>
        </w:r>
      </w:hyperlink>
    </w:p>
    <w:p w14:paraId="07937406" w14:textId="77777777" w:rsidR="005C0AEE" w:rsidRDefault="009005D2">
      <w:pPr>
        <w:pStyle w:val="Heading2"/>
      </w:pPr>
      <w:bookmarkStart w:id="11" w:name="_igrp09tus6c1" w:colFirst="0" w:colLast="0"/>
      <w:bookmarkEnd w:id="11"/>
      <w:r>
        <w:br w:type="page"/>
      </w:r>
    </w:p>
    <w:p w14:paraId="3ED6B317" w14:textId="77777777" w:rsidR="005C0AEE" w:rsidRDefault="009005D2">
      <w:pPr>
        <w:pStyle w:val="Heading2"/>
      </w:pPr>
      <w:bookmarkStart w:id="12" w:name="_sc82qgk6tv7q" w:colFirst="0" w:colLast="0"/>
      <w:bookmarkEnd w:id="12"/>
      <w:r>
        <w:lastRenderedPageBreak/>
        <w:t>Supplementary Figures</w:t>
      </w:r>
    </w:p>
    <w:p w14:paraId="4DA159F0" w14:textId="77777777" w:rsidR="005C0AEE" w:rsidRDefault="005C0AEE"/>
    <w:p w14:paraId="42042B32" w14:textId="77777777" w:rsidR="005C0AEE" w:rsidRDefault="009005D2">
      <w:r>
        <w:rPr>
          <w:noProof/>
          <w:lang w:val="en-US"/>
        </w:rPr>
        <w:drawing>
          <wp:inline distT="114300" distB="114300" distL="114300" distR="114300" wp14:anchorId="3E073CA7" wp14:editId="36AEB8F2">
            <wp:extent cx="4290299" cy="5919788"/>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4290299" cy="5919788"/>
                    </a:xfrm>
                    <a:prstGeom prst="rect">
                      <a:avLst/>
                    </a:prstGeom>
                    <a:ln/>
                  </pic:spPr>
                </pic:pic>
              </a:graphicData>
            </a:graphic>
          </wp:inline>
        </w:drawing>
      </w:r>
    </w:p>
    <w:p w14:paraId="34FA034B" w14:textId="6D0A2165" w:rsidR="005C0AEE" w:rsidRDefault="009005D2">
      <w:pPr>
        <w:spacing w:before="240" w:after="240"/>
        <w:rPr>
          <w:i/>
          <w:sz w:val="20"/>
          <w:szCs w:val="20"/>
        </w:rPr>
      </w:pPr>
      <w:r>
        <w:rPr>
          <w:i/>
          <w:sz w:val="20"/>
          <w:szCs w:val="20"/>
        </w:rPr>
        <w:t xml:space="preserve">Supplemental Figure 1: Group dot plots showing consistency and replicability of gene expression between Allen Institute </w:t>
      </w:r>
      <w:r w:rsidR="00775D8F">
        <w:rPr>
          <w:i/>
          <w:sz w:val="20"/>
          <w:szCs w:val="20"/>
        </w:rPr>
        <w:t xml:space="preserve">single-nucleus </w:t>
      </w:r>
      <w:proofErr w:type="spellStart"/>
      <w:r w:rsidR="00775D8F">
        <w:rPr>
          <w:i/>
          <w:sz w:val="20"/>
          <w:szCs w:val="20"/>
        </w:rPr>
        <w:t>RNAseq</w:t>
      </w:r>
      <w:proofErr w:type="spellEnd"/>
      <w:r w:rsidR="00775D8F">
        <w:rPr>
          <w:i/>
          <w:sz w:val="20"/>
          <w:szCs w:val="20"/>
        </w:rPr>
        <w:t xml:space="preserve"> (</w:t>
      </w:r>
      <w:proofErr w:type="spellStart"/>
      <w:r>
        <w:rPr>
          <w:i/>
          <w:sz w:val="20"/>
          <w:szCs w:val="20"/>
        </w:rPr>
        <w:t>snRNAseq</w:t>
      </w:r>
      <w:proofErr w:type="spellEnd"/>
      <w:r w:rsidR="00775D8F">
        <w:rPr>
          <w:i/>
          <w:sz w:val="20"/>
          <w:szCs w:val="20"/>
        </w:rPr>
        <w:t>)</w:t>
      </w:r>
      <w:r>
        <w:rPr>
          <w:i/>
          <w:sz w:val="20"/>
          <w:szCs w:val="20"/>
        </w:rPr>
        <w:t xml:space="preserve"> dataset (A) and Cain single-nucleus AD dataset (B) for </w:t>
      </w:r>
      <w:r w:rsidR="00775D8F">
        <w:rPr>
          <w:i/>
          <w:sz w:val="20"/>
          <w:szCs w:val="20"/>
        </w:rPr>
        <w:t>somatostatin (</w:t>
      </w:r>
      <w:r>
        <w:rPr>
          <w:i/>
          <w:sz w:val="20"/>
          <w:szCs w:val="20"/>
        </w:rPr>
        <w:t>SST</w:t>
      </w:r>
      <w:r w:rsidR="00775D8F">
        <w:rPr>
          <w:i/>
          <w:sz w:val="20"/>
          <w:szCs w:val="20"/>
        </w:rPr>
        <w:t>)</w:t>
      </w:r>
      <w:r>
        <w:rPr>
          <w:i/>
          <w:sz w:val="20"/>
          <w:szCs w:val="20"/>
        </w:rPr>
        <w:t xml:space="preserve"> </w:t>
      </w:r>
      <w:r w:rsidR="00775D8F">
        <w:rPr>
          <w:i/>
          <w:sz w:val="20"/>
          <w:szCs w:val="20"/>
        </w:rPr>
        <w:t>interneurons</w:t>
      </w:r>
      <w:r>
        <w:rPr>
          <w:i/>
          <w:sz w:val="20"/>
          <w:szCs w:val="20"/>
        </w:rPr>
        <w:t>.</w:t>
      </w:r>
    </w:p>
    <w:p w14:paraId="765D1DD3" w14:textId="77777777" w:rsidR="005C0AEE" w:rsidRDefault="009005D2">
      <w:pPr>
        <w:spacing w:before="240" w:after="240"/>
        <w:rPr>
          <w:i/>
          <w:sz w:val="20"/>
          <w:szCs w:val="20"/>
        </w:rPr>
      </w:pPr>
      <w:r>
        <w:rPr>
          <w:i/>
          <w:noProof/>
          <w:sz w:val="20"/>
          <w:szCs w:val="20"/>
          <w:lang w:val="en-US"/>
        </w:rPr>
        <w:lastRenderedPageBreak/>
        <w:drawing>
          <wp:inline distT="114300" distB="114300" distL="114300" distR="114300" wp14:anchorId="67F9F36E" wp14:editId="7AFCA2CA">
            <wp:extent cx="4702743" cy="644366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4702743" cy="6443663"/>
                    </a:xfrm>
                    <a:prstGeom prst="rect">
                      <a:avLst/>
                    </a:prstGeom>
                    <a:ln/>
                  </pic:spPr>
                </pic:pic>
              </a:graphicData>
            </a:graphic>
          </wp:inline>
        </w:drawing>
      </w:r>
    </w:p>
    <w:p w14:paraId="6D4E0FBA" w14:textId="583F8E48" w:rsidR="005C0AEE" w:rsidRDefault="009005D2">
      <w:pPr>
        <w:spacing w:before="240" w:after="240"/>
        <w:rPr>
          <w:i/>
          <w:sz w:val="20"/>
          <w:szCs w:val="20"/>
        </w:rPr>
      </w:pPr>
      <w:r>
        <w:rPr>
          <w:i/>
          <w:sz w:val="20"/>
          <w:szCs w:val="20"/>
        </w:rPr>
        <w:t xml:space="preserve">Supplemental Figure 2: Group dot plots showing consistency and replicability of gene expression between Allen Institute </w:t>
      </w:r>
      <w:proofErr w:type="spellStart"/>
      <w:r>
        <w:rPr>
          <w:i/>
          <w:sz w:val="20"/>
          <w:szCs w:val="20"/>
        </w:rPr>
        <w:t>snRNAseq</w:t>
      </w:r>
      <w:proofErr w:type="spellEnd"/>
      <w:r>
        <w:rPr>
          <w:i/>
          <w:sz w:val="20"/>
          <w:szCs w:val="20"/>
        </w:rPr>
        <w:t xml:space="preserve"> dataset (A) and Cain single-nucleus AD dataset (B) for </w:t>
      </w:r>
      <w:r w:rsidR="00775D8F">
        <w:rPr>
          <w:i/>
          <w:sz w:val="20"/>
          <w:szCs w:val="20"/>
        </w:rPr>
        <w:t>intra-telencephalic pyramidal (</w:t>
      </w:r>
      <w:r>
        <w:rPr>
          <w:i/>
          <w:sz w:val="20"/>
          <w:szCs w:val="20"/>
        </w:rPr>
        <w:t>IT</w:t>
      </w:r>
      <w:r w:rsidR="00775D8F">
        <w:rPr>
          <w:i/>
          <w:sz w:val="20"/>
          <w:szCs w:val="20"/>
        </w:rPr>
        <w:t>)</w:t>
      </w:r>
      <w:r>
        <w:rPr>
          <w:i/>
          <w:sz w:val="20"/>
          <w:szCs w:val="20"/>
        </w:rPr>
        <w:t xml:space="preserve"> cells.</w:t>
      </w:r>
    </w:p>
    <w:p w14:paraId="66BE37F2" w14:textId="77777777" w:rsidR="005C0AEE" w:rsidRDefault="005C0AEE">
      <w:pPr>
        <w:spacing w:before="240" w:after="240"/>
        <w:rPr>
          <w:i/>
          <w:sz w:val="20"/>
          <w:szCs w:val="20"/>
        </w:rPr>
      </w:pPr>
    </w:p>
    <w:p w14:paraId="5B4FCAC4" w14:textId="77777777" w:rsidR="005C0AEE" w:rsidRDefault="009005D2">
      <w:r>
        <w:rPr>
          <w:noProof/>
          <w:lang w:val="en-US"/>
        </w:rPr>
        <w:lastRenderedPageBreak/>
        <w:drawing>
          <wp:inline distT="114300" distB="114300" distL="114300" distR="114300" wp14:anchorId="78724390" wp14:editId="5296EE5C">
            <wp:extent cx="3651241" cy="7310438"/>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3651241" cy="7310438"/>
                    </a:xfrm>
                    <a:prstGeom prst="rect">
                      <a:avLst/>
                    </a:prstGeom>
                    <a:ln/>
                  </pic:spPr>
                </pic:pic>
              </a:graphicData>
            </a:graphic>
          </wp:inline>
        </w:drawing>
      </w:r>
    </w:p>
    <w:p w14:paraId="1F22AE87" w14:textId="25D9D4BF" w:rsidR="005C0AEE" w:rsidRDefault="009005D2">
      <w:pPr>
        <w:spacing w:before="240" w:after="240"/>
        <w:rPr>
          <w:i/>
          <w:sz w:val="20"/>
          <w:szCs w:val="20"/>
        </w:rPr>
      </w:pPr>
      <w:r>
        <w:rPr>
          <w:i/>
          <w:sz w:val="20"/>
          <w:szCs w:val="20"/>
        </w:rPr>
        <w:t xml:space="preserve">Supplemental Figure </w:t>
      </w:r>
      <w:r w:rsidR="00EB6E4B">
        <w:rPr>
          <w:i/>
          <w:sz w:val="20"/>
          <w:szCs w:val="20"/>
        </w:rPr>
        <w:t>3</w:t>
      </w:r>
      <w:r>
        <w:rPr>
          <w:i/>
          <w:sz w:val="20"/>
          <w:szCs w:val="20"/>
        </w:rPr>
        <w:t xml:space="preserve">: A) Comparison of cell type identities based on annotations of single-nucleus </w:t>
      </w:r>
      <w:proofErr w:type="spellStart"/>
      <w:r>
        <w:rPr>
          <w:i/>
          <w:sz w:val="20"/>
          <w:szCs w:val="20"/>
        </w:rPr>
        <w:t>RNAseq</w:t>
      </w:r>
      <w:proofErr w:type="spellEnd"/>
      <w:r>
        <w:rPr>
          <w:i/>
          <w:sz w:val="20"/>
          <w:szCs w:val="20"/>
        </w:rPr>
        <w:t xml:space="preserve"> data from </w:t>
      </w:r>
      <w:proofErr w:type="spellStart"/>
      <w:r>
        <w:rPr>
          <w:i/>
          <w:sz w:val="20"/>
          <w:szCs w:val="20"/>
        </w:rPr>
        <w:t>Mathys</w:t>
      </w:r>
      <w:proofErr w:type="spellEnd"/>
      <w:r>
        <w:rPr>
          <w:i/>
          <w:sz w:val="20"/>
          <w:szCs w:val="20"/>
        </w:rPr>
        <w:t xml:space="preserve"> et al (A) and Cain et al (B). Rows show original cell type annotations from </w:t>
      </w:r>
      <w:proofErr w:type="spellStart"/>
      <w:r>
        <w:rPr>
          <w:i/>
          <w:sz w:val="20"/>
          <w:szCs w:val="20"/>
        </w:rPr>
        <w:t>Mathys</w:t>
      </w:r>
      <w:proofErr w:type="spellEnd"/>
      <w:r>
        <w:rPr>
          <w:i/>
          <w:sz w:val="20"/>
          <w:szCs w:val="20"/>
        </w:rPr>
        <w:t xml:space="preserve"> and Cain and columns show re-mapped cell identities to the Allen Institute reference cell type </w:t>
      </w:r>
      <w:r>
        <w:rPr>
          <w:i/>
          <w:sz w:val="20"/>
          <w:szCs w:val="20"/>
        </w:rPr>
        <w:lastRenderedPageBreak/>
        <w:t>taxonomy used in this publication. Rows sum to 100%. Note that only single-nuclei which are re-mapped to the reference taxonomy following quality filtering are shown.</w:t>
      </w:r>
    </w:p>
    <w:p w14:paraId="108E250C" w14:textId="77777777" w:rsidR="005C0AEE" w:rsidRDefault="005C0AEE">
      <w:pPr>
        <w:spacing w:before="240" w:after="240"/>
        <w:rPr>
          <w:i/>
          <w:sz w:val="20"/>
          <w:szCs w:val="20"/>
        </w:rPr>
      </w:pPr>
    </w:p>
    <w:p w14:paraId="382FF315" w14:textId="77777777" w:rsidR="005C0AEE" w:rsidRDefault="009005D2">
      <w:pPr>
        <w:spacing w:before="240" w:after="240"/>
        <w:rPr>
          <w:i/>
          <w:sz w:val="20"/>
          <w:szCs w:val="20"/>
        </w:rPr>
      </w:pPr>
      <w:r>
        <w:rPr>
          <w:i/>
          <w:noProof/>
          <w:sz w:val="20"/>
          <w:szCs w:val="20"/>
          <w:lang w:val="en-US"/>
        </w:rPr>
        <w:drawing>
          <wp:inline distT="114300" distB="114300" distL="114300" distR="114300" wp14:anchorId="034333CA" wp14:editId="4426833B">
            <wp:extent cx="5943600" cy="4876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l="-1032"/>
                    <a:stretch>
                      <a:fillRect/>
                    </a:stretch>
                  </pic:blipFill>
                  <pic:spPr>
                    <a:xfrm>
                      <a:off x="0" y="0"/>
                      <a:ext cx="5943600" cy="4876800"/>
                    </a:xfrm>
                    <a:prstGeom prst="rect">
                      <a:avLst/>
                    </a:prstGeom>
                    <a:ln/>
                  </pic:spPr>
                </pic:pic>
              </a:graphicData>
            </a:graphic>
          </wp:inline>
        </w:drawing>
      </w:r>
    </w:p>
    <w:p w14:paraId="228D4F89" w14:textId="22CE4160" w:rsidR="005C0AEE" w:rsidRPr="00EB6E4B" w:rsidRDefault="009005D2">
      <w:pPr>
        <w:spacing w:before="240" w:after="240"/>
        <w:rPr>
          <w:sz w:val="20"/>
          <w:szCs w:val="20"/>
        </w:rPr>
      </w:pPr>
      <w:r w:rsidRPr="00EB6E4B">
        <w:rPr>
          <w:bCs/>
          <w:i/>
          <w:iCs/>
          <w:sz w:val="20"/>
          <w:szCs w:val="20"/>
        </w:rPr>
        <w:t xml:space="preserve">Supplemental Figure </w:t>
      </w:r>
      <w:r w:rsidR="00EB6E4B" w:rsidRPr="00EB6E4B">
        <w:rPr>
          <w:bCs/>
          <w:i/>
          <w:iCs/>
          <w:sz w:val="20"/>
          <w:szCs w:val="20"/>
        </w:rPr>
        <w:t>4</w:t>
      </w:r>
      <w:r w:rsidRPr="00EB6E4B">
        <w:rPr>
          <w:bCs/>
          <w:i/>
          <w:iCs/>
          <w:sz w:val="20"/>
          <w:szCs w:val="20"/>
        </w:rPr>
        <w:t>. Consistency between bulk and single-nucleus derived cell type proportions.</w:t>
      </w:r>
      <w:r w:rsidRPr="00EB6E4B">
        <w:rPr>
          <w:i/>
          <w:iCs/>
          <w:sz w:val="20"/>
          <w:szCs w:val="20"/>
        </w:rPr>
        <w:t xml:space="preserve"> A) Summary of Spearman correlations between </w:t>
      </w:r>
      <w:r w:rsidR="00775D8F">
        <w:rPr>
          <w:i/>
          <w:iCs/>
          <w:sz w:val="20"/>
          <w:szCs w:val="20"/>
        </w:rPr>
        <w:t>relative cell type proportions (</w:t>
      </w:r>
      <w:proofErr w:type="spellStart"/>
      <w:r w:rsidRPr="00EB6E4B">
        <w:rPr>
          <w:i/>
          <w:iCs/>
          <w:sz w:val="20"/>
          <w:szCs w:val="20"/>
        </w:rPr>
        <w:t>rCTP</w:t>
      </w:r>
      <w:proofErr w:type="spellEnd"/>
      <w:r w:rsidR="00775D8F">
        <w:rPr>
          <w:i/>
          <w:iCs/>
          <w:sz w:val="20"/>
          <w:szCs w:val="20"/>
        </w:rPr>
        <w:t>)</w:t>
      </w:r>
      <w:r w:rsidRPr="00EB6E4B">
        <w:rPr>
          <w:i/>
          <w:iCs/>
          <w:sz w:val="20"/>
          <w:szCs w:val="20"/>
        </w:rPr>
        <w:t xml:space="preserve"> and </w:t>
      </w:r>
      <w:r w:rsidR="00775D8F">
        <w:rPr>
          <w:i/>
          <w:iCs/>
          <w:sz w:val="20"/>
          <w:szCs w:val="20"/>
        </w:rPr>
        <w:t>single-nucleus derived cell type proportions (</w:t>
      </w:r>
      <w:proofErr w:type="spellStart"/>
      <w:r w:rsidRPr="00EB6E4B">
        <w:rPr>
          <w:i/>
          <w:iCs/>
          <w:sz w:val="20"/>
          <w:szCs w:val="20"/>
        </w:rPr>
        <w:t>snCTPs</w:t>
      </w:r>
      <w:proofErr w:type="spellEnd"/>
      <w:r w:rsidR="00775D8F">
        <w:rPr>
          <w:i/>
          <w:iCs/>
          <w:sz w:val="20"/>
          <w:szCs w:val="20"/>
        </w:rPr>
        <w:t>)</w:t>
      </w:r>
      <w:r w:rsidRPr="00EB6E4B">
        <w:rPr>
          <w:i/>
          <w:iCs/>
          <w:sz w:val="20"/>
          <w:szCs w:val="20"/>
        </w:rPr>
        <w:t xml:space="preserve"> based on subjects shared between analyses bulk and </w:t>
      </w:r>
      <w:proofErr w:type="spellStart"/>
      <w:r w:rsidRPr="00EB6E4B">
        <w:rPr>
          <w:i/>
          <w:iCs/>
          <w:sz w:val="20"/>
          <w:szCs w:val="20"/>
        </w:rPr>
        <w:t>snRNAseq</w:t>
      </w:r>
      <w:proofErr w:type="spellEnd"/>
      <w:r w:rsidRPr="00EB6E4B">
        <w:rPr>
          <w:i/>
          <w:iCs/>
          <w:sz w:val="20"/>
          <w:szCs w:val="20"/>
        </w:rPr>
        <w:t xml:space="preserve"> analyses. Correlations calculated independently using subjects shared between </w:t>
      </w:r>
      <w:proofErr w:type="spellStart"/>
      <w:r w:rsidRPr="00EB6E4B">
        <w:rPr>
          <w:i/>
          <w:iCs/>
          <w:sz w:val="20"/>
          <w:szCs w:val="20"/>
        </w:rPr>
        <w:t>Mathys</w:t>
      </w:r>
      <w:proofErr w:type="spellEnd"/>
      <w:r w:rsidRPr="00EB6E4B">
        <w:rPr>
          <w:i/>
          <w:iCs/>
          <w:sz w:val="20"/>
          <w:szCs w:val="20"/>
        </w:rPr>
        <w:t xml:space="preserve">, Zhou, and Cain </w:t>
      </w:r>
      <w:proofErr w:type="spellStart"/>
      <w:r w:rsidRPr="00EB6E4B">
        <w:rPr>
          <w:i/>
          <w:iCs/>
          <w:sz w:val="20"/>
          <w:szCs w:val="20"/>
        </w:rPr>
        <w:t>snRNAseq</w:t>
      </w:r>
      <w:proofErr w:type="spellEnd"/>
      <w:r w:rsidRPr="00EB6E4B">
        <w:rPr>
          <w:i/>
          <w:iCs/>
          <w:sz w:val="20"/>
          <w:szCs w:val="20"/>
        </w:rPr>
        <w:t xml:space="preserve"> datasets. B) Scatterplots illustrating consistency between </w:t>
      </w:r>
      <w:proofErr w:type="spellStart"/>
      <w:r w:rsidRPr="00EB6E4B">
        <w:rPr>
          <w:i/>
          <w:iCs/>
          <w:sz w:val="20"/>
          <w:szCs w:val="20"/>
        </w:rPr>
        <w:t>snCTPs</w:t>
      </w:r>
      <w:proofErr w:type="spellEnd"/>
      <w:r w:rsidRPr="00EB6E4B">
        <w:rPr>
          <w:i/>
          <w:iCs/>
          <w:sz w:val="20"/>
          <w:szCs w:val="20"/>
        </w:rPr>
        <w:t xml:space="preserve"> (y-axis, with cell type proportions calculated as percentages) and </w:t>
      </w:r>
      <w:proofErr w:type="spellStart"/>
      <w:r w:rsidRPr="00EB6E4B">
        <w:rPr>
          <w:i/>
          <w:iCs/>
          <w:sz w:val="20"/>
          <w:szCs w:val="20"/>
        </w:rPr>
        <w:t>rCTPs</w:t>
      </w:r>
      <w:proofErr w:type="spellEnd"/>
      <w:r w:rsidRPr="00EB6E4B">
        <w:rPr>
          <w:i/>
          <w:iCs/>
          <w:sz w:val="20"/>
          <w:szCs w:val="20"/>
        </w:rPr>
        <w:t xml:space="preserve"> (x-axis, arbitrary units) for </w:t>
      </w:r>
      <w:r w:rsidR="00775D8F">
        <w:rPr>
          <w:i/>
          <w:iCs/>
          <w:sz w:val="20"/>
          <w:szCs w:val="20"/>
        </w:rPr>
        <w:t>somatostatin (</w:t>
      </w:r>
      <w:r w:rsidRPr="00EB6E4B">
        <w:rPr>
          <w:i/>
          <w:iCs/>
          <w:sz w:val="20"/>
          <w:szCs w:val="20"/>
        </w:rPr>
        <w:t>SST</w:t>
      </w:r>
      <w:r w:rsidR="00775D8F">
        <w:rPr>
          <w:i/>
          <w:iCs/>
          <w:sz w:val="20"/>
          <w:szCs w:val="20"/>
        </w:rPr>
        <w:t>)</w:t>
      </w:r>
      <w:r w:rsidRPr="00EB6E4B">
        <w:rPr>
          <w:i/>
          <w:iCs/>
          <w:sz w:val="20"/>
          <w:szCs w:val="20"/>
        </w:rPr>
        <w:t xml:space="preserve"> cells and </w:t>
      </w:r>
      <w:r w:rsidR="00775D8F">
        <w:rPr>
          <w:i/>
          <w:iCs/>
          <w:sz w:val="20"/>
          <w:szCs w:val="20"/>
        </w:rPr>
        <w:t>intra-telencephalic (</w:t>
      </w:r>
      <w:r w:rsidRPr="00EB6E4B">
        <w:rPr>
          <w:i/>
          <w:iCs/>
          <w:sz w:val="20"/>
          <w:szCs w:val="20"/>
        </w:rPr>
        <w:t>IT</w:t>
      </w:r>
      <w:r w:rsidR="00775D8F">
        <w:rPr>
          <w:i/>
          <w:iCs/>
          <w:sz w:val="20"/>
          <w:szCs w:val="20"/>
        </w:rPr>
        <w:t>)</w:t>
      </w:r>
      <w:r w:rsidRPr="00EB6E4B">
        <w:rPr>
          <w:i/>
          <w:iCs/>
          <w:sz w:val="20"/>
          <w:szCs w:val="20"/>
        </w:rPr>
        <w:t xml:space="preserve"> </w:t>
      </w:r>
      <w:r w:rsidR="00775D8F">
        <w:rPr>
          <w:i/>
          <w:iCs/>
          <w:sz w:val="20"/>
          <w:szCs w:val="20"/>
        </w:rPr>
        <w:t xml:space="preserve">glutamatergic </w:t>
      </w:r>
      <w:r w:rsidRPr="00EB6E4B">
        <w:rPr>
          <w:i/>
          <w:iCs/>
          <w:sz w:val="20"/>
          <w:szCs w:val="20"/>
        </w:rPr>
        <w:t xml:space="preserve">cells. For SST interneurons, the correlations between </w:t>
      </w:r>
      <w:proofErr w:type="spellStart"/>
      <w:r w:rsidRPr="00EB6E4B">
        <w:rPr>
          <w:i/>
          <w:iCs/>
          <w:sz w:val="20"/>
          <w:szCs w:val="20"/>
        </w:rPr>
        <w:t>rCTPs</w:t>
      </w:r>
      <w:proofErr w:type="spellEnd"/>
      <w:r w:rsidRPr="00EB6E4B">
        <w:rPr>
          <w:i/>
          <w:iCs/>
          <w:sz w:val="20"/>
          <w:szCs w:val="20"/>
        </w:rPr>
        <w:t xml:space="preserve"> and </w:t>
      </w:r>
      <w:proofErr w:type="spellStart"/>
      <w:r w:rsidRPr="00EB6E4B">
        <w:rPr>
          <w:i/>
          <w:iCs/>
          <w:sz w:val="20"/>
          <w:szCs w:val="20"/>
        </w:rPr>
        <w:t>snCTPs</w:t>
      </w:r>
      <w:proofErr w:type="spellEnd"/>
      <w:r w:rsidRPr="00EB6E4B">
        <w:rPr>
          <w:i/>
          <w:iCs/>
          <w:sz w:val="20"/>
          <w:szCs w:val="20"/>
        </w:rPr>
        <w:t xml:space="preserve"> derived from the </w:t>
      </w:r>
      <w:proofErr w:type="spellStart"/>
      <w:r w:rsidRPr="00EB6E4B">
        <w:rPr>
          <w:i/>
          <w:iCs/>
          <w:sz w:val="20"/>
          <w:szCs w:val="20"/>
        </w:rPr>
        <w:t>Mathys</w:t>
      </w:r>
      <w:proofErr w:type="spellEnd"/>
      <w:r w:rsidRPr="00EB6E4B">
        <w:rPr>
          <w:i/>
          <w:iCs/>
          <w:sz w:val="20"/>
          <w:szCs w:val="20"/>
        </w:rPr>
        <w:t xml:space="preserve">, Zhou and Cain datasets were Spearman’s rho = 0.20, -0.10, and 0.63 respectively. Similarly, for IT glutamatergic cells the correlation between </w:t>
      </w:r>
      <w:proofErr w:type="spellStart"/>
      <w:r w:rsidRPr="00EB6E4B">
        <w:rPr>
          <w:i/>
          <w:iCs/>
          <w:sz w:val="20"/>
          <w:szCs w:val="20"/>
        </w:rPr>
        <w:t>rCTPs</w:t>
      </w:r>
      <w:proofErr w:type="spellEnd"/>
      <w:r w:rsidRPr="00EB6E4B">
        <w:rPr>
          <w:i/>
          <w:iCs/>
          <w:sz w:val="20"/>
          <w:szCs w:val="20"/>
        </w:rPr>
        <w:t xml:space="preserve"> and </w:t>
      </w:r>
      <w:proofErr w:type="spellStart"/>
      <w:r w:rsidRPr="00EB6E4B">
        <w:rPr>
          <w:i/>
          <w:iCs/>
          <w:sz w:val="20"/>
          <w:szCs w:val="20"/>
        </w:rPr>
        <w:t>snCTPs</w:t>
      </w:r>
      <w:proofErr w:type="spellEnd"/>
      <w:r w:rsidRPr="00EB6E4B">
        <w:rPr>
          <w:i/>
          <w:iCs/>
          <w:sz w:val="20"/>
          <w:szCs w:val="20"/>
        </w:rPr>
        <w:t xml:space="preserve"> derived from the </w:t>
      </w:r>
      <w:proofErr w:type="spellStart"/>
      <w:r w:rsidRPr="00EB6E4B">
        <w:rPr>
          <w:i/>
          <w:iCs/>
          <w:sz w:val="20"/>
          <w:szCs w:val="20"/>
        </w:rPr>
        <w:t>Mathys</w:t>
      </w:r>
      <w:proofErr w:type="spellEnd"/>
      <w:r w:rsidRPr="00EB6E4B">
        <w:rPr>
          <w:i/>
          <w:iCs/>
          <w:sz w:val="20"/>
          <w:szCs w:val="20"/>
        </w:rPr>
        <w:t xml:space="preserve">, Zhou and Cain datasets were Spearman’s rho = 0.12, 0.24, and 0.44 respectively. These analyses suggest broad comparability between both methods (bulk and </w:t>
      </w:r>
      <w:proofErr w:type="spellStart"/>
      <w:r w:rsidRPr="00EB6E4B">
        <w:rPr>
          <w:i/>
          <w:iCs/>
          <w:sz w:val="20"/>
          <w:szCs w:val="20"/>
        </w:rPr>
        <w:t>snRNAseq</w:t>
      </w:r>
      <w:proofErr w:type="spellEnd"/>
      <w:r w:rsidRPr="00EB6E4B">
        <w:rPr>
          <w:i/>
          <w:iCs/>
          <w:sz w:val="20"/>
          <w:szCs w:val="20"/>
        </w:rPr>
        <w:t xml:space="preserve">-based) for estimating cellular proportions as well as key differences between the different single-nucleus </w:t>
      </w:r>
      <w:proofErr w:type="spellStart"/>
      <w:r w:rsidRPr="00EB6E4B">
        <w:rPr>
          <w:i/>
          <w:iCs/>
          <w:sz w:val="20"/>
          <w:szCs w:val="20"/>
        </w:rPr>
        <w:t>RNAseq</w:t>
      </w:r>
      <w:proofErr w:type="spellEnd"/>
      <w:r w:rsidRPr="00EB6E4B">
        <w:rPr>
          <w:i/>
          <w:iCs/>
          <w:sz w:val="20"/>
          <w:szCs w:val="20"/>
        </w:rPr>
        <w:t xml:space="preserve"> datasets that might influence our </w:t>
      </w:r>
      <w:proofErr w:type="spellStart"/>
      <w:r w:rsidRPr="00EB6E4B">
        <w:rPr>
          <w:i/>
          <w:iCs/>
          <w:sz w:val="20"/>
          <w:szCs w:val="20"/>
        </w:rPr>
        <w:t>snCTP</w:t>
      </w:r>
      <w:proofErr w:type="spellEnd"/>
      <w:r w:rsidRPr="00EB6E4B">
        <w:rPr>
          <w:i/>
          <w:iCs/>
          <w:sz w:val="20"/>
          <w:szCs w:val="20"/>
        </w:rPr>
        <w:t xml:space="preserve"> calculations. </w:t>
      </w:r>
    </w:p>
    <w:p w14:paraId="61E341BE" w14:textId="77777777" w:rsidR="00EB6E4B" w:rsidRDefault="00EB6E4B" w:rsidP="00EB6E4B">
      <w:pPr>
        <w:spacing w:before="240" w:after="240"/>
        <w:rPr>
          <w:i/>
          <w:sz w:val="20"/>
          <w:szCs w:val="20"/>
        </w:rPr>
      </w:pPr>
      <w:bookmarkStart w:id="13" w:name="_jsb3kkfnmixh" w:colFirst="0" w:colLast="0"/>
      <w:bookmarkEnd w:id="13"/>
      <w:r>
        <w:rPr>
          <w:i/>
          <w:noProof/>
          <w:sz w:val="20"/>
          <w:szCs w:val="20"/>
          <w:lang w:val="en-US"/>
        </w:rPr>
        <w:lastRenderedPageBreak/>
        <w:drawing>
          <wp:inline distT="114300" distB="114300" distL="114300" distR="114300" wp14:anchorId="40375B62" wp14:editId="6811F12D">
            <wp:extent cx="4514850" cy="2491273"/>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6" name="image1.png"/>
                    <pic:cNvPicPr preferRelativeResize="0"/>
                  </pic:nvPicPr>
                  <pic:blipFill rotWithShape="1">
                    <a:blip r:embed="rId31" cstate="print">
                      <a:extLst>
                        <a:ext uri="{28A0092B-C50C-407E-A947-70E740481C1C}">
                          <a14:useLocalDpi xmlns:a14="http://schemas.microsoft.com/office/drawing/2010/main" val="0"/>
                        </a:ext>
                      </a:extLst>
                    </a:blip>
                    <a:srcRect l="-706" t="-2380" r="-744" b="-3552"/>
                    <a:stretch/>
                  </pic:blipFill>
                  <pic:spPr bwMode="auto">
                    <a:xfrm>
                      <a:off x="0" y="0"/>
                      <a:ext cx="4516987" cy="2492452"/>
                    </a:xfrm>
                    <a:prstGeom prst="rect">
                      <a:avLst/>
                    </a:prstGeom>
                    <a:ln>
                      <a:noFill/>
                    </a:ln>
                    <a:extLst>
                      <a:ext uri="{53640926-AAD7-44D8-BBD7-CCE9431645EC}">
                        <a14:shadowObscured xmlns:a14="http://schemas.microsoft.com/office/drawing/2010/main"/>
                      </a:ext>
                    </a:extLst>
                  </pic:spPr>
                </pic:pic>
              </a:graphicData>
            </a:graphic>
          </wp:inline>
        </w:drawing>
      </w:r>
    </w:p>
    <w:p w14:paraId="22310B9F" w14:textId="0841E98F" w:rsidR="005C0AEE" w:rsidRPr="00D42FA2" w:rsidRDefault="00EB6E4B" w:rsidP="00D42FA2">
      <w:pPr>
        <w:pStyle w:val="Heading1"/>
        <w:rPr>
          <w:i/>
          <w:iCs/>
          <w:sz w:val="20"/>
          <w:szCs w:val="20"/>
          <w:lang w:val="en-CA"/>
        </w:rPr>
      </w:pPr>
      <w:r w:rsidRPr="00EB6E4B">
        <w:rPr>
          <w:bCs/>
          <w:i/>
          <w:iCs/>
          <w:sz w:val="20"/>
          <w:szCs w:val="20"/>
        </w:rPr>
        <w:t xml:space="preserve">Supplemental Figure </w:t>
      </w:r>
      <w:r>
        <w:rPr>
          <w:bCs/>
          <w:i/>
          <w:iCs/>
          <w:sz w:val="20"/>
          <w:szCs w:val="20"/>
        </w:rPr>
        <w:t>5</w:t>
      </w:r>
      <w:r w:rsidRPr="00EB6E4B">
        <w:rPr>
          <w:bCs/>
          <w:i/>
          <w:iCs/>
          <w:sz w:val="20"/>
          <w:szCs w:val="20"/>
        </w:rPr>
        <w:t xml:space="preserve">. </w:t>
      </w:r>
      <w:r>
        <w:rPr>
          <w:bCs/>
          <w:i/>
          <w:iCs/>
          <w:sz w:val="20"/>
          <w:szCs w:val="20"/>
        </w:rPr>
        <w:t xml:space="preserve">SST mRNA expression is not significantly different </w:t>
      </w:r>
      <w:r w:rsidR="00022B20">
        <w:rPr>
          <w:bCs/>
          <w:i/>
          <w:iCs/>
          <w:sz w:val="20"/>
          <w:szCs w:val="20"/>
        </w:rPr>
        <w:t>among somatostatin-expressing interneurons between</w:t>
      </w:r>
      <w:r>
        <w:rPr>
          <w:bCs/>
          <w:i/>
          <w:iCs/>
          <w:sz w:val="20"/>
          <w:szCs w:val="20"/>
        </w:rPr>
        <w:t xml:space="preserve"> AD cases </w:t>
      </w:r>
      <w:r w:rsidR="00022B20">
        <w:rPr>
          <w:bCs/>
          <w:i/>
          <w:iCs/>
          <w:sz w:val="20"/>
          <w:szCs w:val="20"/>
        </w:rPr>
        <w:t xml:space="preserve">and </w:t>
      </w:r>
      <w:r>
        <w:rPr>
          <w:bCs/>
          <w:i/>
          <w:iCs/>
          <w:sz w:val="20"/>
          <w:szCs w:val="20"/>
        </w:rPr>
        <w:t>controls.</w:t>
      </w:r>
      <w:r w:rsidRPr="00EB6E4B">
        <w:rPr>
          <w:i/>
          <w:iCs/>
          <w:sz w:val="20"/>
          <w:szCs w:val="20"/>
        </w:rPr>
        <w:t xml:space="preserve"> </w:t>
      </w:r>
      <w:r w:rsidR="00D42FA2">
        <w:rPr>
          <w:i/>
          <w:iCs/>
          <w:sz w:val="20"/>
          <w:szCs w:val="20"/>
        </w:rPr>
        <w:t xml:space="preserve">Y-axis shows mean SST mRNA expression per nucleus </w:t>
      </w:r>
      <w:r>
        <w:rPr>
          <w:i/>
          <w:iCs/>
          <w:sz w:val="20"/>
          <w:szCs w:val="20"/>
        </w:rPr>
        <w:t xml:space="preserve">among </w:t>
      </w:r>
      <w:r w:rsidR="00501C0B">
        <w:rPr>
          <w:i/>
          <w:iCs/>
          <w:sz w:val="20"/>
          <w:szCs w:val="20"/>
        </w:rPr>
        <w:t>nuclei that were bioinformatically annotated to the SST cell typ</w:t>
      </w:r>
      <w:r w:rsidR="00D42FA2">
        <w:rPr>
          <w:i/>
          <w:iCs/>
          <w:sz w:val="20"/>
          <w:szCs w:val="20"/>
        </w:rPr>
        <w:t xml:space="preserve">e. Y-axis shows </w:t>
      </w:r>
      <w:proofErr w:type="spellStart"/>
      <w:r w:rsidR="00D42FA2">
        <w:rPr>
          <w:i/>
          <w:iCs/>
          <w:sz w:val="20"/>
          <w:szCs w:val="20"/>
        </w:rPr>
        <w:t>residual</w:t>
      </w:r>
      <w:r w:rsidR="00A742BC">
        <w:rPr>
          <w:i/>
          <w:iCs/>
          <w:sz w:val="20"/>
          <w:szCs w:val="20"/>
        </w:rPr>
        <w:t>ized</w:t>
      </w:r>
      <w:proofErr w:type="spellEnd"/>
      <w:r w:rsidR="00A742BC">
        <w:rPr>
          <w:i/>
          <w:iCs/>
          <w:sz w:val="20"/>
          <w:szCs w:val="20"/>
        </w:rPr>
        <w:t xml:space="preserve"> expression</w:t>
      </w:r>
      <w:r w:rsidR="00D42FA2">
        <w:rPr>
          <w:i/>
          <w:iCs/>
          <w:sz w:val="20"/>
          <w:szCs w:val="20"/>
        </w:rPr>
        <w:t xml:space="preserve"> values after covarying</w:t>
      </w:r>
      <w:r w:rsidR="00A742BC">
        <w:rPr>
          <w:i/>
          <w:iCs/>
          <w:sz w:val="20"/>
          <w:szCs w:val="20"/>
        </w:rPr>
        <w:t>, per subject,</w:t>
      </w:r>
      <w:r w:rsidR="00D42FA2">
        <w:rPr>
          <w:i/>
          <w:iCs/>
          <w:sz w:val="20"/>
          <w:szCs w:val="20"/>
        </w:rPr>
        <w:t xml:space="preserve"> for </w:t>
      </w:r>
      <w:r w:rsidR="00A742BC">
        <w:rPr>
          <w:i/>
          <w:iCs/>
          <w:sz w:val="20"/>
          <w:szCs w:val="20"/>
        </w:rPr>
        <w:t xml:space="preserve">age at death, sex, and post-mortem interval as well as </w:t>
      </w:r>
      <w:r w:rsidR="00D42FA2">
        <w:rPr>
          <w:i/>
          <w:iCs/>
          <w:sz w:val="20"/>
          <w:szCs w:val="20"/>
        </w:rPr>
        <w:t xml:space="preserve">count of SST positive nuclei </w:t>
      </w:r>
      <w:r w:rsidR="00022B20">
        <w:rPr>
          <w:i/>
          <w:iCs/>
          <w:sz w:val="20"/>
          <w:szCs w:val="20"/>
        </w:rPr>
        <w:t xml:space="preserve">and proportion of </w:t>
      </w:r>
      <w:r w:rsidR="00D42FA2">
        <w:rPr>
          <w:i/>
          <w:iCs/>
          <w:sz w:val="20"/>
          <w:szCs w:val="20"/>
        </w:rPr>
        <w:t xml:space="preserve">SST </w:t>
      </w:r>
      <w:r w:rsidR="00022B20">
        <w:rPr>
          <w:i/>
          <w:iCs/>
          <w:sz w:val="20"/>
          <w:szCs w:val="20"/>
        </w:rPr>
        <w:t>cells among all sampled cells from subject</w:t>
      </w:r>
      <w:r w:rsidR="00D42FA2">
        <w:rPr>
          <w:i/>
          <w:iCs/>
          <w:sz w:val="20"/>
          <w:szCs w:val="20"/>
        </w:rPr>
        <w:t xml:space="preserve">. </w:t>
      </w:r>
      <w:r w:rsidR="00501C0B">
        <w:rPr>
          <w:i/>
          <w:iCs/>
          <w:sz w:val="20"/>
          <w:szCs w:val="20"/>
        </w:rPr>
        <w:t>Each dot reflects one subject and large diamonds indicate group</w:t>
      </w:r>
      <w:r w:rsidR="004E0840">
        <w:rPr>
          <w:i/>
          <w:iCs/>
          <w:sz w:val="20"/>
          <w:szCs w:val="20"/>
        </w:rPr>
        <w:t xml:space="preserve"> means. </w:t>
      </w:r>
      <w:r w:rsidR="00501C0B">
        <w:rPr>
          <w:i/>
          <w:iCs/>
          <w:sz w:val="20"/>
          <w:szCs w:val="20"/>
        </w:rPr>
        <w:t xml:space="preserve">Only subjects with at least 3 </w:t>
      </w:r>
      <w:r w:rsidR="00775D8F">
        <w:rPr>
          <w:i/>
          <w:iCs/>
          <w:sz w:val="20"/>
          <w:szCs w:val="20"/>
        </w:rPr>
        <w:t>quality control</w:t>
      </w:r>
      <w:r w:rsidR="00501C0B">
        <w:rPr>
          <w:i/>
          <w:iCs/>
          <w:sz w:val="20"/>
          <w:szCs w:val="20"/>
        </w:rPr>
        <w:t xml:space="preserve">-passing SST </w:t>
      </w:r>
      <w:r w:rsidR="000F4E66">
        <w:rPr>
          <w:i/>
          <w:iCs/>
          <w:sz w:val="20"/>
          <w:szCs w:val="20"/>
        </w:rPr>
        <w:t>nuclei</w:t>
      </w:r>
      <w:r w:rsidR="00501C0B">
        <w:rPr>
          <w:i/>
          <w:iCs/>
          <w:sz w:val="20"/>
          <w:szCs w:val="20"/>
        </w:rPr>
        <w:t xml:space="preserve"> were included in analysis. Inset values indicate uncorrected p-values based on a Wilcoxon rank sum test. </w:t>
      </w:r>
      <w:r w:rsidR="00D42FA2">
        <w:rPr>
          <w:i/>
          <w:iCs/>
          <w:sz w:val="20"/>
          <w:szCs w:val="20"/>
        </w:rPr>
        <w:t xml:space="preserve">Mega-analysis for AD diagnosis term (encompassing across all three datasets): std. Beta = </w:t>
      </w:r>
      <w:r w:rsidR="00D42FA2" w:rsidRPr="00D42FA2">
        <w:rPr>
          <w:i/>
          <w:iCs/>
          <w:sz w:val="20"/>
          <w:szCs w:val="20"/>
          <w:lang w:val="en-CA"/>
        </w:rPr>
        <w:t xml:space="preserve">-0.428, </w:t>
      </w:r>
      <w:proofErr w:type="spellStart"/>
      <w:r w:rsidR="00D42FA2" w:rsidRPr="00D42FA2">
        <w:rPr>
          <w:i/>
          <w:iCs/>
          <w:sz w:val="20"/>
          <w:szCs w:val="20"/>
          <w:lang w:val="en-CA"/>
        </w:rPr>
        <w:t>pval</w:t>
      </w:r>
      <w:proofErr w:type="spellEnd"/>
      <w:r w:rsidR="00D42FA2" w:rsidRPr="00D42FA2">
        <w:rPr>
          <w:i/>
          <w:iCs/>
          <w:sz w:val="20"/>
          <w:szCs w:val="20"/>
          <w:lang w:val="en-CA"/>
        </w:rPr>
        <w:t xml:space="preserve"> = </w:t>
      </w:r>
      <w:r w:rsidR="00D42FA2">
        <w:rPr>
          <w:i/>
          <w:iCs/>
          <w:sz w:val="20"/>
          <w:szCs w:val="20"/>
          <w:lang w:val="en-CA"/>
        </w:rPr>
        <w:t>0</w:t>
      </w:r>
      <w:r w:rsidR="00D42FA2" w:rsidRPr="00D42FA2">
        <w:rPr>
          <w:i/>
          <w:iCs/>
          <w:sz w:val="20"/>
          <w:szCs w:val="20"/>
          <w:lang w:val="en-CA"/>
        </w:rPr>
        <w:t>.417</w:t>
      </w:r>
      <w:r w:rsidR="00D42FA2">
        <w:rPr>
          <w:i/>
          <w:iCs/>
          <w:sz w:val="20"/>
          <w:szCs w:val="20"/>
          <w:lang w:val="en-CA"/>
        </w:rPr>
        <w:t>, n = 47 subjects.</w:t>
      </w:r>
    </w:p>
    <w:p w14:paraId="4E9785DD" w14:textId="77777777" w:rsidR="005C0AEE" w:rsidRDefault="009005D2">
      <w:pPr>
        <w:pStyle w:val="Heading2"/>
      </w:pPr>
      <w:bookmarkStart w:id="14" w:name="_l1xh9zk2dg3e" w:colFirst="0" w:colLast="0"/>
      <w:bookmarkEnd w:id="14"/>
      <w:r>
        <w:t>Supplementary Tables</w:t>
      </w:r>
    </w:p>
    <w:p w14:paraId="1A0AEA51" w14:textId="77777777" w:rsidR="005C0AEE" w:rsidRDefault="005C0AEE"/>
    <w:p w14:paraId="2FCBF1C7" w14:textId="7257C388" w:rsidR="005C0AEE" w:rsidRPr="00B63361" w:rsidRDefault="009005D2">
      <w:pPr>
        <w:rPr>
          <w:i/>
          <w:sz w:val="20"/>
          <w:szCs w:val="20"/>
        </w:rPr>
      </w:pPr>
      <w:r w:rsidRPr="00B63361">
        <w:rPr>
          <w:i/>
          <w:sz w:val="20"/>
          <w:szCs w:val="20"/>
        </w:rPr>
        <w:t>Supplementary Table 1</w:t>
      </w:r>
      <w:r w:rsidRPr="00B63361">
        <w:rPr>
          <w:sz w:val="20"/>
          <w:szCs w:val="20"/>
        </w:rPr>
        <w:t xml:space="preserve">. </w:t>
      </w:r>
      <w:r w:rsidRPr="00B63361">
        <w:rPr>
          <w:i/>
          <w:sz w:val="20"/>
          <w:szCs w:val="20"/>
        </w:rPr>
        <w:t xml:space="preserve">List of cell type-specific markers used in estimating relative cell type proportions. </w:t>
      </w:r>
    </w:p>
    <w:p w14:paraId="2BF52BA6" w14:textId="779840DD" w:rsidR="00744BAF" w:rsidRPr="00B63361" w:rsidRDefault="00744BAF">
      <w:pPr>
        <w:rPr>
          <w:i/>
          <w:sz w:val="20"/>
          <w:szCs w:val="20"/>
        </w:rPr>
      </w:pPr>
    </w:p>
    <w:p w14:paraId="60BFD77F" w14:textId="1613CB82" w:rsidR="00744BAF" w:rsidRPr="00B63361" w:rsidRDefault="00744BAF" w:rsidP="00744BAF">
      <w:pPr>
        <w:rPr>
          <w:i/>
          <w:sz w:val="20"/>
          <w:szCs w:val="20"/>
        </w:rPr>
      </w:pPr>
      <w:r w:rsidRPr="00B63361">
        <w:rPr>
          <w:i/>
          <w:sz w:val="20"/>
          <w:szCs w:val="20"/>
        </w:rPr>
        <w:t>Supplementary Table 2.</w:t>
      </w:r>
      <w:r w:rsidRPr="00B63361">
        <w:rPr>
          <w:sz w:val="20"/>
          <w:szCs w:val="20"/>
        </w:rPr>
        <w:t xml:space="preserve"> </w:t>
      </w:r>
      <w:r w:rsidRPr="00B63361">
        <w:rPr>
          <w:i/>
          <w:sz w:val="20"/>
          <w:szCs w:val="20"/>
        </w:rPr>
        <w:t xml:space="preserve">Results from mediation modelling of global cognition, neuropathology, and SST and IT neurons proportions in ROS/MAP. </w:t>
      </w:r>
      <w:r w:rsidR="00F06D2C" w:rsidRPr="00B63361">
        <w:rPr>
          <w:i/>
          <w:sz w:val="20"/>
          <w:szCs w:val="20"/>
        </w:rPr>
        <w:t xml:space="preserve">Note: ci = 95% confidence interval; </w:t>
      </w:r>
      <w:proofErr w:type="spellStart"/>
      <w:r w:rsidR="00F06D2C" w:rsidRPr="00B63361">
        <w:rPr>
          <w:i/>
          <w:sz w:val="20"/>
          <w:szCs w:val="20"/>
        </w:rPr>
        <w:t>cogn_global_lv</w:t>
      </w:r>
      <w:proofErr w:type="spellEnd"/>
      <w:r w:rsidR="00F06D2C" w:rsidRPr="00B63361">
        <w:rPr>
          <w:i/>
          <w:sz w:val="20"/>
          <w:szCs w:val="20"/>
        </w:rPr>
        <w:t xml:space="preserve"> = global cognitive performance measured proximal to death; </w:t>
      </w:r>
      <w:proofErr w:type="spellStart"/>
      <w:r w:rsidR="00F06D2C" w:rsidRPr="00B63361">
        <w:rPr>
          <w:i/>
          <w:sz w:val="20"/>
          <w:szCs w:val="20"/>
        </w:rPr>
        <w:t>gpath_sqrt</w:t>
      </w:r>
      <w:proofErr w:type="spellEnd"/>
      <w:r w:rsidR="00F06D2C" w:rsidRPr="00B63361">
        <w:rPr>
          <w:i/>
          <w:sz w:val="20"/>
          <w:szCs w:val="20"/>
        </w:rPr>
        <w:t xml:space="preserve"> = </w:t>
      </w:r>
      <w:proofErr w:type="spellStart"/>
      <w:r w:rsidR="00F06D2C" w:rsidRPr="00B63361">
        <w:rPr>
          <w:i/>
          <w:sz w:val="20"/>
          <w:szCs w:val="20"/>
        </w:rPr>
        <w:t>sqare</w:t>
      </w:r>
      <w:proofErr w:type="spellEnd"/>
      <w:r w:rsidR="00F06D2C" w:rsidRPr="00B63361">
        <w:rPr>
          <w:i/>
          <w:sz w:val="20"/>
          <w:szCs w:val="20"/>
        </w:rPr>
        <w:t xml:space="preserve">-root transformed global AD neuropathology (see Methods); </w:t>
      </w:r>
      <w:proofErr w:type="spellStart"/>
      <w:r w:rsidR="00F06D2C" w:rsidRPr="00B63361">
        <w:rPr>
          <w:i/>
          <w:sz w:val="20"/>
          <w:szCs w:val="20"/>
        </w:rPr>
        <w:t>propmed</w:t>
      </w:r>
      <w:proofErr w:type="spellEnd"/>
      <w:r w:rsidR="00F06D2C" w:rsidRPr="00B63361">
        <w:rPr>
          <w:i/>
          <w:sz w:val="20"/>
          <w:szCs w:val="20"/>
        </w:rPr>
        <w:t xml:space="preserve"> = proportion of total effect mediated.</w:t>
      </w:r>
    </w:p>
    <w:p w14:paraId="26FD5C04" w14:textId="77777777" w:rsidR="00744BAF" w:rsidRPr="00B63361" w:rsidRDefault="00744BAF">
      <w:pPr>
        <w:rPr>
          <w:sz w:val="20"/>
          <w:szCs w:val="20"/>
        </w:rPr>
      </w:pPr>
    </w:p>
    <w:sectPr w:rsidR="00744BAF" w:rsidRPr="00B6336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altName w:val="Calisto MT"/>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760D7"/>
    <w:multiLevelType w:val="multilevel"/>
    <w:tmpl w:val="AEEADA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60F4986"/>
    <w:multiLevelType w:val="multilevel"/>
    <w:tmpl w:val="BC2A4AE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68643330">
    <w:abstractNumId w:val="0"/>
  </w:num>
  <w:num w:numId="2" w16cid:durableId="10938902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AEE"/>
    <w:rsid w:val="00022B20"/>
    <w:rsid w:val="000F2336"/>
    <w:rsid w:val="000F4E66"/>
    <w:rsid w:val="00243260"/>
    <w:rsid w:val="002F1167"/>
    <w:rsid w:val="0032543E"/>
    <w:rsid w:val="00362FAA"/>
    <w:rsid w:val="003F76F3"/>
    <w:rsid w:val="00465EDB"/>
    <w:rsid w:val="004E0840"/>
    <w:rsid w:val="00501C0B"/>
    <w:rsid w:val="005C0AEE"/>
    <w:rsid w:val="00605633"/>
    <w:rsid w:val="006C66F9"/>
    <w:rsid w:val="00744BAF"/>
    <w:rsid w:val="00775D8F"/>
    <w:rsid w:val="00775DA4"/>
    <w:rsid w:val="007B4C52"/>
    <w:rsid w:val="008369F3"/>
    <w:rsid w:val="0084555B"/>
    <w:rsid w:val="009005D2"/>
    <w:rsid w:val="00A46C25"/>
    <w:rsid w:val="00A742BC"/>
    <w:rsid w:val="00B63361"/>
    <w:rsid w:val="00BA1B63"/>
    <w:rsid w:val="00CB648B"/>
    <w:rsid w:val="00D42FA2"/>
    <w:rsid w:val="00D670C6"/>
    <w:rsid w:val="00D85B67"/>
    <w:rsid w:val="00DA617C"/>
    <w:rsid w:val="00EB6E4B"/>
    <w:rsid w:val="00ED0854"/>
    <w:rsid w:val="00ED1744"/>
    <w:rsid w:val="00F06D2C"/>
    <w:rsid w:val="00FD5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910B1"/>
  <w15:docId w15:val="{CC01FF9E-E5D4-4FD4-AAB0-29152F270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DA617C"/>
    <w:rPr>
      <w:sz w:val="16"/>
      <w:szCs w:val="16"/>
    </w:rPr>
  </w:style>
  <w:style w:type="paragraph" w:styleId="CommentText">
    <w:name w:val="annotation text"/>
    <w:basedOn w:val="Normal"/>
    <w:link w:val="CommentTextChar"/>
    <w:uiPriority w:val="99"/>
    <w:semiHidden/>
    <w:unhideWhenUsed/>
    <w:rsid w:val="00DA617C"/>
    <w:pPr>
      <w:spacing w:line="240" w:lineRule="auto"/>
    </w:pPr>
    <w:rPr>
      <w:sz w:val="20"/>
      <w:szCs w:val="20"/>
    </w:rPr>
  </w:style>
  <w:style w:type="character" w:customStyle="1" w:styleId="CommentTextChar">
    <w:name w:val="Comment Text Char"/>
    <w:basedOn w:val="DefaultParagraphFont"/>
    <w:link w:val="CommentText"/>
    <w:uiPriority w:val="99"/>
    <w:semiHidden/>
    <w:rsid w:val="00DA617C"/>
    <w:rPr>
      <w:sz w:val="20"/>
      <w:szCs w:val="20"/>
    </w:rPr>
  </w:style>
  <w:style w:type="paragraph" w:styleId="CommentSubject">
    <w:name w:val="annotation subject"/>
    <w:basedOn w:val="CommentText"/>
    <w:next w:val="CommentText"/>
    <w:link w:val="CommentSubjectChar"/>
    <w:uiPriority w:val="99"/>
    <w:semiHidden/>
    <w:unhideWhenUsed/>
    <w:rsid w:val="00DA617C"/>
    <w:rPr>
      <w:b/>
      <w:bCs/>
    </w:rPr>
  </w:style>
  <w:style w:type="character" w:customStyle="1" w:styleId="CommentSubjectChar">
    <w:name w:val="Comment Subject Char"/>
    <w:basedOn w:val="CommentTextChar"/>
    <w:link w:val="CommentSubject"/>
    <w:uiPriority w:val="99"/>
    <w:semiHidden/>
    <w:rsid w:val="00DA617C"/>
    <w:rPr>
      <w:b/>
      <w:bCs/>
      <w:sz w:val="20"/>
      <w:szCs w:val="20"/>
    </w:rPr>
  </w:style>
  <w:style w:type="paragraph" w:styleId="BalloonText">
    <w:name w:val="Balloon Text"/>
    <w:basedOn w:val="Normal"/>
    <w:link w:val="BalloonTextChar"/>
    <w:uiPriority w:val="99"/>
    <w:semiHidden/>
    <w:unhideWhenUsed/>
    <w:rsid w:val="00CB648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48B"/>
    <w:rPr>
      <w:rFonts w:ascii="Segoe UI" w:hAnsi="Segoe UI" w:cs="Segoe UI"/>
      <w:sz w:val="18"/>
      <w:szCs w:val="18"/>
    </w:rPr>
  </w:style>
  <w:style w:type="paragraph" w:styleId="Revision">
    <w:name w:val="Revision"/>
    <w:hidden/>
    <w:uiPriority w:val="99"/>
    <w:semiHidden/>
    <w:rsid w:val="0084555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845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zotero.org/google-docs/?jXgSIg" TargetMode="External"/><Relationship Id="rId18" Type="http://schemas.openxmlformats.org/officeDocument/2006/relationships/hyperlink" Target="https://www.zotero.org/google-docs/?2bOJWZ" TargetMode="External"/><Relationship Id="rId26" Type="http://schemas.openxmlformats.org/officeDocument/2006/relationships/hyperlink" Target="https://www.zotero.org/google-docs/?2bOJWZ" TargetMode="External"/><Relationship Id="rId3" Type="http://schemas.openxmlformats.org/officeDocument/2006/relationships/settings" Target="settings.xml"/><Relationship Id="rId21" Type="http://schemas.openxmlformats.org/officeDocument/2006/relationships/hyperlink" Target="https://www.zotero.org/google-docs/?2bOJWZ" TargetMode="External"/><Relationship Id="rId7" Type="http://schemas.openxmlformats.org/officeDocument/2006/relationships/hyperlink" Target="https://www.zotero.org/google-docs/?RvWZrN" TargetMode="External"/><Relationship Id="rId12" Type="http://schemas.openxmlformats.org/officeDocument/2006/relationships/hyperlink" Target="https://www.zotero.org/google-docs/?IzPjrq" TargetMode="External"/><Relationship Id="rId17" Type="http://schemas.openxmlformats.org/officeDocument/2006/relationships/hyperlink" Target="https://www.zotero.org/google-docs/?2bOJWZ" TargetMode="External"/><Relationship Id="rId25" Type="http://schemas.openxmlformats.org/officeDocument/2006/relationships/hyperlink" Target="https://www.zotero.org/google-docs/?2bOJWZ"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zotero.org/google-docs/?c7z54s" TargetMode="External"/><Relationship Id="rId20" Type="http://schemas.openxmlformats.org/officeDocument/2006/relationships/hyperlink" Target="https://www.zotero.org/google-docs/?2bOJWZ"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www.zotero.org/google-docs/?zVRgnO" TargetMode="External"/><Relationship Id="rId11" Type="http://schemas.openxmlformats.org/officeDocument/2006/relationships/hyperlink" Target="https://www.zotero.org/google-docs/?LQgxLm" TargetMode="External"/><Relationship Id="rId24" Type="http://schemas.openxmlformats.org/officeDocument/2006/relationships/hyperlink" Target="https://www.zotero.org/google-docs/?2bOJWZ" TargetMode="External"/><Relationship Id="rId32" Type="http://schemas.openxmlformats.org/officeDocument/2006/relationships/fontTable" Target="fontTable.xml"/><Relationship Id="rId5" Type="http://schemas.openxmlformats.org/officeDocument/2006/relationships/hyperlink" Target="https://portal.brain-map.org/atlases-and-data/rnaseq/human-multiple-cortical-areas-smart-seq" TargetMode="External"/><Relationship Id="rId15" Type="http://schemas.openxmlformats.org/officeDocument/2006/relationships/hyperlink" Target="https://www.zotero.org/google-docs/?Bf9IOd" TargetMode="External"/><Relationship Id="rId23" Type="http://schemas.openxmlformats.org/officeDocument/2006/relationships/hyperlink" Target="https://www.zotero.org/google-docs/?2bOJWZ" TargetMode="External"/><Relationship Id="rId28" Type="http://schemas.openxmlformats.org/officeDocument/2006/relationships/image" Target="media/image2.png"/><Relationship Id="rId10" Type="http://schemas.openxmlformats.org/officeDocument/2006/relationships/hyperlink" Target="https://www.zotero.org/google-docs/?RXNVuM" TargetMode="External"/><Relationship Id="rId19" Type="http://schemas.openxmlformats.org/officeDocument/2006/relationships/hyperlink" Target="https://www.zotero.org/google-docs/?2bOJWZ" TargetMode="Externa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zotero.org/google-docs/?QA8NCJ" TargetMode="External"/><Relationship Id="rId14" Type="http://schemas.openxmlformats.org/officeDocument/2006/relationships/hyperlink" Target="https://www.zotero.org/google-docs/?t9bTxn" TargetMode="External"/><Relationship Id="rId22" Type="http://schemas.openxmlformats.org/officeDocument/2006/relationships/hyperlink" Target="https://www.zotero.org/google-docs/?2bOJWZ" TargetMode="External"/><Relationship Id="rId27" Type="http://schemas.openxmlformats.org/officeDocument/2006/relationships/image" Target="media/image1.png"/><Relationship Id="rId30" Type="http://schemas.openxmlformats.org/officeDocument/2006/relationships/image" Target="media/image4.png"/><Relationship Id="rId8" Type="http://schemas.openxmlformats.org/officeDocument/2006/relationships/hyperlink" Target="https://www.zotero.org/google-docs/?xtX6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2965</Words>
  <Characters>16902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dfelsky</dc:creator>
  <cp:lastModifiedBy>Giada Zaffin</cp:lastModifiedBy>
  <cp:revision>7</cp:revision>
  <dcterms:created xsi:type="dcterms:W3CDTF">2022-04-19T18:58:00Z</dcterms:created>
  <dcterms:modified xsi:type="dcterms:W3CDTF">2022-06-07T11:06:00Z</dcterms:modified>
</cp:coreProperties>
</file>