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7B70" w14:textId="69BFA244" w:rsidR="00AD3CB1" w:rsidRDefault="00AD3CB1" w:rsidP="00AD3CB1">
      <w:pPr>
        <w:spacing w:after="0" w:line="240" w:lineRule="auto"/>
        <w:jc w:val="center"/>
        <w:textAlignment w:val="baseline"/>
        <w:rPr>
          <w:rFonts w:ascii="Times New Roman" w:eastAsia="Times New Roman" w:hAnsi="Times New Roman" w:cs="Times New Roman"/>
          <w:color w:val="000000"/>
          <w:lang w:bidi="he-IL"/>
        </w:rPr>
      </w:pPr>
      <w:r w:rsidRPr="00AD3CB1">
        <w:rPr>
          <w:rFonts w:ascii="Times New Roman" w:eastAsia="Times New Roman" w:hAnsi="Times New Roman" w:cs="Times New Roman"/>
          <w:b/>
          <w:bCs/>
          <w:color w:val="000000"/>
          <w:lang w:bidi="he-IL"/>
        </w:rPr>
        <w:t>Auditory Target Detection Enhances Visual Processing and Hippocampal Functional Connectivity</w:t>
      </w:r>
      <w:r w:rsidRPr="00AD3CB1">
        <w:rPr>
          <w:rFonts w:ascii="Times New Roman" w:eastAsia="Times New Roman" w:hAnsi="Times New Roman" w:cs="Times New Roman"/>
          <w:color w:val="000000"/>
          <w:lang w:bidi="he-IL"/>
        </w:rPr>
        <w:t xml:space="preserve"> </w:t>
      </w:r>
    </w:p>
    <w:p w14:paraId="77C0E9DC" w14:textId="77777777" w:rsidR="00AD3CB1" w:rsidRDefault="00AD3CB1" w:rsidP="00AD3CB1">
      <w:pPr>
        <w:spacing w:after="0" w:line="240" w:lineRule="auto"/>
        <w:jc w:val="center"/>
        <w:textAlignment w:val="baseline"/>
        <w:rPr>
          <w:rFonts w:ascii="Times New Roman" w:eastAsia="Times New Roman" w:hAnsi="Times New Roman" w:cs="Times New Roman"/>
          <w:color w:val="000000"/>
          <w:lang w:bidi="he-IL"/>
        </w:rPr>
      </w:pPr>
    </w:p>
    <w:p w14:paraId="30317149" w14:textId="606A5159" w:rsidR="00AD3CB1" w:rsidRPr="00AD3CB1" w:rsidRDefault="00AD3CB1" w:rsidP="00AD3CB1">
      <w:pPr>
        <w:spacing w:after="0" w:line="240" w:lineRule="auto"/>
        <w:jc w:val="center"/>
        <w:textAlignment w:val="baseline"/>
        <w:rPr>
          <w:rFonts w:ascii="Times New Roman" w:eastAsia="Times New Roman" w:hAnsi="Times New Roman" w:cs="Times New Roman"/>
          <w:b/>
          <w:bCs/>
          <w:color w:val="000000"/>
          <w:lang w:bidi="he-IL"/>
        </w:rPr>
      </w:pPr>
      <w:r w:rsidRPr="00AD3CB1">
        <w:rPr>
          <w:rFonts w:ascii="Times New Roman" w:eastAsia="Times New Roman" w:hAnsi="Times New Roman" w:cs="Times New Roman"/>
          <w:b/>
          <w:bCs/>
          <w:color w:val="000000"/>
          <w:lang w:bidi="he-IL"/>
        </w:rPr>
        <w:t>Supplementary Material</w:t>
      </w:r>
    </w:p>
    <w:p w14:paraId="3C8F793D" w14:textId="3ED890FC" w:rsidR="00AD3CB1" w:rsidRDefault="00AD3CB1" w:rsidP="00AD3CB1">
      <w:pPr>
        <w:spacing w:after="0" w:line="240" w:lineRule="auto"/>
        <w:textAlignment w:val="baseline"/>
        <w:rPr>
          <w:rFonts w:ascii="Times New Roman" w:eastAsia="Times New Roman" w:hAnsi="Times New Roman" w:cs="Times New Roman"/>
          <w:color w:val="000000"/>
          <w:lang w:bidi="he-IL"/>
        </w:rPr>
      </w:pPr>
      <w:r w:rsidRPr="00AD3CB1">
        <w:rPr>
          <w:rFonts w:ascii="Times New Roman" w:eastAsia="Times New Roman" w:hAnsi="Times New Roman" w:cs="Times New Roman"/>
          <w:color w:val="000000"/>
          <w:lang w:bidi="he-IL"/>
        </w:rPr>
        <w:t xml:space="preserve"> </w:t>
      </w:r>
    </w:p>
    <w:p w14:paraId="153EFB53" w14:textId="2C3C6895" w:rsidR="00AD3CB1" w:rsidRDefault="00AD3CB1" w:rsidP="00AD3CB1">
      <w:pPr>
        <w:spacing w:after="0" w:line="240" w:lineRule="auto"/>
        <w:textAlignment w:val="baseline"/>
        <w:rPr>
          <w:rFonts w:ascii="Times New Roman" w:eastAsia="Times New Roman" w:hAnsi="Times New Roman" w:cs="Times New Roman"/>
          <w:color w:val="000000"/>
          <w:lang w:bidi="he-IL"/>
        </w:rPr>
      </w:pPr>
    </w:p>
    <w:p w14:paraId="2484F645" w14:textId="1BE87C40" w:rsidR="00AD3CB1" w:rsidRDefault="00AD3CB1" w:rsidP="00AD3CB1">
      <w:pPr>
        <w:spacing w:after="0" w:line="240" w:lineRule="auto"/>
        <w:textAlignment w:val="baseline"/>
        <w:rPr>
          <w:rFonts w:ascii="Times New Roman" w:eastAsia="Times New Roman" w:hAnsi="Times New Roman" w:cs="Times New Roman"/>
          <w:color w:val="000000"/>
          <w:lang w:bidi="he-IL"/>
        </w:rPr>
      </w:pPr>
    </w:p>
    <w:p w14:paraId="6AD403B2" w14:textId="193ED73A" w:rsidR="004F4950" w:rsidRDefault="42BEB44B" w:rsidP="004F4950">
      <w:pPr>
        <w:spacing w:after="0" w:line="480" w:lineRule="auto"/>
        <w:rPr>
          <w:rFonts w:ascii="Times New Roman" w:eastAsia="Times New Roman" w:hAnsi="Times New Roman" w:cs="Times New Roman"/>
          <w:b/>
          <w:bCs/>
        </w:rPr>
      </w:pPr>
      <w:r w:rsidRPr="42BEB44B">
        <w:rPr>
          <w:rFonts w:ascii="Times New Roman" w:eastAsia="Times New Roman" w:hAnsi="Times New Roman" w:cs="Times New Roman"/>
          <w:b/>
          <w:bCs/>
        </w:rPr>
        <w:t>Activation in Auditory and Motor Cortex</w:t>
      </w:r>
    </w:p>
    <w:p w14:paraId="5E1A1D6F" w14:textId="4E060ED7" w:rsidR="2A229C82" w:rsidRDefault="2A229C82" w:rsidP="2A229C82">
      <w:r>
        <w:rPr>
          <w:noProof/>
        </w:rPr>
        <w:drawing>
          <wp:inline distT="0" distB="0" distL="0" distR="0" wp14:anchorId="4CE7F6EA" wp14:editId="42BEB44B">
            <wp:extent cx="5829300" cy="1433036"/>
            <wp:effectExtent l="0" t="0" r="0" b="0"/>
            <wp:docPr id="1597514739" name="Picture 159751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5829300" cy="1433036"/>
                    </a:xfrm>
                    <a:prstGeom prst="rect">
                      <a:avLst/>
                    </a:prstGeom>
                  </pic:spPr>
                </pic:pic>
              </a:graphicData>
            </a:graphic>
          </wp:inline>
        </w:drawing>
      </w:r>
    </w:p>
    <w:p w14:paraId="12B81B8E" w14:textId="34A2CB70" w:rsidR="5EB4164F" w:rsidRDefault="08EC740F" w:rsidP="04608FE5">
      <w:pPr>
        <w:spacing w:line="240" w:lineRule="auto"/>
        <w:rPr>
          <w:rFonts w:ascii="Times New Roman" w:eastAsia="Times New Roman" w:hAnsi="Times New Roman" w:cs="Times New Roman"/>
          <w:color w:val="000000" w:themeColor="text1"/>
        </w:rPr>
      </w:pPr>
      <w:r w:rsidRPr="08EC740F">
        <w:rPr>
          <w:rFonts w:ascii="Times New Roman" w:eastAsia="Times New Roman" w:hAnsi="Times New Roman" w:cs="Times New Roman"/>
          <w:b/>
          <w:bCs/>
        </w:rPr>
        <w:t>Figure S1</w:t>
      </w:r>
      <w:r w:rsidRPr="08EC740F">
        <w:rPr>
          <w:rFonts w:ascii="Times New Roman" w:eastAsia="Times New Roman" w:hAnsi="Times New Roman" w:cs="Times New Roman"/>
        </w:rPr>
        <w:t xml:space="preserve">. BOLD magnitude (% signal change) time series for auditory cortex (AC) and left and right motor cortex (l/r-MC) in the target (purple), distractor (blue), and no tone (green) conditions. Asterisks indicating significant differences between target and distractor conditions are shown only for 2.5 s – 7.5 s </w:t>
      </w:r>
      <w:r w:rsidRPr="08EC740F">
        <w:rPr>
          <w:rFonts w:ascii="Times New Roman" w:eastAsia="Times New Roman" w:hAnsi="Times New Roman" w:cs="Times New Roman"/>
          <w:color w:val="000000" w:themeColor="text1"/>
        </w:rPr>
        <w:t>(</w:t>
      </w:r>
      <w:r w:rsidRPr="08EC740F">
        <w:rPr>
          <w:rFonts w:ascii="Times New Roman" w:eastAsia="Times New Roman" w:hAnsi="Times New Roman" w:cs="Times New Roman"/>
          <w:i/>
          <w:iCs/>
          <w:color w:val="000000" w:themeColor="text1"/>
        </w:rPr>
        <w:t>p</w:t>
      </w:r>
      <w:r w:rsidRPr="08EC740F">
        <w:rPr>
          <w:rFonts w:ascii="Times New Roman" w:eastAsia="Times New Roman" w:hAnsi="Times New Roman" w:cs="Times New Roman"/>
          <w:color w:val="000000" w:themeColor="text1"/>
        </w:rPr>
        <w:t xml:space="preserve"> &lt; .05*, </w:t>
      </w:r>
      <w:r w:rsidRPr="08EC740F">
        <w:rPr>
          <w:rFonts w:ascii="Times New Roman" w:eastAsia="Times New Roman" w:hAnsi="Times New Roman" w:cs="Times New Roman"/>
          <w:i/>
          <w:iCs/>
          <w:color w:val="000000" w:themeColor="text1"/>
        </w:rPr>
        <w:t>p</w:t>
      </w:r>
      <w:r w:rsidRPr="08EC740F">
        <w:rPr>
          <w:rFonts w:ascii="Times New Roman" w:eastAsia="Times New Roman" w:hAnsi="Times New Roman" w:cs="Times New Roman"/>
          <w:color w:val="000000" w:themeColor="text1"/>
        </w:rPr>
        <w:t xml:space="preserve"> &lt; .01**, </w:t>
      </w:r>
      <w:r w:rsidRPr="08EC740F">
        <w:rPr>
          <w:rFonts w:ascii="Times New Roman" w:eastAsia="Times New Roman" w:hAnsi="Times New Roman" w:cs="Times New Roman"/>
          <w:i/>
          <w:iCs/>
          <w:color w:val="000000" w:themeColor="text1"/>
        </w:rPr>
        <w:t>p</w:t>
      </w:r>
      <w:r w:rsidRPr="08EC740F">
        <w:rPr>
          <w:rFonts w:ascii="Times New Roman" w:eastAsia="Times New Roman" w:hAnsi="Times New Roman" w:cs="Times New Roman"/>
          <w:color w:val="000000" w:themeColor="text1"/>
        </w:rPr>
        <w:t xml:space="preserve"> &lt; .001***)</w:t>
      </w:r>
      <w:r w:rsidRPr="08EC740F">
        <w:rPr>
          <w:rFonts w:ascii="Times New Roman" w:eastAsia="Times New Roman" w:hAnsi="Times New Roman" w:cs="Times New Roman"/>
        </w:rPr>
        <w:t>. Faint lines show data for a single participant. Thick lines show the mean across participants. Ribbons around the thick lines indicate the 95% confidence intervals around the mean.</w:t>
      </w:r>
    </w:p>
    <w:p w14:paraId="23949BCF" w14:textId="04B1102F" w:rsidR="08EC740F" w:rsidRDefault="08EC740F" w:rsidP="08EC740F">
      <w:pPr>
        <w:spacing w:line="240" w:lineRule="auto"/>
        <w:rPr>
          <w:rFonts w:ascii="Times New Roman" w:eastAsia="Times New Roman" w:hAnsi="Times New Roman" w:cs="Times New Roman"/>
        </w:rPr>
      </w:pPr>
    </w:p>
    <w:p w14:paraId="201EDA32" w14:textId="0F564B0D" w:rsidR="64B626C0" w:rsidRDefault="08EC740F" w:rsidP="08EC740F">
      <w:pPr>
        <w:spacing w:line="240" w:lineRule="auto"/>
        <w:rPr>
          <w:rFonts w:ascii="Times New Roman" w:eastAsia="Times New Roman" w:hAnsi="Times New Roman" w:cs="Times New Roman"/>
          <w:b/>
          <w:bCs/>
        </w:rPr>
      </w:pPr>
      <w:r w:rsidRPr="08EC740F">
        <w:rPr>
          <w:rFonts w:ascii="Times New Roman" w:eastAsia="Times New Roman" w:hAnsi="Times New Roman" w:cs="Times New Roman"/>
          <w:b/>
          <w:bCs/>
        </w:rPr>
        <w:t>Potential Sources of Modulation</w:t>
      </w:r>
    </w:p>
    <w:p w14:paraId="60117D0E" w14:textId="6F35B930" w:rsidR="05A356DA" w:rsidRDefault="08EC740F" w:rsidP="3003E062">
      <w:pPr>
        <w:spacing w:line="480" w:lineRule="auto"/>
        <w:ind w:firstLine="720"/>
        <w:rPr>
          <w:rStyle w:val="normaltextrun"/>
          <w:rFonts w:ascii="Times New Roman" w:eastAsia="Times New Roman" w:hAnsi="Times New Roman" w:cs="Times New Roman"/>
          <w:color w:val="000000" w:themeColor="text1"/>
        </w:rPr>
      </w:pPr>
      <w:r w:rsidRPr="08EC740F">
        <w:rPr>
          <w:rStyle w:val="normaltextrun"/>
          <w:rFonts w:ascii="Times New Roman" w:eastAsia="Times New Roman" w:hAnsi="Times New Roman" w:cs="Times New Roman"/>
          <w:i/>
          <w:iCs/>
          <w:color w:val="000000" w:themeColor="text1"/>
        </w:rPr>
        <w:t xml:space="preserve">Anterior Cingulate Cortex </w:t>
      </w:r>
      <w:r w:rsidRPr="08EC740F">
        <w:rPr>
          <w:rStyle w:val="normaltextrun"/>
          <w:rFonts w:ascii="Times New Roman" w:eastAsia="Times New Roman" w:hAnsi="Times New Roman" w:cs="Times New Roman"/>
          <w:color w:val="000000" w:themeColor="text1"/>
        </w:rPr>
        <w:t xml:space="preserve">(ACC). To examine potential prefrontal contributions to the behavioral and physiological effects we observed, we performed ROI-to-voxel and ROI-to-ROI beta series connectivity analyses with ACC as a seed and aHPC, pHPC, AC, and l-MC as target ROIs (the procedure was otherwise identical to that used to generate the results described in section 3.5, </w:t>
      </w:r>
      <w:r w:rsidRPr="08EC740F">
        <w:rPr>
          <w:rStyle w:val="normaltextrun"/>
          <w:rFonts w:ascii="Times New Roman" w:eastAsia="Times New Roman" w:hAnsi="Times New Roman" w:cs="Times New Roman"/>
          <w:i/>
          <w:iCs/>
          <w:color w:val="000000" w:themeColor="text1"/>
        </w:rPr>
        <w:t>Visuo-Hippocampal Functional Connectivity</w:t>
      </w:r>
      <w:r w:rsidRPr="08EC740F">
        <w:rPr>
          <w:rStyle w:val="normaltextrun"/>
          <w:rFonts w:ascii="Times New Roman" w:eastAsia="Times New Roman" w:hAnsi="Times New Roman" w:cs="Times New Roman"/>
          <w:color w:val="000000" w:themeColor="text1"/>
        </w:rPr>
        <w:t xml:space="preserve">). </w:t>
      </w:r>
    </w:p>
    <w:p w14:paraId="27C75EE1" w14:textId="791BA4DD" w:rsidR="05A356DA" w:rsidRDefault="3003E062" w:rsidP="3003E062">
      <w:pPr>
        <w:spacing w:line="480" w:lineRule="auto"/>
        <w:ind w:firstLine="720"/>
        <w:rPr>
          <w:rStyle w:val="normaltextrun"/>
          <w:rFonts w:ascii="Times New Roman" w:eastAsia="Times New Roman" w:hAnsi="Times New Roman" w:cs="Times New Roman"/>
          <w:color w:val="000000" w:themeColor="text1"/>
        </w:rPr>
      </w:pPr>
      <w:r w:rsidRPr="3003E062">
        <w:rPr>
          <w:rStyle w:val="normaltextrun"/>
          <w:rFonts w:ascii="Times New Roman" w:eastAsia="Times New Roman" w:hAnsi="Times New Roman" w:cs="Times New Roman"/>
          <w:color w:val="000000" w:themeColor="text1"/>
        </w:rPr>
        <w:t xml:space="preserve">Tone type affected functional connectivity between the ACC and pHPC, </w:t>
      </w:r>
      <w:r w:rsidRPr="3003E062">
        <w:rPr>
          <w:rStyle w:val="normaltextrun"/>
          <w:rFonts w:ascii="Times New Roman" w:eastAsia="Times New Roman" w:hAnsi="Times New Roman" w:cs="Times New Roman"/>
          <w:i/>
          <w:iCs/>
          <w:color w:val="000000" w:themeColor="text1"/>
        </w:rPr>
        <w:t>F</w:t>
      </w:r>
      <w:r w:rsidRPr="3003E062">
        <w:rPr>
          <w:rStyle w:val="normaltextrun"/>
          <w:rFonts w:ascii="Times New Roman" w:eastAsia="Times New Roman" w:hAnsi="Times New Roman" w:cs="Times New Roman"/>
          <w:color w:val="000000" w:themeColor="text1"/>
        </w:rPr>
        <w:t xml:space="preserve">(2, 88) = 3.90, </w:t>
      </w:r>
      <w:r w:rsidRPr="3003E062">
        <w:rPr>
          <w:rStyle w:val="normaltextrun"/>
          <w:rFonts w:ascii="Times New Roman" w:eastAsia="Times New Roman" w:hAnsi="Times New Roman" w:cs="Times New Roman"/>
          <w:i/>
          <w:iCs/>
          <w:color w:val="000000" w:themeColor="text1"/>
        </w:rPr>
        <w:t>p</w:t>
      </w:r>
      <w:r w:rsidRPr="3003E062">
        <w:rPr>
          <w:rStyle w:val="normaltextrun"/>
          <w:rFonts w:ascii="Times New Roman" w:eastAsia="Times New Roman" w:hAnsi="Times New Roman" w:cs="Times New Roman"/>
          <w:color w:val="000000" w:themeColor="text1"/>
        </w:rPr>
        <w:t xml:space="preserve"> = .024, with a target tone advantage over distractor tones, </w:t>
      </w:r>
      <w:r w:rsidRPr="3003E062">
        <w:rPr>
          <w:rStyle w:val="normaltextrun"/>
          <w:rFonts w:ascii="Times New Roman" w:eastAsia="Times New Roman" w:hAnsi="Times New Roman" w:cs="Times New Roman"/>
          <w:i/>
          <w:iCs/>
          <w:color w:val="000000" w:themeColor="text1"/>
        </w:rPr>
        <w:t>t</w:t>
      </w:r>
      <w:r w:rsidRPr="3003E062">
        <w:rPr>
          <w:rStyle w:val="normaltextrun"/>
          <w:rFonts w:ascii="Times New Roman" w:eastAsia="Times New Roman" w:hAnsi="Times New Roman" w:cs="Times New Roman"/>
          <w:color w:val="000000" w:themeColor="text1"/>
        </w:rPr>
        <w:t xml:space="preserve">(88) = 2.71, </w:t>
      </w:r>
      <w:r w:rsidRPr="3003E062">
        <w:rPr>
          <w:rStyle w:val="normaltextrun"/>
          <w:rFonts w:ascii="Times New Roman" w:eastAsia="Times New Roman" w:hAnsi="Times New Roman" w:cs="Times New Roman"/>
          <w:i/>
          <w:iCs/>
          <w:color w:val="000000" w:themeColor="text1"/>
        </w:rPr>
        <w:t>p</w:t>
      </w:r>
      <w:r w:rsidRPr="3003E062">
        <w:rPr>
          <w:rStyle w:val="normaltextrun"/>
          <w:rFonts w:ascii="Times New Roman" w:eastAsia="Times New Roman" w:hAnsi="Times New Roman" w:cs="Times New Roman"/>
          <w:color w:val="000000" w:themeColor="text1"/>
        </w:rPr>
        <w:t xml:space="preserve"> = .024, </w:t>
      </w:r>
      <w:r w:rsidRPr="3003E062">
        <w:rPr>
          <w:rStyle w:val="normaltextrun"/>
          <w:rFonts w:ascii="Times New Roman" w:eastAsia="Times New Roman" w:hAnsi="Times New Roman" w:cs="Times New Roman"/>
          <w:i/>
          <w:iCs/>
          <w:color w:val="000000" w:themeColor="text1"/>
        </w:rPr>
        <w:t xml:space="preserve">d </w:t>
      </w:r>
      <w:r w:rsidRPr="3003E062">
        <w:rPr>
          <w:rStyle w:val="normaltextrun"/>
          <w:rFonts w:ascii="Times New Roman" w:eastAsia="Times New Roman" w:hAnsi="Times New Roman" w:cs="Times New Roman"/>
          <w:color w:val="000000" w:themeColor="text1"/>
        </w:rPr>
        <w:t xml:space="preserve">= .53. </w:t>
      </w:r>
    </w:p>
    <w:p w14:paraId="159AEF69" w14:textId="5002F3EE" w:rsidR="64B626C0" w:rsidRPr="004F4950" w:rsidRDefault="08EC740F" w:rsidP="004F4950">
      <w:pPr>
        <w:spacing w:line="480" w:lineRule="auto"/>
        <w:ind w:firstLine="720"/>
        <w:rPr>
          <w:rFonts w:ascii="Times New Roman" w:eastAsia="Times New Roman" w:hAnsi="Times New Roman" w:cs="Times New Roman"/>
          <w:color w:val="000000" w:themeColor="text1"/>
        </w:rPr>
      </w:pPr>
      <w:r w:rsidRPr="08EC740F">
        <w:rPr>
          <w:rStyle w:val="normaltextrun"/>
          <w:rFonts w:ascii="Times New Roman" w:eastAsia="Times New Roman" w:hAnsi="Times New Roman" w:cs="Times New Roman"/>
          <w:color w:val="000000" w:themeColor="text1"/>
        </w:rPr>
        <w:t xml:space="preserve">The ROI-to-voxel analysis yielded two significant clusters (presented in Figure S2): ACC&lt;-&gt;r-pHPC, center of mass (-25.2, 32.2, -6.9), and ACC&lt;-&gt;l-MC, center of mass (40.3, 9.5, 57.8). Both clusters survived a confirmatory functional connectivity analysis, with a main effect of tone type, </w:t>
      </w:r>
      <w:r w:rsidRPr="08EC740F">
        <w:rPr>
          <w:rStyle w:val="normaltextrun"/>
          <w:rFonts w:ascii="Times New Roman" w:eastAsia="Times New Roman" w:hAnsi="Times New Roman" w:cs="Times New Roman"/>
          <w:i/>
          <w:iCs/>
          <w:color w:val="000000" w:themeColor="text1"/>
        </w:rPr>
        <w:t>F</w:t>
      </w:r>
      <w:r w:rsidRPr="08EC740F">
        <w:rPr>
          <w:rStyle w:val="normaltextrun"/>
          <w:rFonts w:ascii="Times New Roman" w:eastAsia="Times New Roman" w:hAnsi="Times New Roman" w:cs="Times New Roman"/>
          <w:color w:val="000000" w:themeColor="text1"/>
        </w:rPr>
        <w:t xml:space="preserve">(2, 36) &gt; 3.83, </w:t>
      </w:r>
      <w:r w:rsidRPr="08EC740F">
        <w:rPr>
          <w:rStyle w:val="normaltextrun"/>
          <w:rFonts w:ascii="Times New Roman" w:eastAsia="Times New Roman" w:hAnsi="Times New Roman" w:cs="Times New Roman"/>
          <w:i/>
          <w:iCs/>
          <w:color w:val="000000" w:themeColor="text1"/>
        </w:rPr>
        <w:t>p</w:t>
      </w:r>
      <w:r w:rsidRPr="08EC740F">
        <w:rPr>
          <w:rStyle w:val="normaltextrun"/>
          <w:rFonts w:ascii="Times New Roman" w:eastAsia="Times New Roman" w:hAnsi="Times New Roman" w:cs="Times New Roman"/>
          <w:color w:val="000000" w:themeColor="text1"/>
        </w:rPr>
        <w:t xml:space="preserve"> &lt; .031, and higher correlations in the target condition than in the distractor condition, </w:t>
      </w:r>
      <w:r w:rsidRPr="08EC740F">
        <w:rPr>
          <w:rStyle w:val="normaltextrun"/>
          <w:rFonts w:ascii="Times New Roman" w:eastAsia="Times New Roman" w:hAnsi="Times New Roman" w:cs="Times New Roman"/>
          <w:i/>
          <w:iCs/>
          <w:color w:val="000000" w:themeColor="text1"/>
        </w:rPr>
        <w:t>t</w:t>
      </w:r>
      <w:r w:rsidRPr="08EC740F">
        <w:rPr>
          <w:rStyle w:val="normaltextrun"/>
          <w:rFonts w:ascii="Times New Roman" w:eastAsia="Times New Roman" w:hAnsi="Times New Roman" w:cs="Times New Roman"/>
          <w:color w:val="000000" w:themeColor="text1"/>
        </w:rPr>
        <w:t xml:space="preserve">(36) &gt; </w:t>
      </w:r>
      <w:r w:rsidRPr="08EC740F">
        <w:rPr>
          <w:rStyle w:val="normaltextrun"/>
          <w:rFonts w:ascii="Times New Roman" w:eastAsia="Times New Roman" w:hAnsi="Times New Roman" w:cs="Times New Roman"/>
          <w:color w:val="000000" w:themeColor="text1"/>
        </w:rPr>
        <w:lastRenderedPageBreak/>
        <w:t xml:space="preserve">2.71, </w:t>
      </w:r>
      <w:r w:rsidRPr="08EC740F">
        <w:rPr>
          <w:rStyle w:val="normaltextrun"/>
          <w:rFonts w:ascii="Times New Roman" w:eastAsia="Times New Roman" w:hAnsi="Times New Roman" w:cs="Times New Roman"/>
          <w:i/>
          <w:iCs/>
          <w:color w:val="000000" w:themeColor="text1"/>
        </w:rPr>
        <w:t>p</w:t>
      </w:r>
      <w:r w:rsidRPr="08EC740F">
        <w:rPr>
          <w:rStyle w:val="normaltextrun"/>
          <w:rFonts w:ascii="Times New Roman" w:eastAsia="Times New Roman" w:hAnsi="Times New Roman" w:cs="Times New Roman"/>
          <w:color w:val="000000" w:themeColor="text1"/>
        </w:rPr>
        <w:t xml:space="preserve"> &lt; .031. Several other clusters, including l-HPC, were too small to survive the corrected significance threshold of 17 voxels (</w:t>
      </w:r>
      <w:r w:rsidRPr="08EC740F">
        <w:rPr>
          <w:rStyle w:val="normaltextrun"/>
          <w:rFonts w:ascii="Times New Roman" w:eastAsia="Times New Roman" w:hAnsi="Times New Roman" w:cs="Times New Roman"/>
          <w:i/>
          <w:iCs/>
          <w:color w:val="000000" w:themeColor="text1"/>
        </w:rPr>
        <w:t>p</w:t>
      </w:r>
      <w:r w:rsidRPr="08EC740F">
        <w:rPr>
          <w:rStyle w:val="normaltextrun"/>
          <w:rFonts w:ascii="Times New Roman" w:eastAsia="Times New Roman" w:hAnsi="Times New Roman" w:cs="Times New Roman"/>
          <w:color w:val="000000" w:themeColor="text1"/>
        </w:rPr>
        <w:t xml:space="preserve"> &lt; .05, </w:t>
      </w:r>
      <w:r w:rsidRPr="08EC740F">
        <w:rPr>
          <w:rStyle w:val="normaltextrun"/>
          <w:rFonts w:ascii="Times New Roman" w:eastAsia="Times New Roman" w:hAnsi="Times New Roman" w:cs="Times New Roman"/>
          <w:i/>
          <w:iCs/>
          <w:color w:val="000000" w:themeColor="text1"/>
        </w:rPr>
        <w:t>a</w:t>
      </w:r>
      <w:r w:rsidRPr="08EC740F">
        <w:rPr>
          <w:rStyle w:val="normaltextrun"/>
          <w:rFonts w:ascii="Times New Roman" w:eastAsia="Times New Roman" w:hAnsi="Times New Roman" w:cs="Times New Roman"/>
          <w:color w:val="000000" w:themeColor="text1"/>
        </w:rPr>
        <w:t xml:space="preserve"> &lt; .05).</w:t>
      </w:r>
    </w:p>
    <w:p w14:paraId="67E0FF51" w14:textId="20799289" w:rsidR="04608FE5" w:rsidRDefault="04608FE5" w:rsidP="04608FE5">
      <w:pPr>
        <w:spacing w:line="480" w:lineRule="auto"/>
        <w:ind w:firstLine="720"/>
        <w:rPr>
          <w:rStyle w:val="normaltextrun"/>
          <w:rFonts w:ascii="Times New Roman" w:eastAsia="Times New Roman" w:hAnsi="Times New Roman" w:cs="Times New Roman"/>
          <w:color w:val="000000" w:themeColor="text1"/>
        </w:rPr>
      </w:pPr>
    </w:p>
    <w:p w14:paraId="05F58764" w14:textId="09BC041C" w:rsidR="074E22DF" w:rsidRDefault="074E22DF" w:rsidP="074E22DF">
      <w:pPr>
        <w:spacing w:line="240" w:lineRule="auto"/>
      </w:pPr>
      <w:r>
        <w:rPr>
          <w:noProof/>
        </w:rPr>
        <w:drawing>
          <wp:inline distT="0" distB="0" distL="0" distR="0" wp14:anchorId="222E9639" wp14:editId="6B2D1C7A">
            <wp:extent cx="4543425" cy="3437303"/>
            <wp:effectExtent l="0" t="0" r="0" b="0"/>
            <wp:docPr id="1795640054" name="Picture 179564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50847" cy="3442918"/>
                    </a:xfrm>
                    <a:prstGeom prst="rect">
                      <a:avLst/>
                    </a:prstGeom>
                  </pic:spPr>
                </pic:pic>
              </a:graphicData>
            </a:graphic>
          </wp:inline>
        </w:drawing>
      </w:r>
    </w:p>
    <w:p w14:paraId="4A3499A3" w14:textId="68B158E8" w:rsidR="64B626C0" w:rsidRDefault="08EC740F" w:rsidP="3003E062">
      <w:pPr>
        <w:spacing w:line="240" w:lineRule="auto"/>
        <w:rPr>
          <w:rFonts w:ascii="Times New Roman" w:eastAsia="Times New Roman" w:hAnsi="Times New Roman" w:cs="Times New Roman"/>
          <w:color w:val="000000" w:themeColor="text1"/>
        </w:rPr>
      </w:pPr>
      <w:r w:rsidRPr="08EC740F">
        <w:rPr>
          <w:rFonts w:ascii="Times New Roman" w:eastAsia="Times New Roman" w:hAnsi="Times New Roman" w:cs="Times New Roman"/>
          <w:b/>
          <w:bCs/>
          <w:color w:val="000000" w:themeColor="text1"/>
        </w:rPr>
        <w:t xml:space="preserve">Figure S2. Anterior Cingulate Cortex Functional Connectivity. </w:t>
      </w:r>
      <w:r w:rsidRPr="08EC740F">
        <w:rPr>
          <w:rFonts w:ascii="Times New Roman" w:eastAsia="Times New Roman" w:hAnsi="Times New Roman" w:cs="Times New Roman"/>
          <w:color w:val="000000" w:themeColor="text1"/>
        </w:rPr>
        <w:t xml:space="preserve">Voxel colors correspond to z-scores obtained by contrasting the Fisher-transformed correlations between the mean beta series for the ACC seed region and that of each voxel in pHPC, aHPC, l-MC, and AC. Voxels that had higher beta series correlations with the ACC on target than on distractor tone trials (uncorrected </w:t>
      </w:r>
      <w:r w:rsidRPr="08EC740F">
        <w:rPr>
          <w:rFonts w:ascii="Times New Roman" w:eastAsia="Times New Roman" w:hAnsi="Times New Roman" w:cs="Times New Roman"/>
          <w:i/>
          <w:iCs/>
          <w:color w:val="000000" w:themeColor="text1"/>
        </w:rPr>
        <w:t>p</w:t>
      </w:r>
      <w:r w:rsidRPr="08EC740F">
        <w:rPr>
          <w:rFonts w:ascii="Times New Roman" w:eastAsia="Times New Roman" w:hAnsi="Times New Roman" w:cs="Times New Roman"/>
          <w:color w:val="000000" w:themeColor="text1"/>
        </w:rPr>
        <w:t xml:space="preserve"> &lt; .05) are surrounded by a black frame, and other voxels are faded. Each row focuses on one cluster, denoted by the label on the left.</w:t>
      </w:r>
    </w:p>
    <w:p w14:paraId="3DA15A05" w14:textId="77777777" w:rsidR="004F4950" w:rsidRDefault="004F4950" w:rsidP="3003E062">
      <w:pPr>
        <w:spacing w:line="480" w:lineRule="auto"/>
        <w:ind w:firstLine="720"/>
        <w:rPr>
          <w:rStyle w:val="normaltextrun"/>
          <w:rFonts w:ascii="Times New Roman" w:eastAsia="Times New Roman" w:hAnsi="Times New Roman" w:cs="Times New Roman"/>
          <w:i/>
          <w:iCs/>
          <w:color w:val="000000" w:themeColor="text1"/>
        </w:rPr>
      </w:pPr>
    </w:p>
    <w:p w14:paraId="5F1D835F" w14:textId="2234D2AA" w:rsidR="64B626C0" w:rsidRDefault="08EC740F" w:rsidP="3003E062">
      <w:pPr>
        <w:spacing w:line="480" w:lineRule="auto"/>
        <w:ind w:firstLine="720"/>
        <w:rPr>
          <w:rStyle w:val="normaltextrun"/>
          <w:rFonts w:ascii="Times New Roman" w:eastAsia="Times New Roman" w:hAnsi="Times New Roman" w:cs="Times New Roman"/>
          <w:color w:val="000000" w:themeColor="text1"/>
        </w:rPr>
      </w:pPr>
      <w:r w:rsidRPr="08EC740F">
        <w:rPr>
          <w:rStyle w:val="normaltextrun"/>
          <w:rFonts w:ascii="Times New Roman" w:eastAsia="Times New Roman" w:hAnsi="Times New Roman" w:cs="Times New Roman"/>
          <w:i/>
          <w:iCs/>
          <w:color w:val="000000" w:themeColor="text1"/>
        </w:rPr>
        <w:t>Locus Coeruleus</w:t>
      </w:r>
      <w:r w:rsidRPr="08EC740F">
        <w:rPr>
          <w:rStyle w:val="normaltextrun"/>
          <w:rFonts w:ascii="Times New Roman" w:eastAsia="Times New Roman" w:hAnsi="Times New Roman" w:cs="Times New Roman"/>
          <w:color w:val="000000" w:themeColor="text1"/>
        </w:rPr>
        <w:t xml:space="preserve"> (LC). We also performed a beta series connectivity analysis with LC as a seed (whose position and localization procedure are illustrated in Figure S3) and V1, V2, FG, PG, pHPC, and aHPC as target ROIs. Though we found no significant clusters, this ROI-to-voxel analysis yielded several regions within the visual cortex and hippocampus that were more correlated with LC after target tones relative to distractor tones at a threshold of </w:t>
      </w:r>
      <w:r w:rsidRPr="08EC740F">
        <w:rPr>
          <w:rStyle w:val="normaltextrun"/>
          <w:rFonts w:ascii="Times New Roman" w:eastAsia="Times New Roman" w:hAnsi="Times New Roman" w:cs="Times New Roman"/>
          <w:i/>
          <w:iCs/>
          <w:color w:val="000000" w:themeColor="text1"/>
        </w:rPr>
        <w:t>p</w:t>
      </w:r>
      <w:r w:rsidRPr="08EC740F">
        <w:rPr>
          <w:rStyle w:val="normaltextrun"/>
          <w:rFonts w:ascii="Times New Roman" w:eastAsia="Times New Roman" w:hAnsi="Times New Roman" w:cs="Times New Roman"/>
          <w:color w:val="000000" w:themeColor="text1"/>
        </w:rPr>
        <w:t xml:space="preserve"> &lt; .05 (Figure S4).</w:t>
      </w:r>
    </w:p>
    <w:p w14:paraId="1614D977" w14:textId="2C12F96B" w:rsidR="64B626C0" w:rsidRDefault="64B626C0" w:rsidP="64B626C0">
      <w:pPr>
        <w:spacing w:line="240" w:lineRule="auto"/>
      </w:pPr>
    </w:p>
    <w:p w14:paraId="70F1D9AF" w14:textId="77777777" w:rsidR="004F4950" w:rsidRDefault="64B626C0" w:rsidP="64B626C0">
      <w:pPr>
        <w:spacing w:line="240" w:lineRule="auto"/>
        <w:rPr>
          <w:rFonts w:ascii="Times New Roman" w:eastAsia="Times New Roman" w:hAnsi="Times New Roman" w:cs="Times New Roman"/>
          <w:b/>
          <w:bCs/>
        </w:rPr>
      </w:pPr>
      <w:r>
        <w:rPr>
          <w:noProof/>
        </w:rPr>
        <w:lastRenderedPageBreak/>
        <w:drawing>
          <wp:inline distT="0" distB="0" distL="0" distR="0" wp14:anchorId="23E46B4A" wp14:editId="169BD468">
            <wp:extent cx="3752848" cy="1687611"/>
            <wp:effectExtent l="0" t="0" r="0" b="0"/>
            <wp:docPr id="829871648" name="Picture 82987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871648"/>
                    <pic:cNvPicPr/>
                  </pic:nvPicPr>
                  <pic:blipFill>
                    <a:blip r:embed="rId6">
                      <a:extLst>
                        <a:ext uri="{28A0092B-C50C-407E-A947-70E740481C1C}">
                          <a14:useLocalDpi xmlns:a14="http://schemas.microsoft.com/office/drawing/2010/main" val="0"/>
                        </a:ext>
                      </a:extLst>
                    </a:blip>
                    <a:srcRect l="36859" t="11500"/>
                    <a:stretch>
                      <a:fillRect/>
                    </a:stretch>
                  </pic:blipFill>
                  <pic:spPr>
                    <a:xfrm>
                      <a:off x="0" y="0"/>
                      <a:ext cx="3752848" cy="1687611"/>
                    </a:xfrm>
                    <a:prstGeom prst="rect">
                      <a:avLst/>
                    </a:prstGeom>
                  </pic:spPr>
                </pic:pic>
              </a:graphicData>
            </a:graphic>
          </wp:inline>
        </w:drawing>
      </w:r>
      <w:r>
        <w:br/>
      </w:r>
    </w:p>
    <w:p w14:paraId="233E0717" w14:textId="3ACE24D1" w:rsidR="64B626C0" w:rsidRDefault="08EC740F" w:rsidP="64B626C0">
      <w:pPr>
        <w:spacing w:line="240" w:lineRule="auto"/>
      </w:pPr>
      <w:r w:rsidRPr="08EC740F">
        <w:rPr>
          <w:rFonts w:ascii="Times New Roman" w:eastAsia="Times New Roman" w:hAnsi="Times New Roman" w:cs="Times New Roman"/>
          <w:b/>
          <w:bCs/>
        </w:rPr>
        <w:t>Figure S3. A visualization of the LC localization process</w:t>
      </w:r>
      <w:r w:rsidRPr="08EC740F">
        <w:rPr>
          <w:rFonts w:ascii="Times New Roman" w:eastAsia="Times New Roman" w:hAnsi="Times New Roman" w:cs="Times New Roman"/>
        </w:rPr>
        <w:t>. Individual MPRAGE scans (including skull) were aligned to the normalized T1-weighted neuromelanin scan to preserve the higher in-plane spatial resolution of the nmT1 images. After extracting the brainstem from the nmT1, correcting image intensity, and setting the false color palette to the predefined range (low values in blue, high values in red, range = 10–80), potential LC voxels can now be visually distinguished from nearby regions (left panel). Two researchers independently traced the LC according to the protocol described in the methods, by selecting voxels that appeared yellow or redder (corresponding roughly to intensity values ≥ 40; see Turker et al., 2021 for more information).</w:t>
      </w:r>
    </w:p>
    <w:p w14:paraId="1989A37C" w14:textId="11B40B0C" w:rsidR="64B626C0" w:rsidRDefault="64B626C0" w:rsidP="64B626C0">
      <w:pPr>
        <w:spacing w:line="240" w:lineRule="auto"/>
        <w:rPr>
          <w:rFonts w:ascii="Times New Roman" w:eastAsia="Times New Roman" w:hAnsi="Times New Roman" w:cs="Times New Roman"/>
        </w:rPr>
      </w:pPr>
    </w:p>
    <w:p w14:paraId="5B67FC3C" w14:textId="3FEEB341" w:rsidR="074E22DF" w:rsidRDefault="074E22DF" w:rsidP="074E22DF">
      <w:pPr>
        <w:spacing w:line="240" w:lineRule="auto"/>
      </w:pPr>
      <w:r>
        <w:rPr>
          <w:noProof/>
        </w:rPr>
        <w:drawing>
          <wp:inline distT="0" distB="0" distL="0" distR="0" wp14:anchorId="1BCB2D12" wp14:editId="6AE93252">
            <wp:extent cx="4532022" cy="2146116"/>
            <wp:effectExtent l="0" t="0" r="0" b="0"/>
            <wp:docPr id="788219262" name="Picture 788219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32022" cy="2146116"/>
                    </a:xfrm>
                    <a:prstGeom prst="rect">
                      <a:avLst/>
                    </a:prstGeom>
                  </pic:spPr>
                </pic:pic>
              </a:graphicData>
            </a:graphic>
          </wp:inline>
        </w:drawing>
      </w:r>
    </w:p>
    <w:p w14:paraId="6FD5BFE1" w14:textId="4D83A822" w:rsidR="64B626C0" w:rsidRDefault="08EC740F" w:rsidP="08EC740F">
      <w:pPr>
        <w:spacing w:line="240" w:lineRule="auto"/>
        <w:rPr>
          <w:rFonts w:ascii="Times New Roman" w:eastAsia="Times New Roman" w:hAnsi="Times New Roman" w:cs="Times New Roman"/>
          <w:color w:val="000000" w:themeColor="text1"/>
        </w:rPr>
      </w:pPr>
      <w:r w:rsidRPr="08EC740F">
        <w:rPr>
          <w:rFonts w:ascii="Times New Roman" w:eastAsia="Times New Roman" w:hAnsi="Times New Roman" w:cs="Times New Roman"/>
          <w:b/>
          <w:bCs/>
          <w:color w:val="000000" w:themeColor="text1"/>
        </w:rPr>
        <w:t xml:space="preserve">Figure S4. Locus Coeruleus Functional Connectivity. </w:t>
      </w:r>
      <w:r w:rsidRPr="08EC740F">
        <w:rPr>
          <w:rFonts w:ascii="Times New Roman" w:eastAsia="Times New Roman" w:hAnsi="Times New Roman" w:cs="Times New Roman"/>
          <w:color w:val="000000" w:themeColor="text1"/>
        </w:rPr>
        <w:t xml:space="preserve">Voxel colors correspond to z-scores obtained by contrasting the Fisher-transformed correlations between the mean beta series for the LC seed region and that of each voxel in V1, V2, FG, PG, pHPC, aHPC, l-MC, and AC. Voxels detected as being more strongly correlated with the LC on target tone trials than on distractor tone trials (uncorrected </w:t>
      </w:r>
      <w:r w:rsidRPr="08EC740F">
        <w:rPr>
          <w:rFonts w:ascii="Times New Roman" w:eastAsia="Times New Roman" w:hAnsi="Times New Roman" w:cs="Times New Roman"/>
          <w:i/>
          <w:iCs/>
          <w:color w:val="000000" w:themeColor="text1"/>
        </w:rPr>
        <w:t>p</w:t>
      </w:r>
      <w:r w:rsidRPr="08EC740F">
        <w:rPr>
          <w:rFonts w:ascii="Times New Roman" w:eastAsia="Times New Roman" w:hAnsi="Times New Roman" w:cs="Times New Roman"/>
          <w:color w:val="000000" w:themeColor="text1"/>
        </w:rPr>
        <w:t xml:space="preserve"> &lt; .05) are surrounded by a black frame, and other voxels are faded.</w:t>
      </w:r>
    </w:p>
    <w:p w14:paraId="518F31FF" w14:textId="4AB7271E" w:rsidR="08EC740F" w:rsidRDefault="08EC740F" w:rsidP="08EC740F">
      <w:pPr>
        <w:spacing w:line="240" w:lineRule="auto"/>
        <w:rPr>
          <w:rFonts w:ascii="Times New Roman" w:eastAsia="Times New Roman" w:hAnsi="Times New Roman" w:cs="Times New Roman"/>
          <w:color w:val="000000" w:themeColor="text1"/>
        </w:rPr>
      </w:pPr>
    </w:p>
    <w:p w14:paraId="482CE0AC" w14:textId="77777777" w:rsidR="00AD3CB1" w:rsidRDefault="00AD3CB1">
      <w:p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br w:type="page"/>
      </w:r>
    </w:p>
    <w:p w14:paraId="726F7FE9" w14:textId="01DE4C97" w:rsidR="04419B42" w:rsidRDefault="08EC740F" w:rsidP="08EC740F">
      <w:pPr>
        <w:spacing w:line="480" w:lineRule="auto"/>
        <w:rPr>
          <w:rFonts w:ascii="Times New Roman" w:eastAsia="Times New Roman" w:hAnsi="Times New Roman" w:cs="Times New Roman"/>
          <w:color w:val="000000" w:themeColor="text1"/>
        </w:rPr>
      </w:pPr>
      <w:r w:rsidRPr="08EC740F">
        <w:rPr>
          <w:rFonts w:ascii="Times New Roman" w:eastAsia="Times New Roman" w:hAnsi="Times New Roman" w:cs="Times New Roman"/>
          <w:b/>
          <w:bCs/>
          <w:color w:val="000000" w:themeColor="text1"/>
        </w:rPr>
        <w:lastRenderedPageBreak/>
        <w:t>Locus coeruleus intrinsic functional connectivity clusters</w:t>
      </w:r>
    </w:p>
    <w:p w14:paraId="75B7319F" w14:textId="14626699" w:rsidR="35751944" w:rsidRDefault="08EC740F" w:rsidP="00D35154">
      <w:pPr>
        <w:spacing w:line="480" w:lineRule="auto"/>
        <w:rPr>
          <w:rFonts w:ascii="Times New Roman" w:eastAsia="Times New Roman" w:hAnsi="Times New Roman" w:cs="Times New Roman"/>
          <w:b/>
          <w:bCs/>
          <w:color w:val="000000" w:themeColor="text1"/>
        </w:rPr>
      </w:pPr>
      <w:r w:rsidRPr="08EC740F">
        <w:rPr>
          <w:rFonts w:ascii="Times New Roman" w:eastAsia="Times New Roman" w:hAnsi="Times New Roman" w:cs="Times New Roman"/>
          <w:b/>
          <w:bCs/>
          <w:color w:val="000000" w:themeColor="text1"/>
        </w:rPr>
        <w:t xml:space="preserve">Table S1. </w:t>
      </w:r>
      <w:r w:rsidRPr="08EC740F">
        <w:rPr>
          <w:rFonts w:ascii="Times New Roman" w:eastAsia="Times New Roman" w:hAnsi="Times New Roman" w:cs="Times New Roman"/>
          <w:color w:val="000000" w:themeColor="text1"/>
        </w:rPr>
        <w:t>RAI coordinates and sizes (mm</w:t>
      </w:r>
      <w:r w:rsidRPr="08EC740F">
        <w:rPr>
          <w:rFonts w:ascii="Times New Roman" w:eastAsia="Times New Roman" w:hAnsi="Times New Roman" w:cs="Times New Roman"/>
          <w:color w:val="000000" w:themeColor="text1"/>
          <w:vertAlign w:val="superscript"/>
        </w:rPr>
        <w:t>3</w:t>
      </w:r>
      <w:r w:rsidRPr="08EC740F">
        <w:rPr>
          <w:rFonts w:ascii="Times New Roman" w:eastAsia="Times New Roman" w:hAnsi="Times New Roman" w:cs="Times New Roman"/>
          <w:color w:val="000000" w:themeColor="text1"/>
        </w:rPr>
        <w:t xml:space="preserve">) of the clusters obtained by intersecting the thresholded resting state LC iFC map, </w:t>
      </w:r>
      <w:r w:rsidRPr="08EC740F">
        <w:rPr>
          <w:rFonts w:ascii="Times New Roman" w:eastAsia="Times New Roman" w:hAnsi="Times New Roman" w:cs="Times New Roman"/>
          <w:i/>
          <w:iCs/>
          <w:color w:val="000000" w:themeColor="text1"/>
        </w:rPr>
        <w:t>p</w:t>
      </w:r>
      <w:r w:rsidRPr="08EC740F">
        <w:rPr>
          <w:rFonts w:ascii="Times New Roman" w:eastAsia="Times New Roman" w:hAnsi="Times New Roman" w:cs="Times New Roman"/>
          <w:color w:val="000000" w:themeColor="text1"/>
        </w:rPr>
        <w:t xml:space="preserve"> &lt; .001, with non-overlapping spherical ROIs centered on the 20 highest z-scores.</w:t>
      </w:r>
    </w:p>
    <w:tbl>
      <w:tblPr>
        <w:tblStyle w:val="TableGrid"/>
        <w:tblW w:w="0" w:type="auto"/>
        <w:tblLayout w:type="fixed"/>
        <w:tblLook w:val="06A0" w:firstRow="1" w:lastRow="0" w:firstColumn="1" w:lastColumn="0" w:noHBand="1" w:noVBand="1"/>
      </w:tblPr>
      <w:tblGrid>
        <w:gridCol w:w="675"/>
        <w:gridCol w:w="2370"/>
        <w:gridCol w:w="1350"/>
        <w:gridCol w:w="3960"/>
      </w:tblGrid>
      <w:tr w:rsidR="35751944" w14:paraId="1830E5CC" w14:textId="77777777" w:rsidTr="35751944">
        <w:tc>
          <w:tcPr>
            <w:tcW w:w="675" w:type="dxa"/>
            <w:tcBorders>
              <w:top w:val="single" w:sz="6" w:space="0" w:color="auto"/>
              <w:left w:val="nil"/>
              <w:right w:val="nil"/>
            </w:tcBorders>
          </w:tcPr>
          <w:p w14:paraId="787B7235" w14:textId="316D24E7"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b/>
                <w:bCs/>
              </w:rPr>
              <w:t>ID</w:t>
            </w:r>
          </w:p>
        </w:tc>
        <w:tc>
          <w:tcPr>
            <w:tcW w:w="2370" w:type="dxa"/>
            <w:tcBorders>
              <w:top w:val="single" w:sz="6" w:space="0" w:color="auto"/>
              <w:left w:val="nil"/>
              <w:right w:val="nil"/>
            </w:tcBorders>
          </w:tcPr>
          <w:p w14:paraId="13076BA7" w14:textId="67EF141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b/>
                <w:bCs/>
              </w:rPr>
              <w:t>Center of Mass (RAI)</w:t>
            </w:r>
          </w:p>
        </w:tc>
        <w:tc>
          <w:tcPr>
            <w:tcW w:w="1350" w:type="dxa"/>
            <w:tcBorders>
              <w:top w:val="single" w:sz="6" w:space="0" w:color="auto"/>
              <w:left w:val="nil"/>
              <w:right w:val="nil"/>
            </w:tcBorders>
          </w:tcPr>
          <w:p w14:paraId="77470C66" w14:textId="1C0EB6C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b/>
                <w:bCs/>
              </w:rPr>
              <w:t>Size (mm</w:t>
            </w:r>
            <w:r w:rsidRPr="35751944">
              <w:rPr>
                <w:rFonts w:ascii="Times New Roman" w:eastAsia="Times New Roman" w:hAnsi="Times New Roman" w:cs="Times New Roman"/>
                <w:b/>
                <w:bCs/>
                <w:vertAlign w:val="superscript"/>
              </w:rPr>
              <w:t>3</w:t>
            </w:r>
            <w:r w:rsidRPr="35751944">
              <w:rPr>
                <w:rFonts w:ascii="Times New Roman" w:eastAsia="Times New Roman" w:hAnsi="Times New Roman" w:cs="Times New Roman"/>
                <w:b/>
                <w:bCs/>
              </w:rPr>
              <w:t>)</w:t>
            </w:r>
          </w:p>
        </w:tc>
        <w:tc>
          <w:tcPr>
            <w:tcW w:w="3960" w:type="dxa"/>
            <w:tcBorders>
              <w:top w:val="single" w:sz="6" w:space="0" w:color="auto"/>
              <w:left w:val="nil"/>
              <w:right w:val="nil"/>
            </w:tcBorders>
          </w:tcPr>
          <w:p w14:paraId="2371DF83" w14:textId="607C4765"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b/>
                <w:bCs/>
              </w:rPr>
              <w:t>Area</w:t>
            </w:r>
          </w:p>
        </w:tc>
      </w:tr>
      <w:tr w:rsidR="35751944" w14:paraId="613E024F" w14:textId="77777777" w:rsidTr="35751944">
        <w:tc>
          <w:tcPr>
            <w:tcW w:w="675" w:type="dxa"/>
            <w:tcBorders>
              <w:left w:val="nil"/>
              <w:bottom w:val="nil"/>
              <w:right w:val="nil"/>
            </w:tcBorders>
          </w:tcPr>
          <w:p w14:paraId="79E70CA5" w14:textId="3325ECB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w:t>
            </w:r>
          </w:p>
        </w:tc>
        <w:tc>
          <w:tcPr>
            <w:tcW w:w="2370" w:type="dxa"/>
            <w:tcBorders>
              <w:left w:val="nil"/>
              <w:bottom w:val="nil"/>
              <w:right w:val="nil"/>
            </w:tcBorders>
          </w:tcPr>
          <w:p w14:paraId="737E6457" w14:textId="76F49572"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1.3, 66.7, 12.0</w:t>
            </w:r>
          </w:p>
        </w:tc>
        <w:tc>
          <w:tcPr>
            <w:tcW w:w="1350" w:type="dxa"/>
            <w:tcBorders>
              <w:left w:val="nil"/>
              <w:bottom w:val="nil"/>
              <w:right w:val="nil"/>
            </w:tcBorders>
          </w:tcPr>
          <w:p w14:paraId="34A3537D" w14:textId="7422D34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837</w:t>
            </w:r>
          </w:p>
        </w:tc>
        <w:tc>
          <w:tcPr>
            <w:tcW w:w="3960" w:type="dxa"/>
            <w:tcBorders>
              <w:left w:val="nil"/>
              <w:bottom w:val="nil"/>
              <w:right w:val="nil"/>
            </w:tcBorders>
          </w:tcPr>
          <w:p w14:paraId="4B9DA433" w14:textId="0E611327"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lingual gyrus / parieto-occip. fissure</w:t>
            </w:r>
          </w:p>
        </w:tc>
      </w:tr>
      <w:tr w:rsidR="35751944" w14:paraId="5D9F8B49" w14:textId="77777777" w:rsidTr="35751944">
        <w:tc>
          <w:tcPr>
            <w:tcW w:w="675" w:type="dxa"/>
            <w:tcBorders>
              <w:top w:val="nil"/>
              <w:left w:val="nil"/>
              <w:bottom w:val="nil"/>
              <w:right w:val="nil"/>
            </w:tcBorders>
          </w:tcPr>
          <w:p w14:paraId="1C6BF1C0" w14:textId="05237E9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w:t>
            </w:r>
          </w:p>
        </w:tc>
        <w:tc>
          <w:tcPr>
            <w:tcW w:w="2370" w:type="dxa"/>
            <w:tcBorders>
              <w:top w:val="nil"/>
              <w:left w:val="nil"/>
              <w:bottom w:val="nil"/>
              <w:right w:val="nil"/>
            </w:tcBorders>
          </w:tcPr>
          <w:p w14:paraId="7BD49218" w14:textId="3499CF3E"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-1.8, 27.9, -26.8</w:t>
            </w:r>
          </w:p>
        </w:tc>
        <w:tc>
          <w:tcPr>
            <w:tcW w:w="1350" w:type="dxa"/>
            <w:tcBorders>
              <w:top w:val="nil"/>
              <w:left w:val="nil"/>
              <w:bottom w:val="nil"/>
              <w:right w:val="nil"/>
            </w:tcBorders>
          </w:tcPr>
          <w:p w14:paraId="002C6294" w14:textId="685DA778"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783</w:t>
            </w:r>
          </w:p>
        </w:tc>
        <w:tc>
          <w:tcPr>
            <w:tcW w:w="3960" w:type="dxa"/>
            <w:tcBorders>
              <w:top w:val="nil"/>
              <w:left w:val="nil"/>
              <w:bottom w:val="nil"/>
              <w:right w:val="nil"/>
            </w:tcBorders>
          </w:tcPr>
          <w:p w14:paraId="2758F6CC" w14:textId="29C888B8"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Pons</w:t>
            </w:r>
          </w:p>
        </w:tc>
      </w:tr>
      <w:tr w:rsidR="35751944" w14:paraId="2777D338" w14:textId="77777777" w:rsidTr="35751944">
        <w:tc>
          <w:tcPr>
            <w:tcW w:w="675" w:type="dxa"/>
            <w:tcBorders>
              <w:top w:val="nil"/>
              <w:left w:val="nil"/>
              <w:bottom w:val="nil"/>
              <w:right w:val="nil"/>
            </w:tcBorders>
          </w:tcPr>
          <w:p w14:paraId="3FADC752" w14:textId="40068E6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3</w:t>
            </w:r>
          </w:p>
        </w:tc>
        <w:tc>
          <w:tcPr>
            <w:tcW w:w="2370" w:type="dxa"/>
            <w:tcBorders>
              <w:top w:val="nil"/>
              <w:left w:val="nil"/>
              <w:bottom w:val="nil"/>
              <w:right w:val="nil"/>
            </w:tcBorders>
          </w:tcPr>
          <w:p w14:paraId="2030FA34" w14:textId="06CF443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-28, -53.1, 17.7</w:t>
            </w:r>
          </w:p>
        </w:tc>
        <w:tc>
          <w:tcPr>
            <w:tcW w:w="1350" w:type="dxa"/>
            <w:tcBorders>
              <w:top w:val="nil"/>
              <w:left w:val="nil"/>
              <w:bottom w:val="nil"/>
              <w:right w:val="nil"/>
            </w:tcBorders>
          </w:tcPr>
          <w:p w14:paraId="33403C47" w14:textId="0F980B6B"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729</w:t>
            </w:r>
          </w:p>
        </w:tc>
        <w:tc>
          <w:tcPr>
            <w:tcW w:w="3960" w:type="dxa"/>
            <w:tcBorders>
              <w:top w:val="nil"/>
              <w:left w:val="nil"/>
              <w:bottom w:val="nil"/>
              <w:right w:val="nil"/>
            </w:tcBorders>
          </w:tcPr>
          <w:p w14:paraId="517BB56B" w14:textId="02DC133A"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R. dorso-lateral PFC</w:t>
            </w:r>
          </w:p>
        </w:tc>
      </w:tr>
      <w:tr w:rsidR="35751944" w14:paraId="359A8B9F" w14:textId="77777777" w:rsidTr="35751944">
        <w:tc>
          <w:tcPr>
            <w:tcW w:w="675" w:type="dxa"/>
            <w:tcBorders>
              <w:top w:val="nil"/>
              <w:left w:val="nil"/>
              <w:bottom w:val="nil"/>
              <w:right w:val="nil"/>
            </w:tcBorders>
          </w:tcPr>
          <w:p w14:paraId="13F9C320" w14:textId="456FFB44"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w:t>
            </w:r>
          </w:p>
        </w:tc>
        <w:tc>
          <w:tcPr>
            <w:tcW w:w="2370" w:type="dxa"/>
            <w:tcBorders>
              <w:top w:val="nil"/>
              <w:left w:val="nil"/>
              <w:bottom w:val="nil"/>
              <w:right w:val="nil"/>
            </w:tcBorders>
          </w:tcPr>
          <w:p w14:paraId="062FC137" w14:textId="7D557A7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28, -47.3, 26.8</w:t>
            </w:r>
          </w:p>
        </w:tc>
        <w:tc>
          <w:tcPr>
            <w:tcW w:w="1350" w:type="dxa"/>
            <w:tcBorders>
              <w:top w:val="nil"/>
              <w:left w:val="nil"/>
              <w:bottom w:val="nil"/>
              <w:right w:val="nil"/>
            </w:tcBorders>
          </w:tcPr>
          <w:p w14:paraId="56C82160" w14:textId="50A9369E"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675</w:t>
            </w:r>
          </w:p>
        </w:tc>
        <w:tc>
          <w:tcPr>
            <w:tcW w:w="3960" w:type="dxa"/>
            <w:tcBorders>
              <w:top w:val="nil"/>
              <w:left w:val="nil"/>
              <w:bottom w:val="nil"/>
              <w:right w:val="nil"/>
            </w:tcBorders>
          </w:tcPr>
          <w:p w14:paraId="671197A7" w14:textId="0B18FA9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dorso-lateral PFC</w:t>
            </w:r>
          </w:p>
        </w:tc>
      </w:tr>
      <w:tr w:rsidR="35751944" w14:paraId="6734DEEB" w14:textId="77777777" w:rsidTr="35751944">
        <w:tc>
          <w:tcPr>
            <w:tcW w:w="675" w:type="dxa"/>
            <w:tcBorders>
              <w:top w:val="nil"/>
              <w:left w:val="nil"/>
              <w:bottom w:val="nil"/>
              <w:right w:val="nil"/>
            </w:tcBorders>
          </w:tcPr>
          <w:p w14:paraId="6104449C" w14:textId="234AC05E"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5</w:t>
            </w:r>
          </w:p>
        </w:tc>
        <w:tc>
          <w:tcPr>
            <w:tcW w:w="2370" w:type="dxa"/>
            <w:tcBorders>
              <w:top w:val="nil"/>
              <w:left w:val="nil"/>
              <w:bottom w:val="nil"/>
              <w:right w:val="nil"/>
            </w:tcBorders>
          </w:tcPr>
          <w:p w14:paraId="47751C3C" w14:textId="437B4388"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.9, 42.9, 50.6</w:t>
            </w:r>
          </w:p>
        </w:tc>
        <w:tc>
          <w:tcPr>
            <w:tcW w:w="1350" w:type="dxa"/>
            <w:tcBorders>
              <w:top w:val="nil"/>
              <w:left w:val="nil"/>
              <w:bottom w:val="nil"/>
              <w:right w:val="nil"/>
            </w:tcBorders>
          </w:tcPr>
          <w:p w14:paraId="013BAE3D" w14:textId="3EFB493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675</w:t>
            </w:r>
          </w:p>
        </w:tc>
        <w:tc>
          <w:tcPr>
            <w:tcW w:w="3960" w:type="dxa"/>
            <w:tcBorders>
              <w:top w:val="nil"/>
              <w:left w:val="nil"/>
              <w:bottom w:val="nil"/>
              <w:right w:val="nil"/>
            </w:tcBorders>
          </w:tcPr>
          <w:p w14:paraId="196D1E95" w14:textId="01BE35CA"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precuneus</w:t>
            </w:r>
          </w:p>
        </w:tc>
      </w:tr>
      <w:tr w:rsidR="35751944" w14:paraId="0722C8AC" w14:textId="77777777" w:rsidTr="35751944">
        <w:tc>
          <w:tcPr>
            <w:tcW w:w="675" w:type="dxa"/>
            <w:tcBorders>
              <w:top w:val="nil"/>
              <w:left w:val="nil"/>
              <w:bottom w:val="nil"/>
              <w:right w:val="nil"/>
            </w:tcBorders>
          </w:tcPr>
          <w:p w14:paraId="52124D75" w14:textId="6B9CFEE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w:t>
            </w:r>
          </w:p>
        </w:tc>
        <w:tc>
          <w:tcPr>
            <w:tcW w:w="2370" w:type="dxa"/>
            <w:tcBorders>
              <w:top w:val="nil"/>
              <w:left w:val="nil"/>
              <w:bottom w:val="nil"/>
              <w:right w:val="nil"/>
            </w:tcBorders>
          </w:tcPr>
          <w:p w14:paraId="676EC377" w14:textId="3C14598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25.1, 63.1, -3.5</w:t>
            </w:r>
          </w:p>
        </w:tc>
        <w:tc>
          <w:tcPr>
            <w:tcW w:w="1350" w:type="dxa"/>
            <w:tcBorders>
              <w:top w:val="nil"/>
              <w:left w:val="nil"/>
              <w:bottom w:val="nil"/>
              <w:right w:val="nil"/>
            </w:tcBorders>
          </w:tcPr>
          <w:p w14:paraId="2CD83B63" w14:textId="66A3711E"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648</w:t>
            </w:r>
          </w:p>
        </w:tc>
        <w:tc>
          <w:tcPr>
            <w:tcW w:w="3960" w:type="dxa"/>
            <w:tcBorders>
              <w:top w:val="nil"/>
              <w:left w:val="nil"/>
              <w:bottom w:val="nil"/>
              <w:right w:val="nil"/>
            </w:tcBorders>
          </w:tcPr>
          <w:p w14:paraId="098C7C8B" w14:textId="40B0CB0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fusiform gyrus</w:t>
            </w:r>
          </w:p>
        </w:tc>
      </w:tr>
      <w:tr w:rsidR="35751944" w:rsidRPr="009F381B" w14:paraId="5567166B" w14:textId="77777777" w:rsidTr="35751944">
        <w:tc>
          <w:tcPr>
            <w:tcW w:w="675" w:type="dxa"/>
            <w:tcBorders>
              <w:top w:val="nil"/>
              <w:left w:val="nil"/>
              <w:bottom w:val="nil"/>
              <w:right w:val="nil"/>
            </w:tcBorders>
          </w:tcPr>
          <w:p w14:paraId="2C1355B4" w14:textId="0FA5538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7</w:t>
            </w:r>
          </w:p>
        </w:tc>
        <w:tc>
          <w:tcPr>
            <w:tcW w:w="2370" w:type="dxa"/>
            <w:tcBorders>
              <w:top w:val="nil"/>
              <w:left w:val="nil"/>
              <w:bottom w:val="nil"/>
              <w:right w:val="nil"/>
            </w:tcBorders>
          </w:tcPr>
          <w:p w14:paraId="5F188D89" w14:textId="20330DB0"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1.2, 80.8, 38.9</w:t>
            </w:r>
          </w:p>
        </w:tc>
        <w:tc>
          <w:tcPr>
            <w:tcW w:w="1350" w:type="dxa"/>
            <w:tcBorders>
              <w:top w:val="nil"/>
              <w:left w:val="nil"/>
              <w:bottom w:val="nil"/>
              <w:right w:val="nil"/>
            </w:tcBorders>
          </w:tcPr>
          <w:p w14:paraId="155AF626" w14:textId="4F771EF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648</w:t>
            </w:r>
          </w:p>
        </w:tc>
        <w:tc>
          <w:tcPr>
            <w:tcW w:w="3960" w:type="dxa"/>
            <w:tcBorders>
              <w:top w:val="nil"/>
              <w:left w:val="nil"/>
              <w:bottom w:val="nil"/>
              <w:right w:val="nil"/>
            </w:tcBorders>
          </w:tcPr>
          <w:p w14:paraId="6D4308AC" w14:textId="2C3A882E" w:rsidR="35751944" w:rsidRPr="009F381B" w:rsidRDefault="35751944" w:rsidP="35751944">
            <w:pPr>
              <w:pStyle w:val="NoSpacing"/>
              <w:rPr>
                <w:rFonts w:ascii="Times New Roman" w:eastAsia="Times New Roman" w:hAnsi="Times New Roman" w:cs="Times New Roman"/>
                <w:lang w:val="it-IT"/>
              </w:rPr>
            </w:pPr>
            <w:r w:rsidRPr="009F381B">
              <w:rPr>
                <w:rFonts w:ascii="Times New Roman" w:eastAsia="Times New Roman" w:hAnsi="Times New Roman" w:cs="Times New Roman"/>
                <w:lang w:val="it-IT"/>
              </w:rPr>
              <w:t>L. precuneus / parieto-occip. fissure</w:t>
            </w:r>
          </w:p>
        </w:tc>
      </w:tr>
      <w:tr w:rsidR="35751944" w14:paraId="5CF62C1D" w14:textId="77777777" w:rsidTr="35751944">
        <w:tc>
          <w:tcPr>
            <w:tcW w:w="675" w:type="dxa"/>
            <w:tcBorders>
              <w:top w:val="nil"/>
              <w:left w:val="nil"/>
              <w:bottom w:val="nil"/>
              <w:right w:val="nil"/>
            </w:tcBorders>
          </w:tcPr>
          <w:p w14:paraId="6095766B" w14:textId="11178CD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8</w:t>
            </w:r>
          </w:p>
        </w:tc>
        <w:tc>
          <w:tcPr>
            <w:tcW w:w="2370" w:type="dxa"/>
            <w:tcBorders>
              <w:top w:val="nil"/>
              <w:left w:val="nil"/>
              <w:bottom w:val="nil"/>
              <w:right w:val="nil"/>
            </w:tcBorders>
          </w:tcPr>
          <w:p w14:paraId="1E6A7B5C" w14:textId="3DCFC6E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31.9, -20.1, -12.1</w:t>
            </w:r>
          </w:p>
        </w:tc>
        <w:tc>
          <w:tcPr>
            <w:tcW w:w="1350" w:type="dxa"/>
            <w:tcBorders>
              <w:top w:val="nil"/>
              <w:left w:val="nil"/>
              <w:bottom w:val="nil"/>
              <w:right w:val="nil"/>
            </w:tcBorders>
          </w:tcPr>
          <w:p w14:paraId="2D4581C4" w14:textId="3C564B4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567</w:t>
            </w:r>
          </w:p>
        </w:tc>
        <w:tc>
          <w:tcPr>
            <w:tcW w:w="3960" w:type="dxa"/>
            <w:tcBorders>
              <w:top w:val="nil"/>
              <w:left w:val="nil"/>
              <w:bottom w:val="nil"/>
              <w:right w:val="nil"/>
            </w:tcBorders>
          </w:tcPr>
          <w:p w14:paraId="6D4E4A0A" w14:textId="3F206CB1"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anterior insula</w:t>
            </w:r>
          </w:p>
        </w:tc>
      </w:tr>
      <w:tr w:rsidR="35751944" w14:paraId="7D635AE9" w14:textId="77777777" w:rsidTr="35751944">
        <w:tc>
          <w:tcPr>
            <w:tcW w:w="675" w:type="dxa"/>
            <w:tcBorders>
              <w:top w:val="nil"/>
              <w:left w:val="nil"/>
              <w:bottom w:val="nil"/>
              <w:right w:val="nil"/>
            </w:tcBorders>
          </w:tcPr>
          <w:p w14:paraId="57AE9E38" w14:textId="35211CF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9</w:t>
            </w:r>
          </w:p>
        </w:tc>
        <w:tc>
          <w:tcPr>
            <w:tcW w:w="2370" w:type="dxa"/>
            <w:tcBorders>
              <w:top w:val="nil"/>
              <w:left w:val="nil"/>
              <w:bottom w:val="nil"/>
              <w:right w:val="nil"/>
            </w:tcBorders>
          </w:tcPr>
          <w:p w14:paraId="55D2AF5C" w14:textId="2DF563D5"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6.1, -33.1, 18.4</w:t>
            </w:r>
          </w:p>
        </w:tc>
        <w:tc>
          <w:tcPr>
            <w:tcW w:w="1350" w:type="dxa"/>
            <w:tcBorders>
              <w:top w:val="nil"/>
              <w:left w:val="nil"/>
              <w:bottom w:val="nil"/>
              <w:right w:val="nil"/>
            </w:tcBorders>
          </w:tcPr>
          <w:p w14:paraId="79845804" w14:textId="33AB006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567</w:t>
            </w:r>
          </w:p>
        </w:tc>
        <w:tc>
          <w:tcPr>
            <w:tcW w:w="3960" w:type="dxa"/>
            <w:tcBorders>
              <w:top w:val="nil"/>
              <w:left w:val="nil"/>
              <w:bottom w:val="nil"/>
              <w:right w:val="nil"/>
            </w:tcBorders>
          </w:tcPr>
          <w:p w14:paraId="663DB1AA" w14:textId="5624F17C"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anterior cingulate cortex</w:t>
            </w:r>
          </w:p>
        </w:tc>
      </w:tr>
      <w:tr w:rsidR="35751944" w:rsidRPr="009F381B" w14:paraId="67D6FA8C" w14:textId="77777777" w:rsidTr="35751944">
        <w:tc>
          <w:tcPr>
            <w:tcW w:w="675" w:type="dxa"/>
            <w:tcBorders>
              <w:top w:val="nil"/>
              <w:left w:val="nil"/>
              <w:bottom w:val="nil"/>
              <w:right w:val="nil"/>
            </w:tcBorders>
          </w:tcPr>
          <w:p w14:paraId="23EA7D29" w14:textId="3E421E28"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10</w:t>
            </w:r>
          </w:p>
        </w:tc>
        <w:tc>
          <w:tcPr>
            <w:tcW w:w="2370" w:type="dxa"/>
            <w:tcBorders>
              <w:top w:val="nil"/>
              <w:left w:val="nil"/>
              <w:bottom w:val="nil"/>
              <w:right w:val="nil"/>
            </w:tcBorders>
          </w:tcPr>
          <w:p w14:paraId="16E638FA" w14:textId="249EE5CB"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-1.1, 89, 12</w:t>
            </w:r>
          </w:p>
        </w:tc>
        <w:tc>
          <w:tcPr>
            <w:tcW w:w="1350" w:type="dxa"/>
            <w:tcBorders>
              <w:top w:val="nil"/>
              <w:left w:val="nil"/>
              <w:bottom w:val="nil"/>
              <w:right w:val="nil"/>
            </w:tcBorders>
          </w:tcPr>
          <w:p w14:paraId="03826731" w14:textId="32985482"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540</w:t>
            </w:r>
          </w:p>
        </w:tc>
        <w:tc>
          <w:tcPr>
            <w:tcW w:w="3960" w:type="dxa"/>
            <w:tcBorders>
              <w:top w:val="nil"/>
              <w:left w:val="nil"/>
              <w:bottom w:val="nil"/>
              <w:right w:val="nil"/>
            </w:tcBorders>
          </w:tcPr>
          <w:p w14:paraId="70104E44" w14:textId="447ADACE" w:rsidR="35751944" w:rsidRPr="009F381B" w:rsidRDefault="35751944" w:rsidP="35751944">
            <w:pPr>
              <w:pStyle w:val="NoSpacing"/>
              <w:rPr>
                <w:rFonts w:ascii="Times New Roman" w:eastAsia="Times New Roman" w:hAnsi="Times New Roman" w:cs="Times New Roman"/>
                <w:lang w:val="it-IT"/>
              </w:rPr>
            </w:pPr>
            <w:r w:rsidRPr="009F381B">
              <w:rPr>
                <w:rFonts w:ascii="Times New Roman" w:eastAsia="Times New Roman" w:hAnsi="Times New Roman" w:cs="Times New Roman"/>
                <w:lang w:val="it-IT"/>
              </w:rPr>
              <w:t>R. visual cortex / V1-2 / BA 17-18</w:t>
            </w:r>
          </w:p>
        </w:tc>
      </w:tr>
      <w:tr w:rsidR="35751944" w14:paraId="1F50030C" w14:textId="77777777" w:rsidTr="35751944">
        <w:tc>
          <w:tcPr>
            <w:tcW w:w="675" w:type="dxa"/>
            <w:tcBorders>
              <w:top w:val="nil"/>
              <w:left w:val="nil"/>
              <w:bottom w:val="nil"/>
              <w:right w:val="nil"/>
            </w:tcBorders>
          </w:tcPr>
          <w:p w14:paraId="4A243604" w14:textId="578D366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11</w:t>
            </w:r>
          </w:p>
        </w:tc>
        <w:tc>
          <w:tcPr>
            <w:tcW w:w="2370" w:type="dxa"/>
            <w:tcBorders>
              <w:top w:val="nil"/>
              <w:left w:val="nil"/>
              <w:bottom w:val="nil"/>
              <w:right w:val="nil"/>
            </w:tcBorders>
          </w:tcPr>
          <w:p w14:paraId="6D5DDECD" w14:textId="0C12B33C"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20.5, 41.3, -11.2</w:t>
            </w:r>
          </w:p>
        </w:tc>
        <w:tc>
          <w:tcPr>
            <w:tcW w:w="1350" w:type="dxa"/>
            <w:tcBorders>
              <w:top w:val="nil"/>
              <w:left w:val="nil"/>
              <w:bottom w:val="nil"/>
              <w:right w:val="nil"/>
            </w:tcBorders>
          </w:tcPr>
          <w:p w14:paraId="57E934D5" w14:textId="28E980D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486</w:t>
            </w:r>
          </w:p>
        </w:tc>
        <w:tc>
          <w:tcPr>
            <w:tcW w:w="3960" w:type="dxa"/>
            <w:tcBorders>
              <w:top w:val="nil"/>
              <w:left w:val="nil"/>
              <w:bottom w:val="nil"/>
              <w:right w:val="nil"/>
            </w:tcBorders>
          </w:tcPr>
          <w:p w14:paraId="2157593A" w14:textId="4F7948E7"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parahippocampal gyrus</w:t>
            </w:r>
          </w:p>
        </w:tc>
      </w:tr>
      <w:tr w:rsidR="35751944" w:rsidRPr="009F381B" w14:paraId="16A5A7DD" w14:textId="77777777" w:rsidTr="35751944">
        <w:tc>
          <w:tcPr>
            <w:tcW w:w="675" w:type="dxa"/>
            <w:tcBorders>
              <w:top w:val="nil"/>
              <w:left w:val="nil"/>
              <w:bottom w:val="nil"/>
              <w:right w:val="nil"/>
            </w:tcBorders>
          </w:tcPr>
          <w:p w14:paraId="015A097D" w14:textId="004BFCC0"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12</w:t>
            </w:r>
          </w:p>
        </w:tc>
        <w:tc>
          <w:tcPr>
            <w:tcW w:w="2370" w:type="dxa"/>
            <w:tcBorders>
              <w:top w:val="nil"/>
              <w:left w:val="nil"/>
              <w:bottom w:val="nil"/>
              <w:right w:val="nil"/>
            </w:tcBorders>
          </w:tcPr>
          <w:p w14:paraId="48375152" w14:textId="69771BD6"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-47, 62.3, 18.2</w:t>
            </w:r>
          </w:p>
        </w:tc>
        <w:tc>
          <w:tcPr>
            <w:tcW w:w="1350" w:type="dxa"/>
            <w:tcBorders>
              <w:top w:val="nil"/>
              <w:left w:val="nil"/>
              <w:bottom w:val="nil"/>
              <w:right w:val="nil"/>
            </w:tcBorders>
          </w:tcPr>
          <w:p w14:paraId="579905CC" w14:textId="31B967F1"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459</w:t>
            </w:r>
          </w:p>
        </w:tc>
        <w:tc>
          <w:tcPr>
            <w:tcW w:w="3960" w:type="dxa"/>
            <w:tcBorders>
              <w:top w:val="nil"/>
              <w:left w:val="nil"/>
              <w:bottom w:val="nil"/>
              <w:right w:val="nil"/>
            </w:tcBorders>
          </w:tcPr>
          <w:p w14:paraId="0E6581E0" w14:textId="78BE4329" w:rsidR="35751944" w:rsidRPr="009F381B" w:rsidRDefault="35751944" w:rsidP="35751944">
            <w:pPr>
              <w:pStyle w:val="NoSpacing"/>
              <w:rPr>
                <w:rFonts w:ascii="Times New Roman" w:eastAsia="Times New Roman" w:hAnsi="Times New Roman" w:cs="Times New Roman"/>
                <w:lang w:val="it-IT"/>
              </w:rPr>
            </w:pPr>
            <w:r w:rsidRPr="009F381B">
              <w:rPr>
                <w:rFonts w:ascii="Times New Roman" w:eastAsia="Times New Roman" w:hAnsi="Times New Roman" w:cs="Times New Roman"/>
                <w:lang w:val="it-IT"/>
              </w:rPr>
              <w:t>R. temporo-parieto-occip. junction</w:t>
            </w:r>
          </w:p>
        </w:tc>
      </w:tr>
      <w:tr w:rsidR="35751944" w14:paraId="67CCF2DC" w14:textId="77777777" w:rsidTr="35751944">
        <w:tc>
          <w:tcPr>
            <w:tcW w:w="675" w:type="dxa"/>
            <w:tcBorders>
              <w:top w:val="nil"/>
              <w:left w:val="nil"/>
              <w:bottom w:val="nil"/>
              <w:right w:val="nil"/>
            </w:tcBorders>
          </w:tcPr>
          <w:p w14:paraId="191E2A27" w14:textId="4734DB88"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13</w:t>
            </w:r>
          </w:p>
        </w:tc>
        <w:tc>
          <w:tcPr>
            <w:tcW w:w="2370" w:type="dxa"/>
            <w:tcBorders>
              <w:top w:val="nil"/>
              <w:left w:val="nil"/>
              <w:bottom w:val="nil"/>
              <w:right w:val="nil"/>
            </w:tcBorders>
          </w:tcPr>
          <w:p w14:paraId="37975EB6" w14:textId="4023F7D1"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14.1, 52.8, 15</w:t>
            </w:r>
          </w:p>
        </w:tc>
        <w:tc>
          <w:tcPr>
            <w:tcW w:w="1350" w:type="dxa"/>
            <w:tcBorders>
              <w:top w:val="nil"/>
              <w:left w:val="nil"/>
              <w:bottom w:val="nil"/>
              <w:right w:val="nil"/>
            </w:tcBorders>
          </w:tcPr>
          <w:p w14:paraId="4722D73F" w14:textId="36E13935"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432</w:t>
            </w:r>
          </w:p>
        </w:tc>
        <w:tc>
          <w:tcPr>
            <w:tcW w:w="3960" w:type="dxa"/>
            <w:tcBorders>
              <w:top w:val="nil"/>
              <w:left w:val="nil"/>
              <w:bottom w:val="nil"/>
              <w:right w:val="nil"/>
            </w:tcBorders>
          </w:tcPr>
          <w:p w14:paraId="00EF410B" w14:textId="4E3E3431"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precuneus</w:t>
            </w:r>
          </w:p>
        </w:tc>
      </w:tr>
      <w:tr w:rsidR="35751944" w14:paraId="51BAE842" w14:textId="77777777" w:rsidTr="35751944">
        <w:tc>
          <w:tcPr>
            <w:tcW w:w="675" w:type="dxa"/>
            <w:tcBorders>
              <w:top w:val="nil"/>
              <w:left w:val="nil"/>
              <w:bottom w:val="nil"/>
              <w:right w:val="nil"/>
            </w:tcBorders>
          </w:tcPr>
          <w:p w14:paraId="17821EEC" w14:textId="7660F16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14</w:t>
            </w:r>
          </w:p>
        </w:tc>
        <w:tc>
          <w:tcPr>
            <w:tcW w:w="2370" w:type="dxa"/>
            <w:tcBorders>
              <w:top w:val="nil"/>
              <w:left w:val="nil"/>
              <w:bottom w:val="nil"/>
              <w:right w:val="nil"/>
            </w:tcBorders>
          </w:tcPr>
          <w:p w14:paraId="24D6A9AD" w14:textId="3DA3ED01"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4.3, 30.1, -9.2</w:t>
            </w:r>
          </w:p>
        </w:tc>
        <w:tc>
          <w:tcPr>
            <w:tcW w:w="1350" w:type="dxa"/>
            <w:tcBorders>
              <w:top w:val="nil"/>
              <w:left w:val="nil"/>
              <w:bottom w:val="nil"/>
              <w:right w:val="nil"/>
            </w:tcBorders>
          </w:tcPr>
          <w:p w14:paraId="45ECA88C" w14:textId="317D9FFA"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405</w:t>
            </w:r>
          </w:p>
        </w:tc>
        <w:tc>
          <w:tcPr>
            <w:tcW w:w="3960" w:type="dxa"/>
            <w:tcBorders>
              <w:top w:val="nil"/>
              <w:left w:val="nil"/>
              <w:bottom w:val="nil"/>
              <w:right w:val="nil"/>
            </w:tcBorders>
          </w:tcPr>
          <w:p w14:paraId="7CECC19D" w14:textId="20D52838"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Midbrain</w:t>
            </w:r>
          </w:p>
        </w:tc>
      </w:tr>
      <w:tr w:rsidR="35751944" w14:paraId="3060470C" w14:textId="77777777" w:rsidTr="35751944">
        <w:tc>
          <w:tcPr>
            <w:tcW w:w="675" w:type="dxa"/>
            <w:tcBorders>
              <w:top w:val="nil"/>
              <w:left w:val="nil"/>
              <w:bottom w:val="nil"/>
              <w:right w:val="nil"/>
            </w:tcBorders>
          </w:tcPr>
          <w:p w14:paraId="7022227E" w14:textId="5795665C"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15</w:t>
            </w:r>
          </w:p>
        </w:tc>
        <w:tc>
          <w:tcPr>
            <w:tcW w:w="2370" w:type="dxa"/>
            <w:tcBorders>
              <w:top w:val="nil"/>
              <w:left w:val="nil"/>
              <w:bottom w:val="nil"/>
              <w:right w:val="nil"/>
            </w:tcBorders>
          </w:tcPr>
          <w:p w14:paraId="0F1EBE4E" w14:textId="073FFAF9"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-32.9, 38.8, -12.7</w:t>
            </w:r>
          </w:p>
        </w:tc>
        <w:tc>
          <w:tcPr>
            <w:tcW w:w="1350" w:type="dxa"/>
            <w:tcBorders>
              <w:top w:val="nil"/>
              <w:left w:val="nil"/>
              <w:bottom w:val="nil"/>
              <w:right w:val="nil"/>
            </w:tcBorders>
          </w:tcPr>
          <w:p w14:paraId="24408DCF" w14:textId="3973B362"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351</w:t>
            </w:r>
          </w:p>
        </w:tc>
        <w:tc>
          <w:tcPr>
            <w:tcW w:w="3960" w:type="dxa"/>
            <w:tcBorders>
              <w:top w:val="nil"/>
              <w:left w:val="nil"/>
              <w:bottom w:val="nil"/>
              <w:right w:val="nil"/>
            </w:tcBorders>
          </w:tcPr>
          <w:p w14:paraId="05CAC82C" w14:textId="0CC4BA53"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R. parahippocampal gyrus</w:t>
            </w:r>
          </w:p>
        </w:tc>
      </w:tr>
      <w:tr w:rsidR="35751944" w14:paraId="75DEBF28" w14:textId="77777777" w:rsidTr="35751944">
        <w:tc>
          <w:tcPr>
            <w:tcW w:w="675" w:type="dxa"/>
            <w:tcBorders>
              <w:top w:val="nil"/>
              <w:left w:val="nil"/>
              <w:bottom w:val="nil"/>
              <w:right w:val="nil"/>
            </w:tcBorders>
          </w:tcPr>
          <w:p w14:paraId="74B8DD2F" w14:textId="764676B2"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16</w:t>
            </w:r>
          </w:p>
        </w:tc>
        <w:tc>
          <w:tcPr>
            <w:tcW w:w="2370" w:type="dxa"/>
            <w:tcBorders>
              <w:top w:val="nil"/>
              <w:left w:val="nil"/>
              <w:bottom w:val="nil"/>
              <w:right w:val="nil"/>
            </w:tcBorders>
          </w:tcPr>
          <w:p w14:paraId="2E1CCC16" w14:textId="435078FD"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-4.2, 57.2, -32.7</w:t>
            </w:r>
          </w:p>
        </w:tc>
        <w:tc>
          <w:tcPr>
            <w:tcW w:w="1350" w:type="dxa"/>
            <w:tcBorders>
              <w:top w:val="nil"/>
              <w:left w:val="nil"/>
              <w:bottom w:val="nil"/>
              <w:right w:val="nil"/>
            </w:tcBorders>
          </w:tcPr>
          <w:p w14:paraId="19197E52" w14:textId="16D21C52"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297</w:t>
            </w:r>
          </w:p>
        </w:tc>
        <w:tc>
          <w:tcPr>
            <w:tcW w:w="3960" w:type="dxa"/>
            <w:tcBorders>
              <w:top w:val="nil"/>
              <w:left w:val="nil"/>
              <w:bottom w:val="nil"/>
              <w:right w:val="nil"/>
            </w:tcBorders>
          </w:tcPr>
          <w:p w14:paraId="0D63D216" w14:textId="10F791B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R. cerebellum</w:t>
            </w:r>
          </w:p>
        </w:tc>
      </w:tr>
      <w:tr w:rsidR="35751944" w14:paraId="1EC2F2B7" w14:textId="77777777" w:rsidTr="35751944">
        <w:tc>
          <w:tcPr>
            <w:tcW w:w="675" w:type="dxa"/>
            <w:tcBorders>
              <w:top w:val="nil"/>
              <w:left w:val="nil"/>
              <w:bottom w:val="nil"/>
              <w:right w:val="nil"/>
            </w:tcBorders>
          </w:tcPr>
          <w:p w14:paraId="01F2FEA3" w14:textId="006A6C5E"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17</w:t>
            </w:r>
          </w:p>
        </w:tc>
        <w:tc>
          <w:tcPr>
            <w:tcW w:w="2370" w:type="dxa"/>
            <w:tcBorders>
              <w:top w:val="nil"/>
              <w:left w:val="nil"/>
              <w:bottom w:val="nil"/>
              <w:right w:val="nil"/>
            </w:tcBorders>
          </w:tcPr>
          <w:p w14:paraId="0660B287" w14:textId="26B28B63"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11.6, -48.6, -7.9</w:t>
            </w:r>
          </w:p>
        </w:tc>
        <w:tc>
          <w:tcPr>
            <w:tcW w:w="1350" w:type="dxa"/>
            <w:tcBorders>
              <w:top w:val="nil"/>
              <w:left w:val="nil"/>
              <w:bottom w:val="nil"/>
              <w:right w:val="nil"/>
            </w:tcBorders>
          </w:tcPr>
          <w:p w14:paraId="187717C7" w14:textId="1AD252D3"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297</w:t>
            </w:r>
          </w:p>
        </w:tc>
        <w:tc>
          <w:tcPr>
            <w:tcW w:w="3960" w:type="dxa"/>
            <w:tcBorders>
              <w:top w:val="nil"/>
              <w:left w:val="nil"/>
              <w:bottom w:val="nil"/>
              <w:right w:val="nil"/>
            </w:tcBorders>
          </w:tcPr>
          <w:p w14:paraId="3E5014EE" w14:textId="2499061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medial PFC</w:t>
            </w:r>
          </w:p>
        </w:tc>
      </w:tr>
      <w:tr w:rsidR="35751944" w14:paraId="4E504B4A" w14:textId="77777777" w:rsidTr="35751944">
        <w:tc>
          <w:tcPr>
            <w:tcW w:w="675" w:type="dxa"/>
            <w:tcBorders>
              <w:top w:val="nil"/>
              <w:left w:val="nil"/>
              <w:bottom w:val="nil"/>
              <w:right w:val="nil"/>
            </w:tcBorders>
          </w:tcPr>
          <w:p w14:paraId="28D3601A" w14:textId="7D692CE2"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18</w:t>
            </w:r>
          </w:p>
        </w:tc>
        <w:tc>
          <w:tcPr>
            <w:tcW w:w="2370" w:type="dxa"/>
            <w:tcBorders>
              <w:top w:val="nil"/>
              <w:left w:val="nil"/>
              <w:bottom w:val="nil"/>
              <w:right w:val="nil"/>
            </w:tcBorders>
          </w:tcPr>
          <w:p w14:paraId="760CDB60" w14:textId="0EF2EE96"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5.5, 10.8, -10.7</w:t>
            </w:r>
          </w:p>
        </w:tc>
        <w:tc>
          <w:tcPr>
            <w:tcW w:w="1350" w:type="dxa"/>
            <w:tcBorders>
              <w:top w:val="nil"/>
              <w:left w:val="nil"/>
              <w:bottom w:val="nil"/>
              <w:right w:val="nil"/>
            </w:tcBorders>
          </w:tcPr>
          <w:p w14:paraId="07D2EC91" w14:textId="05277A4A"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243</w:t>
            </w:r>
          </w:p>
        </w:tc>
        <w:tc>
          <w:tcPr>
            <w:tcW w:w="3960" w:type="dxa"/>
            <w:tcBorders>
              <w:top w:val="nil"/>
              <w:left w:val="nil"/>
              <w:bottom w:val="nil"/>
              <w:right w:val="nil"/>
            </w:tcBorders>
          </w:tcPr>
          <w:p w14:paraId="6F939789" w14:textId="1187649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ventral tegmental area</w:t>
            </w:r>
          </w:p>
        </w:tc>
      </w:tr>
      <w:tr w:rsidR="35751944" w14:paraId="666ACA6E" w14:textId="77777777" w:rsidTr="35751944">
        <w:tc>
          <w:tcPr>
            <w:tcW w:w="675" w:type="dxa"/>
            <w:tcBorders>
              <w:top w:val="nil"/>
              <w:left w:val="nil"/>
              <w:bottom w:val="nil"/>
              <w:right w:val="nil"/>
            </w:tcBorders>
          </w:tcPr>
          <w:p w14:paraId="1754D5FE" w14:textId="259F4AB5"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19</w:t>
            </w:r>
          </w:p>
        </w:tc>
        <w:tc>
          <w:tcPr>
            <w:tcW w:w="2370" w:type="dxa"/>
            <w:tcBorders>
              <w:top w:val="nil"/>
              <w:left w:val="nil"/>
              <w:bottom w:val="nil"/>
              <w:right w:val="nil"/>
            </w:tcBorders>
          </w:tcPr>
          <w:p w14:paraId="18B15A45" w14:textId="28F87A9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-1.5, -9.1, -11.4</w:t>
            </w:r>
          </w:p>
        </w:tc>
        <w:tc>
          <w:tcPr>
            <w:tcW w:w="1350" w:type="dxa"/>
            <w:tcBorders>
              <w:top w:val="nil"/>
              <w:left w:val="nil"/>
              <w:bottom w:val="nil"/>
              <w:right w:val="nil"/>
            </w:tcBorders>
          </w:tcPr>
          <w:p w14:paraId="2EC37D9F" w14:textId="438B0283"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135</w:t>
            </w:r>
          </w:p>
        </w:tc>
        <w:tc>
          <w:tcPr>
            <w:tcW w:w="3960" w:type="dxa"/>
            <w:tcBorders>
              <w:top w:val="nil"/>
              <w:left w:val="nil"/>
              <w:bottom w:val="nil"/>
              <w:right w:val="nil"/>
            </w:tcBorders>
          </w:tcPr>
          <w:p w14:paraId="4FF9AC8A" w14:textId="16B18E3C"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Subcallosal (parolfactory) area / BA 25</w:t>
            </w:r>
          </w:p>
        </w:tc>
      </w:tr>
      <w:tr w:rsidR="35751944" w14:paraId="2373EC17" w14:textId="77777777" w:rsidTr="35751944">
        <w:tc>
          <w:tcPr>
            <w:tcW w:w="675" w:type="dxa"/>
            <w:tcBorders>
              <w:top w:val="nil"/>
              <w:left w:val="nil"/>
              <w:bottom w:val="single" w:sz="6" w:space="0" w:color="auto"/>
              <w:right w:val="nil"/>
            </w:tcBorders>
          </w:tcPr>
          <w:p w14:paraId="44653D0F" w14:textId="03E3B95B"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20</w:t>
            </w:r>
          </w:p>
        </w:tc>
        <w:tc>
          <w:tcPr>
            <w:tcW w:w="2370" w:type="dxa"/>
            <w:tcBorders>
              <w:top w:val="nil"/>
              <w:left w:val="nil"/>
              <w:bottom w:val="single" w:sz="6" w:space="0" w:color="auto"/>
              <w:right w:val="nil"/>
            </w:tcBorders>
          </w:tcPr>
          <w:p w14:paraId="7EFAEB9F" w14:textId="2A2DE4CC"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6.9, -40.9, 35.4</w:t>
            </w:r>
          </w:p>
        </w:tc>
        <w:tc>
          <w:tcPr>
            <w:tcW w:w="1350" w:type="dxa"/>
            <w:tcBorders>
              <w:top w:val="nil"/>
              <w:left w:val="nil"/>
              <w:bottom w:val="single" w:sz="6" w:space="0" w:color="auto"/>
              <w:right w:val="nil"/>
            </w:tcBorders>
          </w:tcPr>
          <w:p w14:paraId="55AA0746" w14:textId="0B87FF81"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135</w:t>
            </w:r>
          </w:p>
        </w:tc>
        <w:tc>
          <w:tcPr>
            <w:tcW w:w="3960" w:type="dxa"/>
            <w:tcBorders>
              <w:top w:val="nil"/>
              <w:left w:val="nil"/>
              <w:bottom w:val="single" w:sz="6" w:space="0" w:color="auto"/>
              <w:right w:val="nil"/>
            </w:tcBorders>
          </w:tcPr>
          <w:p w14:paraId="77E90ABE" w14:textId="0425094F" w:rsidR="35751944" w:rsidRDefault="35751944" w:rsidP="35751944">
            <w:pPr>
              <w:pStyle w:val="NoSpacing"/>
              <w:rPr>
                <w:rFonts w:ascii="Times New Roman" w:eastAsia="Times New Roman" w:hAnsi="Times New Roman" w:cs="Times New Roman"/>
              </w:rPr>
            </w:pPr>
            <w:r w:rsidRPr="35751944">
              <w:rPr>
                <w:rFonts w:ascii="Times New Roman" w:eastAsia="Times New Roman" w:hAnsi="Times New Roman" w:cs="Times New Roman"/>
              </w:rPr>
              <w:t>L. superior medial frontal gyrus</w:t>
            </w:r>
          </w:p>
        </w:tc>
      </w:tr>
    </w:tbl>
    <w:p w14:paraId="6E9C2F05" w14:textId="504F6BF5" w:rsidR="26932670" w:rsidRDefault="26932670" w:rsidP="2E5327DD">
      <w:pPr>
        <w:spacing w:line="480" w:lineRule="auto"/>
        <w:rPr>
          <w:rFonts w:ascii="Times New Roman" w:eastAsia="Times New Roman" w:hAnsi="Times New Roman" w:cs="Times New Roman"/>
          <w:color w:val="000000" w:themeColor="text1"/>
        </w:rPr>
      </w:pPr>
    </w:p>
    <w:sectPr w:rsidR="26932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A1B6C4"/>
    <w:rsid w:val="004F4950"/>
    <w:rsid w:val="007D5AF6"/>
    <w:rsid w:val="009F381B"/>
    <w:rsid w:val="00AD3CB1"/>
    <w:rsid w:val="00C9762A"/>
    <w:rsid w:val="00D35154"/>
    <w:rsid w:val="00F008F7"/>
    <w:rsid w:val="01AA51F5"/>
    <w:rsid w:val="02EC44EE"/>
    <w:rsid w:val="04419B42"/>
    <w:rsid w:val="04608FE5"/>
    <w:rsid w:val="05A356DA"/>
    <w:rsid w:val="063E488B"/>
    <w:rsid w:val="074E22DF"/>
    <w:rsid w:val="08EC740F"/>
    <w:rsid w:val="0C58C8A8"/>
    <w:rsid w:val="0FB8EAE5"/>
    <w:rsid w:val="15646B2F"/>
    <w:rsid w:val="168A21D0"/>
    <w:rsid w:val="194915DC"/>
    <w:rsid w:val="1B41C1E7"/>
    <w:rsid w:val="1DA516C8"/>
    <w:rsid w:val="1FAB4518"/>
    <w:rsid w:val="2128E2F6"/>
    <w:rsid w:val="2287F28E"/>
    <w:rsid w:val="232548DD"/>
    <w:rsid w:val="23A1B6C4"/>
    <w:rsid w:val="2475C6E4"/>
    <w:rsid w:val="266B97D1"/>
    <w:rsid w:val="268EC818"/>
    <w:rsid w:val="26932670"/>
    <w:rsid w:val="28E9E584"/>
    <w:rsid w:val="2A229C82"/>
    <w:rsid w:val="2CE06A07"/>
    <w:rsid w:val="2D1DB010"/>
    <w:rsid w:val="2E5327DD"/>
    <w:rsid w:val="3003E062"/>
    <w:rsid w:val="3445DCEB"/>
    <w:rsid w:val="35751944"/>
    <w:rsid w:val="36C90CFD"/>
    <w:rsid w:val="36E49441"/>
    <w:rsid w:val="3C4C9AB4"/>
    <w:rsid w:val="3DBAC426"/>
    <w:rsid w:val="42BEB44B"/>
    <w:rsid w:val="51FF80AB"/>
    <w:rsid w:val="521A7CFD"/>
    <w:rsid w:val="5285C529"/>
    <w:rsid w:val="548A2B8F"/>
    <w:rsid w:val="5EB4164F"/>
    <w:rsid w:val="64B626C0"/>
    <w:rsid w:val="6E979781"/>
    <w:rsid w:val="7097AEE3"/>
    <w:rsid w:val="71105E24"/>
    <w:rsid w:val="7459A37C"/>
    <w:rsid w:val="7721946C"/>
    <w:rsid w:val="79626435"/>
    <w:rsid w:val="7AD3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B6C4"/>
  <w15:chartTrackingRefBased/>
  <w15:docId w15:val="{359080C7-2645-495B-B119-0D111FD3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2CE06A07"/>
  </w:style>
  <w:style w:type="character" w:customStyle="1" w:styleId="eop">
    <w:name w:val="eop"/>
    <w:basedOn w:val="DefaultParagraphFont"/>
    <w:rsid w:val="7AD3446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D3CB1"/>
    <w:pPr>
      <w:spacing w:after="0" w:line="240" w:lineRule="auto"/>
    </w:pPr>
  </w:style>
  <w:style w:type="character" w:styleId="Hyperlink">
    <w:name w:val="Hyperlink"/>
    <w:basedOn w:val="DefaultParagraphFont"/>
    <w:uiPriority w:val="99"/>
    <w:unhideWhenUsed/>
    <w:rsid w:val="00AD3CB1"/>
    <w:rPr>
      <w:color w:val="0563C1" w:themeColor="hyperlink"/>
      <w:u w:val="single"/>
    </w:rPr>
  </w:style>
  <w:style w:type="character" w:styleId="UnresolvedMention">
    <w:name w:val="Unresolved Mention"/>
    <w:basedOn w:val="DefaultParagraphFont"/>
    <w:uiPriority w:val="99"/>
    <w:semiHidden/>
    <w:unhideWhenUsed/>
    <w:rsid w:val="00AD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Moyal</dc:creator>
  <cp:keywords/>
  <dc:description/>
  <cp:lastModifiedBy>Charles Brophy</cp:lastModifiedBy>
  <cp:revision>23</cp:revision>
  <dcterms:created xsi:type="dcterms:W3CDTF">2021-10-05T22:10:00Z</dcterms:created>
  <dcterms:modified xsi:type="dcterms:W3CDTF">2022-05-18T16:37:00Z</dcterms:modified>
</cp:coreProperties>
</file>