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5F0CD" w14:textId="07713E1C" w:rsidR="00E816C9" w:rsidRPr="00E816C9" w:rsidRDefault="00575F55" w:rsidP="00E816C9">
      <w:pPr>
        <w:pStyle w:val="2"/>
        <w:spacing w:line="480" w:lineRule="auto"/>
      </w:pPr>
      <w:r w:rsidRPr="00575F55">
        <w:t xml:space="preserve">Supplemental information </w:t>
      </w:r>
    </w:p>
    <w:p w14:paraId="5EE8E218" w14:textId="2EB82EA7" w:rsidR="00B02298" w:rsidRDefault="008A2CA8" w:rsidP="00E816C9">
      <w:pPr>
        <w:pStyle w:val="2"/>
        <w:spacing w:line="480" w:lineRule="auto"/>
        <w:rPr>
          <w:color w:val="000000" w:themeColor="text1"/>
          <w:sz w:val="28"/>
          <w:szCs w:val="28"/>
        </w:rPr>
      </w:pPr>
      <w:r w:rsidRPr="00575F55">
        <w:rPr>
          <w:color w:val="000000" w:themeColor="text1"/>
          <w:sz w:val="28"/>
          <w:szCs w:val="28"/>
        </w:rPr>
        <w:t>Supplementary Figure</w:t>
      </w:r>
      <w:r w:rsidR="00607E23" w:rsidRPr="00575F55">
        <w:rPr>
          <w:rFonts w:hint="eastAsia"/>
          <w:color w:val="000000" w:themeColor="text1"/>
          <w:sz w:val="28"/>
          <w:szCs w:val="28"/>
        </w:rPr>
        <w:t>s</w:t>
      </w:r>
    </w:p>
    <w:p w14:paraId="6AE275C3" w14:textId="21504C6B" w:rsidR="00E816C9" w:rsidRPr="00E816C9" w:rsidRDefault="00E816C9" w:rsidP="00E816C9">
      <w:r>
        <w:rPr>
          <w:noProof/>
        </w:rPr>
        <w:drawing>
          <wp:inline distT="0" distB="0" distL="0" distR="0" wp14:anchorId="3043884C" wp14:editId="6B53B64A">
            <wp:extent cx="6714000" cy="776880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000" cy="77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020D7" w14:textId="33CB1B0B" w:rsidR="008A2CA8" w:rsidRPr="00E816C9" w:rsidRDefault="008A2CA8" w:rsidP="00E816C9">
      <w:pPr>
        <w:rPr>
          <w:rFonts w:ascii="Times New Roman" w:hAnsi="Times New Roman" w:cs="Times New Roman"/>
          <w:sz w:val="24"/>
          <w:szCs w:val="24"/>
        </w:rPr>
      </w:pPr>
      <w:r w:rsidRPr="00E816C9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607E23" w:rsidRPr="00E816C9">
        <w:rPr>
          <w:rFonts w:ascii="Times New Roman" w:hAnsi="Times New Roman" w:cs="Times New Roman" w:hint="eastAsia"/>
          <w:b/>
          <w:bCs/>
          <w:sz w:val="24"/>
          <w:szCs w:val="24"/>
        </w:rPr>
        <w:t>ure</w:t>
      </w:r>
      <w:r w:rsidR="00607E23" w:rsidRPr="00E816C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816C9">
        <w:rPr>
          <w:rFonts w:ascii="Times New Roman" w:hAnsi="Times New Roman" w:cs="Times New Roman"/>
          <w:b/>
          <w:bCs/>
          <w:sz w:val="24"/>
          <w:szCs w:val="24"/>
        </w:rPr>
        <w:t xml:space="preserve">S1. </w:t>
      </w:r>
      <w:r w:rsidRPr="00E816C9">
        <w:rPr>
          <w:rFonts w:ascii="Times New Roman" w:hAnsi="Times New Roman" w:cs="Times New Roman"/>
          <w:sz w:val="24"/>
          <w:szCs w:val="24"/>
        </w:rPr>
        <w:t>Differentially expressed immune‐related genes in GBM.</w:t>
      </w:r>
    </w:p>
    <w:p w14:paraId="364D7950" w14:textId="3DBD4FF3" w:rsidR="00C92390" w:rsidRPr="00E816C9" w:rsidRDefault="005E3034" w:rsidP="00E816C9">
      <w:pPr>
        <w:rPr>
          <w:rFonts w:ascii="Times New Roman" w:hAnsi="Times New Roman" w:cs="Times New Roman"/>
          <w:sz w:val="24"/>
          <w:szCs w:val="24"/>
        </w:rPr>
      </w:pPr>
      <w:r w:rsidRPr="005E3034">
        <w:rPr>
          <w:rFonts w:ascii="Times New Roman" w:hAnsi="Times New Roman" w:cs="Times New Roman"/>
          <w:b/>
          <w:bCs/>
          <w:sz w:val="24"/>
          <w:szCs w:val="24"/>
        </w:rPr>
        <w:lastRenderedPageBreak/>
        <w:t>(A)</w:t>
      </w:r>
      <w:r w:rsidR="008A2CA8" w:rsidRPr="00E816C9">
        <w:rPr>
          <w:rFonts w:ascii="Times New Roman" w:hAnsi="Times New Roman" w:cs="Times New Roman"/>
          <w:sz w:val="24"/>
          <w:szCs w:val="24"/>
        </w:rPr>
        <w:t>Heatmap displaying all differentially expressed genes (DEGs) between 174 GBM samples (red) and 100 normal samples(green) (</w:t>
      </w:r>
      <w:r w:rsidR="004D519C" w:rsidRPr="00E816C9">
        <w:rPr>
          <w:rFonts w:ascii="Times New Roman" w:hAnsi="Times New Roman" w:cs="Times New Roman"/>
          <w:sz w:val="24"/>
          <w:szCs w:val="24"/>
        </w:rPr>
        <w:t xml:space="preserve">p </w:t>
      </w:r>
      <w:r w:rsidR="008A2CA8" w:rsidRPr="00E816C9">
        <w:rPr>
          <w:rFonts w:ascii="Times New Roman" w:hAnsi="Times New Roman" w:cs="Times New Roman"/>
          <w:sz w:val="24"/>
          <w:szCs w:val="24"/>
        </w:rPr>
        <w:t xml:space="preserve">&lt; 0.05, |log2FC| &gt; </w:t>
      </w:r>
      <w:r w:rsidR="008A2CA8" w:rsidRPr="00E816C9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8A2CA8" w:rsidRPr="00E816C9">
        <w:rPr>
          <w:rFonts w:ascii="Times New Roman" w:hAnsi="Times New Roman" w:cs="Times New Roman"/>
          <w:sz w:val="24"/>
          <w:szCs w:val="24"/>
        </w:rPr>
        <w:t>).</w:t>
      </w:r>
      <w:r w:rsidR="0069473B" w:rsidRPr="00E816C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A2CA8" w:rsidRPr="00E816C9">
        <w:rPr>
          <w:rFonts w:ascii="Times New Roman" w:hAnsi="Times New Roman" w:cs="Times New Roman"/>
          <w:b/>
          <w:bCs/>
          <w:sz w:val="24"/>
          <w:szCs w:val="24"/>
        </w:rPr>
        <w:t>(B)</w:t>
      </w:r>
      <w:r w:rsidR="008A2CA8" w:rsidRPr="00E816C9">
        <w:rPr>
          <w:rFonts w:ascii="Times New Roman" w:hAnsi="Times New Roman" w:cs="Times New Roman"/>
          <w:sz w:val="24"/>
          <w:szCs w:val="24"/>
        </w:rPr>
        <w:t xml:space="preserve"> Heatmap displaying immune-related DEGs between 1</w:t>
      </w:r>
      <w:r w:rsidR="007D7BE3" w:rsidRPr="00E816C9">
        <w:rPr>
          <w:rFonts w:ascii="Times New Roman" w:hAnsi="Times New Roman" w:cs="Times New Roman"/>
          <w:sz w:val="24"/>
          <w:szCs w:val="24"/>
        </w:rPr>
        <w:t>69</w:t>
      </w:r>
      <w:r w:rsidR="008A2CA8" w:rsidRPr="00E816C9">
        <w:rPr>
          <w:rFonts w:ascii="Times New Roman" w:hAnsi="Times New Roman" w:cs="Times New Roman"/>
          <w:sz w:val="24"/>
          <w:szCs w:val="24"/>
        </w:rPr>
        <w:t xml:space="preserve"> </w:t>
      </w:r>
      <w:r w:rsidR="007D7BE3" w:rsidRPr="00E816C9">
        <w:rPr>
          <w:rFonts w:ascii="Times New Roman" w:hAnsi="Times New Roman" w:cs="Times New Roman"/>
          <w:sz w:val="24"/>
          <w:szCs w:val="24"/>
        </w:rPr>
        <w:t>GBM</w:t>
      </w:r>
      <w:r w:rsidR="008A2CA8" w:rsidRPr="00E816C9">
        <w:rPr>
          <w:rFonts w:ascii="Times New Roman" w:hAnsi="Times New Roman" w:cs="Times New Roman"/>
          <w:sz w:val="24"/>
          <w:szCs w:val="24"/>
        </w:rPr>
        <w:t xml:space="preserve"> samples (red) and 100 normal samples (green).</w:t>
      </w:r>
      <w:r w:rsidR="0069473B" w:rsidRPr="00E816C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A2CA8" w:rsidRPr="00E816C9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gramStart"/>
      <w:r w:rsidR="0069473B" w:rsidRPr="00E816C9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D11B34" w:rsidRPr="00E816C9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69473B" w:rsidRPr="00E816C9">
        <w:rPr>
          <w:rFonts w:ascii="Times New Roman" w:hAnsi="Times New Roman" w:cs="Times New Roman"/>
          <w:b/>
          <w:bCs/>
          <w:sz w:val="24"/>
          <w:szCs w:val="24"/>
        </w:rPr>
        <w:t>D</w:t>
      </w:r>
      <w:proofErr w:type="gramEnd"/>
      <w:r w:rsidR="008A2CA8" w:rsidRPr="00E816C9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8A2CA8" w:rsidRPr="00E816C9">
        <w:rPr>
          <w:rFonts w:ascii="Times New Roman" w:hAnsi="Times New Roman" w:cs="Times New Roman"/>
          <w:sz w:val="24"/>
          <w:szCs w:val="24"/>
        </w:rPr>
        <w:t xml:space="preserve"> Gene Ontology (GO) enrichment analysis of normal and tumor DEGs (</w:t>
      </w:r>
      <w:r w:rsidR="003A1CEC" w:rsidRPr="00E816C9">
        <w:rPr>
          <w:rFonts w:ascii="Times New Roman" w:hAnsi="Times New Roman" w:cs="Times New Roman" w:hint="eastAsia"/>
          <w:sz w:val="24"/>
          <w:szCs w:val="24"/>
        </w:rPr>
        <w:t>p</w:t>
      </w:r>
      <w:r w:rsidR="008A2CA8" w:rsidRPr="00E816C9">
        <w:rPr>
          <w:rFonts w:ascii="Times New Roman" w:hAnsi="Times New Roman" w:cs="Times New Roman"/>
          <w:sz w:val="24"/>
          <w:szCs w:val="24"/>
        </w:rPr>
        <w:t>&lt; 0.05).</w:t>
      </w:r>
      <w:r w:rsidR="0069473B" w:rsidRPr="00E816C9">
        <w:rPr>
          <w:rFonts w:ascii="Times New Roman" w:hAnsi="Times New Roman" w:cs="Times New Roman"/>
          <w:sz w:val="24"/>
          <w:szCs w:val="24"/>
        </w:rPr>
        <w:t xml:space="preserve"> </w:t>
      </w:r>
      <w:r w:rsidR="008A2CA8" w:rsidRPr="00E816C9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gramStart"/>
      <w:r w:rsidR="0069473B" w:rsidRPr="00E816C9">
        <w:rPr>
          <w:rFonts w:ascii="Times New Roman" w:hAnsi="Times New Roman" w:cs="Times New Roman"/>
          <w:b/>
          <w:bCs/>
          <w:sz w:val="24"/>
          <w:szCs w:val="24"/>
        </w:rPr>
        <w:t>E</w:t>
      </w:r>
      <w:r w:rsidR="00D11B34" w:rsidRPr="00E816C9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8A2CA8" w:rsidRPr="00E816C9">
        <w:rPr>
          <w:rFonts w:ascii="Times New Roman" w:hAnsi="Times New Roman" w:cs="Times New Roman"/>
          <w:b/>
          <w:bCs/>
          <w:sz w:val="24"/>
          <w:szCs w:val="24"/>
        </w:rPr>
        <w:t>F</w:t>
      </w:r>
      <w:proofErr w:type="gramEnd"/>
      <w:r w:rsidR="008A2CA8" w:rsidRPr="00E816C9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8A2CA8" w:rsidRPr="00E816C9">
        <w:rPr>
          <w:rFonts w:ascii="Times New Roman" w:hAnsi="Times New Roman" w:cs="Times New Roman"/>
          <w:sz w:val="24"/>
          <w:szCs w:val="24"/>
        </w:rPr>
        <w:t xml:space="preserve"> Kyoto Encyclopedia of Genes and Genomes (KEGG) pathway analysis of normal and tumor DEGs (</w:t>
      </w:r>
      <w:r w:rsidR="004D519C" w:rsidRPr="00E816C9">
        <w:rPr>
          <w:rFonts w:ascii="Times New Roman" w:hAnsi="Times New Roman" w:cs="Times New Roman"/>
          <w:sz w:val="24"/>
          <w:szCs w:val="24"/>
        </w:rPr>
        <w:t>p</w:t>
      </w:r>
      <w:r w:rsidR="006C47D2" w:rsidRPr="00E816C9">
        <w:rPr>
          <w:rFonts w:ascii="Times New Roman" w:hAnsi="Times New Roman" w:cs="Times New Roman"/>
          <w:sz w:val="24"/>
          <w:szCs w:val="24"/>
        </w:rPr>
        <w:t xml:space="preserve"> </w:t>
      </w:r>
      <w:r w:rsidR="00BE4A9C" w:rsidRPr="00E816C9">
        <w:rPr>
          <w:rFonts w:ascii="Times New Roman" w:hAnsi="Times New Roman" w:cs="Times New Roman"/>
          <w:sz w:val="24"/>
          <w:szCs w:val="24"/>
        </w:rPr>
        <w:t xml:space="preserve">&lt; </w:t>
      </w:r>
      <w:r w:rsidR="008A2CA8" w:rsidRPr="00E816C9">
        <w:rPr>
          <w:rFonts w:ascii="Times New Roman" w:hAnsi="Times New Roman" w:cs="Times New Roman"/>
          <w:sz w:val="24"/>
          <w:szCs w:val="24"/>
        </w:rPr>
        <w:t>0.05).</w:t>
      </w:r>
      <w:bookmarkStart w:id="0" w:name="_Hlk69801820"/>
    </w:p>
    <w:p w14:paraId="48EC4DAE" w14:textId="341E0AB2" w:rsidR="004C3403" w:rsidRDefault="00C92390" w:rsidP="00C92390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F8D2C9F" w14:textId="6E196276" w:rsidR="00DD7C17" w:rsidRDefault="00DD7C17" w:rsidP="00C92390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CE9615F" wp14:editId="67CE3D7A">
            <wp:extent cx="6083304" cy="88836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888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E3E11" w14:textId="1C510260" w:rsidR="00DD7C17" w:rsidRPr="00DD7C17" w:rsidRDefault="00DD7C17" w:rsidP="00DD7C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7C1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Figure </w:t>
      </w:r>
      <w:r w:rsidR="00A370E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S2</w:t>
      </w:r>
      <w:r w:rsidRPr="00DD7C1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r w:rsidRPr="00DD7C17">
        <w:rPr>
          <w:rFonts w:ascii="Times New Roman" w:hAnsi="Times New Roman" w:cs="Times New Roman"/>
          <w:color w:val="000000" w:themeColor="text1"/>
          <w:sz w:val="24"/>
          <w:szCs w:val="24"/>
        </w:rPr>
        <w:t>Construction of IRPM.</w:t>
      </w:r>
    </w:p>
    <w:p w14:paraId="5EE32D58" w14:textId="3FEBA7F1" w:rsidR="00BC6429" w:rsidRDefault="00DD7C17" w:rsidP="00DD7C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7C1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(A)</w:t>
      </w:r>
      <w:r w:rsidRPr="00DD7C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Analysis of 28 hub genes for GBM in TCGA by univariate Cox regression. </w:t>
      </w:r>
      <w:r w:rsidRPr="00DD7C1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(B) </w:t>
      </w:r>
      <w:r w:rsidRPr="00DD7C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Ten-time cross-validation for tuning parameter selection in the TCGA cohort. </w:t>
      </w:r>
      <w:r w:rsidRPr="00DD7C1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(C)</w:t>
      </w:r>
      <w:r w:rsidRPr="00DD7C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regression coefficient of identified 3 key genes in the TCGA cohort. </w:t>
      </w:r>
      <w:bookmarkStart w:id="1" w:name="_Hlk64624794"/>
      <w:r w:rsidRPr="00DD7C1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(D, E)</w:t>
      </w:r>
      <w:r w:rsidRPr="00DD7C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K-M curves displaying the overall survival (OS) of GBM and classical type GBM patients based on the median cutoff value.</w:t>
      </w:r>
      <w:r w:rsidRPr="00DD7C1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bookmarkEnd w:id="1"/>
      <w:r w:rsidRPr="00DD7C1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(F, G)</w:t>
      </w:r>
      <w:r w:rsidRPr="00DD7C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ROC curves with calculated AUCs for survival prediction in 3 and 5 years in the TCGA-GBM cohort. </w:t>
      </w:r>
      <w:r w:rsidRPr="00DD7C1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(H, I)</w:t>
      </w:r>
      <w:r w:rsidRPr="00DD7C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verified prognostic model with two CGGA databases. </w:t>
      </w:r>
      <w:r w:rsidRPr="00DD7C1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(J-M)</w:t>
      </w:r>
      <w:r w:rsidRPr="00DD7C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ROC curves with calculated AUCs for risk prediction in 3 year and 5 </w:t>
      </w:r>
      <w:proofErr w:type="gramStart"/>
      <w:r w:rsidRPr="00DD7C17">
        <w:rPr>
          <w:rFonts w:ascii="Times New Roman" w:hAnsi="Times New Roman" w:cs="Times New Roman"/>
          <w:color w:val="000000" w:themeColor="text1"/>
          <w:sz w:val="24"/>
          <w:szCs w:val="24"/>
        </w:rPr>
        <w:t>year</w:t>
      </w:r>
      <w:proofErr w:type="gramEnd"/>
      <w:r w:rsidRPr="00DD7C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the two CGGA-GBM cohorts. MC, molecular type;</w:t>
      </w:r>
    </w:p>
    <w:p w14:paraId="4E9694FA" w14:textId="77777777" w:rsidR="00BC6429" w:rsidRDefault="00BC6429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1689CF8A" w14:textId="16BC0D02" w:rsidR="00DD7C17" w:rsidRDefault="00BC6429" w:rsidP="00DD7C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95CC4CB" wp14:editId="72A109F4">
            <wp:extent cx="6464300" cy="48450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484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BBC80" w14:textId="0B515346" w:rsidR="00BC6429" w:rsidRDefault="00DD299D" w:rsidP="00DD7C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299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S3.</w:t>
      </w:r>
      <w:r w:rsidRPr="00DD29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C6429" w:rsidRPr="00DD299D">
        <w:rPr>
          <w:rFonts w:ascii="Times New Roman" w:hAnsi="Times New Roman" w:cs="Times New Roman"/>
          <w:color w:val="000000" w:themeColor="text1"/>
          <w:sz w:val="24"/>
          <w:szCs w:val="24"/>
        </w:rPr>
        <w:t>The distribution of IDH mutation and recurrence in TCGA and CGGA cohorts.</w:t>
      </w:r>
    </w:p>
    <w:p w14:paraId="49F45BF4" w14:textId="5ED9101F" w:rsidR="006655BD" w:rsidRDefault="006655BD" w:rsidP="00DD7C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55BD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(</w:t>
      </w:r>
      <w:r w:rsidRPr="006655B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A)</w:t>
      </w:r>
      <w:r w:rsidR="00E04025" w:rsidRPr="00E040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04025" w:rsidRPr="00DD299D">
        <w:rPr>
          <w:rFonts w:ascii="Times New Roman" w:hAnsi="Times New Roman" w:cs="Times New Roman"/>
          <w:color w:val="000000" w:themeColor="text1"/>
          <w:sz w:val="24"/>
          <w:szCs w:val="24"/>
        </w:rPr>
        <w:t>The distribution of IDH mutation</w:t>
      </w:r>
      <w:r w:rsidR="00E040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TCGA cohort.</w:t>
      </w:r>
    </w:p>
    <w:p w14:paraId="14EACFFD" w14:textId="713079E2" w:rsidR="00E04025" w:rsidRDefault="00E04025" w:rsidP="00DD7C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04025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(</w:t>
      </w:r>
      <w:r w:rsidRPr="00E0402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B)</w:t>
      </w:r>
      <w:r w:rsidRPr="00E040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D299D">
        <w:rPr>
          <w:rFonts w:ascii="Times New Roman" w:hAnsi="Times New Roman" w:cs="Times New Roman"/>
          <w:color w:val="000000" w:themeColor="text1"/>
          <w:sz w:val="24"/>
          <w:szCs w:val="24"/>
        </w:rPr>
        <w:t>The distribution of</w:t>
      </w:r>
      <w:r w:rsidRPr="00E040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D299D">
        <w:rPr>
          <w:rFonts w:ascii="Times New Roman" w:hAnsi="Times New Roman" w:cs="Times New Roman"/>
          <w:color w:val="000000" w:themeColor="text1"/>
          <w:sz w:val="24"/>
          <w:szCs w:val="24"/>
        </w:rPr>
        <w:t>recurrence</w:t>
      </w:r>
      <w:r w:rsidRPr="00E040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in TCGA cohort.</w:t>
      </w:r>
    </w:p>
    <w:p w14:paraId="6F096867" w14:textId="6BC0CF2E" w:rsidR="00E04025" w:rsidRDefault="00E04025" w:rsidP="00E0402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04025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4"/>
        </w:rPr>
        <w:t>(</w:t>
      </w:r>
      <w:r w:rsidRPr="00E0402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C)</w:t>
      </w:r>
      <w:r w:rsidRPr="00E040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D299D">
        <w:rPr>
          <w:rFonts w:ascii="Times New Roman" w:hAnsi="Times New Roman" w:cs="Times New Roman"/>
          <w:color w:val="000000" w:themeColor="text1"/>
          <w:sz w:val="24"/>
          <w:szCs w:val="24"/>
        </w:rPr>
        <w:t>The distribution of IDH mutation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CGGA cohort.</w:t>
      </w:r>
    </w:p>
    <w:p w14:paraId="6076C22C" w14:textId="3F589871" w:rsidR="00FB547E" w:rsidRDefault="00E04025" w:rsidP="00DD7C1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(D)</w:t>
      </w:r>
      <w:r w:rsidRPr="00E040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D299D">
        <w:rPr>
          <w:rFonts w:ascii="Times New Roman" w:hAnsi="Times New Roman" w:cs="Times New Roman"/>
          <w:color w:val="000000" w:themeColor="text1"/>
          <w:sz w:val="24"/>
          <w:szCs w:val="24"/>
        </w:rPr>
        <w:t>The distribution of</w:t>
      </w:r>
      <w:r w:rsidRPr="00E040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D299D">
        <w:rPr>
          <w:rFonts w:ascii="Times New Roman" w:hAnsi="Times New Roman" w:cs="Times New Roman"/>
          <w:color w:val="000000" w:themeColor="text1"/>
          <w:sz w:val="24"/>
          <w:szCs w:val="24"/>
        </w:rPr>
        <w:t>recurrence</w:t>
      </w:r>
      <w:r w:rsidRPr="00E0402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in CGGA cohort.</w:t>
      </w:r>
    </w:p>
    <w:p w14:paraId="60C34C72" w14:textId="76149BB6" w:rsidR="00E04025" w:rsidRPr="00FB547E" w:rsidRDefault="00FB547E" w:rsidP="00FB547E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bookmarkEnd w:id="0"/>
    <w:p w14:paraId="4582C565" w14:textId="357466C5" w:rsidR="008A2CA8" w:rsidRDefault="00591637" w:rsidP="008A2CA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1209292" wp14:editId="4C3AE42C">
            <wp:extent cx="4936752" cy="84582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577" cy="849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1E0EF" w14:textId="1D20B175" w:rsidR="00D50B8D" w:rsidRPr="00FE4305" w:rsidRDefault="008A2CA8" w:rsidP="00705815">
      <w:pPr>
        <w:rPr>
          <w:rFonts w:ascii="Times New Roman" w:hAnsi="Times New Roman" w:cs="Times New Roman"/>
          <w:sz w:val="24"/>
          <w:szCs w:val="24"/>
        </w:rPr>
      </w:pPr>
      <w:r w:rsidRPr="00A42BC7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4631E0">
        <w:rPr>
          <w:rFonts w:ascii="Times New Roman" w:hAnsi="Times New Roman" w:cs="Times New Roman"/>
          <w:b/>
          <w:bCs/>
          <w:sz w:val="24"/>
          <w:szCs w:val="24"/>
        </w:rPr>
        <w:t xml:space="preserve">ure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5570AD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A42BC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E4305">
        <w:rPr>
          <w:rFonts w:ascii="Times New Roman" w:hAnsi="Times New Roman" w:cs="Times New Roman"/>
          <w:sz w:val="24"/>
          <w:szCs w:val="24"/>
        </w:rPr>
        <w:t>Pan-cancer analysis of hub genes.</w:t>
      </w:r>
    </w:p>
    <w:p w14:paraId="29F6E8FB" w14:textId="2D573659" w:rsidR="00BA146D" w:rsidRDefault="008A2CA8" w:rsidP="00FB547E">
      <w:pPr>
        <w:rPr>
          <w:rFonts w:ascii="Times New Roman" w:hAnsi="Times New Roman" w:cs="Times New Roman"/>
          <w:sz w:val="24"/>
          <w:szCs w:val="24"/>
        </w:rPr>
      </w:pPr>
      <w:r w:rsidRPr="002770FA">
        <w:rPr>
          <w:rFonts w:ascii="Times New Roman" w:hAnsi="Times New Roman" w:cs="Times New Roman"/>
          <w:b/>
          <w:bCs/>
          <w:sz w:val="24"/>
          <w:szCs w:val="24"/>
        </w:rPr>
        <w:t>(A)</w:t>
      </w:r>
      <w:r w:rsidRPr="00A42BC7">
        <w:rPr>
          <w:rFonts w:ascii="Times New Roman" w:hAnsi="Times New Roman" w:cs="Times New Roman"/>
          <w:sz w:val="24"/>
          <w:szCs w:val="24"/>
        </w:rPr>
        <w:t xml:space="preserve"> Pan-cancer expression of </w:t>
      </w:r>
      <w:r w:rsidR="00B65268" w:rsidRPr="003E76DB">
        <w:rPr>
          <w:rFonts w:ascii="Times New Roman" w:hAnsi="Times New Roman" w:cs="Times New Roman"/>
          <w:i/>
          <w:iCs/>
          <w:sz w:val="24"/>
          <w:szCs w:val="24"/>
        </w:rPr>
        <w:t>IL1R1</w:t>
      </w:r>
      <w:r w:rsidRPr="00A42BC7">
        <w:rPr>
          <w:rFonts w:ascii="Times New Roman" w:hAnsi="Times New Roman" w:cs="Times New Roman"/>
          <w:sz w:val="24"/>
          <w:szCs w:val="24"/>
        </w:rPr>
        <w:t xml:space="preserve"> genes.</w:t>
      </w:r>
      <w:r w:rsidR="007B5885">
        <w:rPr>
          <w:rFonts w:ascii="Times New Roman" w:hAnsi="Times New Roman" w:cs="Times New Roman"/>
          <w:sz w:val="24"/>
          <w:szCs w:val="24"/>
        </w:rPr>
        <w:t xml:space="preserve"> </w:t>
      </w:r>
      <w:r w:rsidR="00B65268" w:rsidRPr="002770FA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B65268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B65268" w:rsidRPr="002770FA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B6526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65268" w:rsidRPr="00A42BC7">
        <w:rPr>
          <w:rFonts w:ascii="Times New Roman" w:hAnsi="Times New Roman" w:cs="Times New Roman"/>
          <w:sz w:val="24"/>
          <w:szCs w:val="24"/>
        </w:rPr>
        <w:t xml:space="preserve">Pan-cancer expression of </w:t>
      </w:r>
      <w:r w:rsidR="00B65268" w:rsidRPr="003E76DB">
        <w:rPr>
          <w:rFonts w:ascii="Times New Roman" w:hAnsi="Times New Roman" w:cs="Times New Roman"/>
          <w:i/>
          <w:iCs/>
          <w:sz w:val="24"/>
          <w:szCs w:val="24"/>
        </w:rPr>
        <w:t>TNFSF12</w:t>
      </w:r>
      <w:r w:rsidR="00B65268" w:rsidRPr="00A42BC7">
        <w:rPr>
          <w:rFonts w:ascii="Times New Roman" w:hAnsi="Times New Roman" w:cs="Times New Roman"/>
          <w:sz w:val="24"/>
          <w:szCs w:val="24"/>
        </w:rPr>
        <w:t xml:space="preserve"> genes.</w:t>
      </w:r>
      <w:r w:rsidR="007B5885">
        <w:rPr>
          <w:rFonts w:ascii="Times New Roman" w:hAnsi="Times New Roman" w:cs="Times New Roman"/>
          <w:sz w:val="24"/>
          <w:szCs w:val="24"/>
        </w:rPr>
        <w:t xml:space="preserve"> </w:t>
      </w:r>
      <w:r w:rsidR="00B65268" w:rsidRPr="00B65268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69473B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B65268" w:rsidRPr="00B65268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="00B65268" w:rsidRPr="00B65268">
        <w:rPr>
          <w:rFonts w:ascii="Times New Roman" w:hAnsi="Times New Roman" w:cs="Times New Roman"/>
          <w:sz w:val="24"/>
          <w:szCs w:val="24"/>
        </w:rPr>
        <w:t xml:space="preserve">Pan-cancer expression of </w:t>
      </w:r>
      <w:r w:rsidR="00B65268" w:rsidRPr="003B3E01">
        <w:rPr>
          <w:rFonts w:ascii="Times New Roman" w:hAnsi="Times New Roman" w:cs="Times New Roman"/>
          <w:i/>
          <w:iCs/>
          <w:sz w:val="24"/>
          <w:szCs w:val="24"/>
        </w:rPr>
        <w:t>VDR</w:t>
      </w:r>
      <w:r w:rsidR="00B65268" w:rsidRPr="00B65268">
        <w:rPr>
          <w:rFonts w:ascii="Times New Roman" w:hAnsi="Times New Roman" w:cs="Times New Roman"/>
          <w:sz w:val="24"/>
          <w:szCs w:val="24"/>
        </w:rPr>
        <w:t xml:space="preserve"> genes.</w:t>
      </w:r>
      <w:r w:rsidR="00FB547E">
        <w:rPr>
          <w:rFonts w:ascii="Times New Roman" w:hAnsi="Times New Roman" w:cs="Times New Roman"/>
          <w:sz w:val="24"/>
          <w:szCs w:val="24"/>
        </w:rPr>
        <w:br w:type="page"/>
      </w:r>
    </w:p>
    <w:p w14:paraId="13A6113B" w14:textId="3465BCBB" w:rsidR="00423704" w:rsidRDefault="00591637" w:rsidP="005C48FA">
      <w:pPr>
        <w:widowControl/>
        <w:jc w:val="left"/>
        <w:rPr>
          <w:b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242CCAE0" wp14:editId="56FC3E78">
            <wp:extent cx="5759241" cy="761238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833" cy="761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FE484" w14:textId="1E27483A" w:rsidR="00423704" w:rsidRPr="00FE4305" w:rsidRDefault="00423704" w:rsidP="00705815">
      <w:pPr>
        <w:rPr>
          <w:rFonts w:ascii="Times New Roman" w:hAnsi="Times New Roman" w:cs="Times New Roman"/>
          <w:sz w:val="24"/>
          <w:szCs w:val="24"/>
        </w:rPr>
      </w:pPr>
      <w:r w:rsidRPr="00A42BC7">
        <w:rPr>
          <w:rFonts w:ascii="Times New Roman" w:hAnsi="Times New Roman" w:cs="Times New Roman"/>
          <w:b/>
          <w:bCs/>
          <w:sz w:val="24"/>
          <w:szCs w:val="24"/>
        </w:rPr>
        <w:t>Fig</w:t>
      </w:r>
      <w:r w:rsidR="004631E0">
        <w:rPr>
          <w:rFonts w:ascii="Times New Roman" w:hAnsi="Times New Roman" w:cs="Times New Roman"/>
          <w:b/>
          <w:bCs/>
          <w:sz w:val="24"/>
          <w:szCs w:val="24"/>
        </w:rPr>
        <w:t xml:space="preserve">ure </w:t>
      </w: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CA3786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E4305">
        <w:rPr>
          <w:rFonts w:ascii="Times New Roman" w:hAnsi="Times New Roman" w:cs="Times New Roman"/>
          <w:sz w:val="24"/>
          <w:szCs w:val="24"/>
        </w:rPr>
        <w:t xml:space="preserve"> TMB, MIS of</w:t>
      </w:r>
      <w:r w:rsidRPr="00FE4305">
        <w:t xml:space="preserve"> </w:t>
      </w:r>
      <w:r w:rsidRPr="00FE4305">
        <w:rPr>
          <w:rFonts w:ascii="Times New Roman" w:hAnsi="Times New Roman" w:cs="Times New Roman"/>
          <w:sz w:val="24"/>
          <w:szCs w:val="24"/>
        </w:rPr>
        <w:t>pan-cancer analysis of hub genes.</w:t>
      </w:r>
    </w:p>
    <w:p w14:paraId="2185E177" w14:textId="05CCC03D" w:rsidR="00591637" w:rsidRPr="00FB547E" w:rsidRDefault="000631A7" w:rsidP="00FB547E">
      <w:pPr>
        <w:pStyle w:val="a7"/>
        <w:ind w:firstLineChars="0" w:firstLine="0"/>
        <w:rPr>
          <w:bCs/>
          <w:color w:val="000000" w:themeColor="text1"/>
        </w:rPr>
      </w:pPr>
      <w:r w:rsidRPr="000631A7">
        <w:rPr>
          <w:b/>
          <w:color w:val="000000" w:themeColor="text1"/>
        </w:rPr>
        <w:t>(</w:t>
      </w:r>
      <w:r>
        <w:rPr>
          <w:b/>
          <w:color w:val="000000" w:themeColor="text1"/>
        </w:rPr>
        <w:t>A-C</w:t>
      </w:r>
      <w:r w:rsidRPr="000631A7">
        <w:rPr>
          <w:b/>
          <w:color w:val="000000" w:themeColor="text1"/>
        </w:rPr>
        <w:t xml:space="preserve">) </w:t>
      </w:r>
      <w:r w:rsidRPr="000631A7">
        <w:rPr>
          <w:bCs/>
          <w:color w:val="000000" w:themeColor="text1"/>
        </w:rPr>
        <w:t xml:space="preserve">Radar chart of the correlation between hub genes and </w:t>
      </w:r>
      <w:r w:rsidR="007D3CB3">
        <w:rPr>
          <w:bCs/>
          <w:color w:val="000000" w:themeColor="text1"/>
        </w:rPr>
        <w:t>TMB</w:t>
      </w:r>
      <w:r w:rsidRPr="000631A7">
        <w:rPr>
          <w:bCs/>
          <w:color w:val="000000" w:themeColor="text1"/>
        </w:rPr>
        <w:t>.</w:t>
      </w:r>
      <w:r w:rsidR="007B5885">
        <w:rPr>
          <w:bCs/>
          <w:color w:val="000000" w:themeColor="text1"/>
        </w:rPr>
        <w:t xml:space="preserve"> </w:t>
      </w:r>
      <w:r w:rsidRPr="000631A7">
        <w:rPr>
          <w:b/>
          <w:color w:val="000000" w:themeColor="text1"/>
        </w:rPr>
        <w:t>(</w:t>
      </w:r>
      <w:r>
        <w:rPr>
          <w:b/>
          <w:color w:val="000000" w:themeColor="text1"/>
        </w:rPr>
        <w:t>D-</w:t>
      </w:r>
      <w:r w:rsidR="007555DD">
        <w:rPr>
          <w:b/>
          <w:color w:val="000000" w:themeColor="text1"/>
        </w:rPr>
        <w:t>F</w:t>
      </w:r>
      <w:r w:rsidRPr="000631A7">
        <w:rPr>
          <w:b/>
          <w:color w:val="000000" w:themeColor="text1"/>
        </w:rPr>
        <w:t xml:space="preserve">) </w:t>
      </w:r>
      <w:r w:rsidRPr="000631A7">
        <w:rPr>
          <w:bCs/>
          <w:color w:val="000000" w:themeColor="text1"/>
        </w:rPr>
        <w:t xml:space="preserve">Radar chart of the correlation between hub genes and </w:t>
      </w:r>
      <w:r w:rsidR="007D3CB3">
        <w:rPr>
          <w:bCs/>
          <w:color w:val="000000" w:themeColor="text1"/>
        </w:rPr>
        <w:t>MSI</w:t>
      </w:r>
      <w:r w:rsidRPr="000631A7">
        <w:rPr>
          <w:bCs/>
          <w:color w:val="000000" w:themeColor="text1"/>
        </w:rPr>
        <w:t>.</w:t>
      </w:r>
      <w:r w:rsidR="00306AE4" w:rsidRPr="00306AE4">
        <w:t xml:space="preserve"> </w:t>
      </w:r>
      <w:r w:rsidR="00306AE4" w:rsidRPr="00306AE4">
        <w:rPr>
          <w:bCs/>
          <w:color w:val="000000" w:themeColor="text1"/>
        </w:rPr>
        <w:t>The asterisks represented the statistical P-value (</w:t>
      </w:r>
      <w:r w:rsidR="00306AE4" w:rsidRPr="00306AE4">
        <w:rPr>
          <w:rFonts w:ascii="MS Gothic" w:eastAsia="MS Gothic" w:hAnsi="MS Gothic" w:cs="MS Gothic" w:hint="eastAsia"/>
          <w:bCs/>
          <w:color w:val="000000" w:themeColor="text1"/>
        </w:rPr>
        <w:t>∗</w:t>
      </w:r>
      <w:r w:rsidR="002E20AC">
        <w:rPr>
          <w:bCs/>
          <w:color w:val="000000" w:themeColor="text1"/>
        </w:rPr>
        <w:t>p</w:t>
      </w:r>
      <w:r w:rsidR="00306AE4" w:rsidRPr="00306AE4">
        <w:rPr>
          <w:bCs/>
          <w:color w:val="000000" w:themeColor="text1"/>
        </w:rPr>
        <w:t xml:space="preserve"> &lt;0.05;</w:t>
      </w:r>
      <w:r w:rsidR="00306AE4" w:rsidRPr="00306AE4">
        <w:rPr>
          <w:rFonts w:ascii="MS Gothic" w:eastAsia="MS Gothic" w:hAnsi="MS Gothic" w:cs="MS Gothic" w:hint="eastAsia"/>
          <w:bCs/>
          <w:color w:val="000000" w:themeColor="text1"/>
        </w:rPr>
        <w:t>∗∗</w:t>
      </w:r>
      <w:r w:rsidR="002E20AC">
        <w:rPr>
          <w:bCs/>
          <w:color w:val="000000" w:themeColor="text1"/>
        </w:rPr>
        <w:t>p</w:t>
      </w:r>
      <w:r w:rsidR="00306AE4" w:rsidRPr="00306AE4">
        <w:rPr>
          <w:bCs/>
          <w:color w:val="000000" w:themeColor="text1"/>
        </w:rPr>
        <w:t xml:space="preserve"> &lt;0.01;</w:t>
      </w:r>
      <w:r w:rsidR="00306AE4" w:rsidRPr="00306AE4">
        <w:rPr>
          <w:rFonts w:ascii="MS Gothic" w:eastAsia="MS Gothic" w:hAnsi="MS Gothic" w:cs="MS Gothic" w:hint="eastAsia"/>
          <w:bCs/>
          <w:color w:val="000000" w:themeColor="text1"/>
        </w:rPr>
        <w:t>∗∗∗</w:t>
      </w:r>
      <w:r w:rsidR="002E20AC">
        <w:rPr>
          <w:bCs/>
          <w:color w:val="000000" w:themeColor="text1"/>
        </w:rPr>
        <w:t>p</w:t>
      </w:r>
      <w:r w:rsidR="00306AE4" w:rsidRPr="00306AE4">
        <w:rPr>
          <w:bCs/>
          <w:color w:val="000000" w:themeColor="text1"/>
        </w:rPr>
        <w:t xml:space="preserve"> &lt;0.001).</w:t>
      </w:r>
    </w:p>
    <w:p w14:paraId="6E773800" w14:textId="60C52352" w:rsidR="00F924B8" w:rsidRDefault="00F924B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9580504" w14:textId="10C3BE08" w:rsidR="00591637" w:rsidRDefault="00F924B8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A094FD8" wp14:editId="60F37438">
            <wp:extent cx="6645910" cy="74758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47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A14A8" w14:textId="7C586B62" w:rsidR="00F924B8" w:rsidRPr="00F924B8" w:rsidRDefault="00F924B8" w:rsidP="00F924B8">
      <w:pPr>
        <w:rPr>
          <w:rFonts w:ascii="Times New Roman" w:hAnsi="Times New Roman" w:cs="Times New Roman"/>
          <w:sz w:val="24"/>
          <w:szCs w:val="24"/>
        </w:rPr>
      </w:pPr>
      <w:r w:rsidRPr="00F924B8">
        <w:rPr>
          <w:rFonts w:ascii="Times New Roman" w:hAnsi="Times New Roman" w:cs="Times New Roman"/>
          <w:b/>
          <w:bCs/>
          <w:sz w:val="24"/>
          <w:szCs w:val="24"/>
        </w:rPr>
        <w:t>Figure S6.</w:t>
      </w:r>
      <w:r w:rsidRPr="00F924B8">
        <w:rPr>
          <w:rFonts w:ascii="Times New Roman" w:hAnsi="Times New Roman" w:cs="Times New Roman"/>
          <w:sz w:val="24"/>
          <w:szCs w:val="24"/>
        </w:rPr>
        <w:t xml:space="preserve"> Immune infiltration analysis of IRPM in CCGA.</w:t>
      </w:r>
    </w:p>
    <w:p w14:paraId="18F6D3F2" w14:textId="61AB0DF7" w:rsidR="008329F3" w:rsidRDefault="00F924B8" w:rsidP="00F924B8">
      <w:pPr>
        <w:rPr>
          <w:rFonts w:ascii="Times New Roman" w:hAnsi="Times New Roman" w:cs="Times New Roman"/>
          <w:sz w:val="24"/>
          <w:szCs w:val="24"/>
        </w:rPr>
      </w:pPr>
      <w:r w:rsidRPr="00F924B8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gramStart"/>
      <w:r w:rsidRPr="00F924B8">
        <w:rPr>
          <w:rFonts w:ascii="Times New Roman" w:hAnsi="Times New Roman" w:cs="Times New Roman"/>
          <w:b/>
          <w:bCs/>
          <w:sz w:val="24"/>
          <w:szCs w:val="24"/>
        </w:rPr>
        <w:t>A,B</w:t>
      </w:r>
      <w:proofErr w:type="gramEnd"/>
      <w:r w:rsidRPr="00F924B8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F924B8">
        <w:rPr>
          <w:rFonts w:ascii="Times New Roman" w:hAnsi="Times New Roman" w:cs="Times New Roman"/>
          <w:sz w:val="24"/>
          <w:szCs w:val="24"/>
        </w:rPr>
        <w:t xml:space="preserve"> The heatmap analysis of 22 immune cell divisions in TCGA and CGGA cohorts. </w:t>
      </w:r>
      <w:r w:rsidRPr="00F924B8">
        <w:rPr>
          <w:rFonts w:ascii="Times New Roman" w:hAnsi="Times New Roman" w:cs="Times New Roman"/>
          <w:b/>
          <w:bCs/>
          <w:sz w:val="24"/>
          <w:szCs w:val="24"/>
        </w:rPr>
        <w:t>(C-E)</w:t>
      </w:r>
      <w:r w:rsidRPr="00F924B8">
        <w:rPr>
          <w:rFonts w:ascii="Times New Roman" w:hAnsi="Times New Roman" w:cs="Times New Roman"/>
          <w:sz w:val="24"/>
          <w:szCs w:val="24"/>
        </w:rPr>
        <w:t xml:space="preserve"> Quantitative analysis of the enrichment fraction of 22 immune cells, immune checkpoints, and immune-related pathways in two groups. </w:t>
      </w:r>
      <w:r w:rsidRPr="00915CAE">
        <w:rPr>
          <w:rFonts w:ascii="Times New Roman" w:hAnsi="Times New Roman" w:cs="Times New Roman"/>
          <w:b/>
          <w:bCs/>
          <w:sz w:val="24"/>
          <w:szCs w:val="24"/>
        </w:rPr>
        <w:t>(F)</w:t>
      </w:r>
      <w:r w:rsidRPr="00F924B8">
        <w:rPr>
          <w:rFonts w:ascii="Times New Roman" w:hAnsi="Times New Roman" w:cs="Times New Roman"/>
          <w:sz w:val="24"/>
          <w:szCs w:val="24"/>
        </w:rPr>
        <w:t xml:space="preserve"> The proportion of six pan-cancer immune types in two groups in TCGA cohort.</w:t>
      </w:r>
    </w:p>
    <w:p w14:paraId="7A43ACD2" w14:textId="77777777" w:rsidR="008329F3" w:rsidRDefault="008329F3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D0B9DA2" w14:textId="15A324A5" w:rsidR="00FC758C" w:rsidRDefault="008329F3" w:rsidP="00F924B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D03288B" wp14:editId="29C9C7F9">
            <wp:extent cx="6265795" cy="7829550"/>
            <wp:effectExtent l="0" t="0" r="19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538" cy="783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C17FD" w14:textId="3588B376" w:rsidR="008D0F5C" w:rsidRPr="008D0F5C" w:rsidRDefault="008D0F5C" w:rsidP="008D0F5C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D0F5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Figure </w:t>
      </w:r>
      <w:r w:rsidR="00EF69B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S7</w:t>
      </w:r>
      <w:r w:rsidRPr="008D0F5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8D0F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correlation of high and low-risk groups with TIDE and TIS scores.</w:t>
      </w:r>
    </w:p>
    <w:p w14:paraId="29411636" w14:textId="690BD61B" w:rsidR="007E606C" w:rsidRDefault="008D0F5C" w:rsidP="008D0F5C">
      <w:pPr>
        <w:widowControl/>
        <w:jc w:val="left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A23637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t>(</w:t>
      </w:r>
      <w:proofErr w:type="gramStart"/>
      <w:r w:rsidRPr="00A23637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t>A,B</w:t>
      </w:r>
      <w:proofErr w:type="gramEnd"/>
      <w:r w:rsidRPr="00A23637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t xml:space="preserve">) </w:t>
      </w:r>
      <w:r w:rsidRPr="008D0F5C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ROC analysis of IRPM, TIS, and TIDE for overall survival at 1 year and 3 year follow-up in TCGA GBM cohort. </w:t>
      </w:r>
      <w:r w:rsidRPr="00A23637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t>(C)</w:t>
      </w:r>
      <w:r w:rsidRPr="008D0F5C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</w:t>
      </w:r>
      <w:bookmarkStart w:id="2" w:name="_Hlk71462979"/>
      <w:r w:rsidRPr="008D0F5C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The percentage of patients in the GSE78220 cohort with clinical response in high-risk and low-risk groups</w:t>
      </w:r>
      <w:bookmarkEnd w:id="2"/>
      <w:r w:rsidRPr="008D0F5C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.</w:t>
      </w:r>
      <w:r w:rsidRPr="008D0F5C"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  <w:t xml:space="preserve"> (D) </w:t>
      </w:r>
      <w:r w:rsidRPr="008D0F5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Distinction in the risk between the </w:t>
      </w:r>
      <w:r w:rsidRPr="008D0F5C">
        <w:rPr>
          <w:rFonts w:ascii="Times New Roman" w:eastAsia="宋体" w:hAnsi="Times New Roman" w:cs="Times New Roman"/>
          <w:bCs/>
          <w:i/>
          <w:iCs/>
          <w:color w:val="000000" w:themeColor="text1"/>
          <w:sz w:val="24"/>
          <w:szCs w:val="24"/>
        </w:rPr>
        <w:t>BRCA2</w:t>
      </w:r>
      <w:r w:rsidRPr="008D0F5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mutant and </w:t>
      </w:r>
      <w:r w:rsidRPr="008D0F5C">
        <w:rPr>
          <w:rFonts w:ascii="Times New Roman" w:eastAsia="宋体" w:hAnsi="Times New Roman" w:cs="Times New Roman"/>
          <w:bCs/>
          <w:i/>
          <w:iCs/>
          <w:color w:val="000000" w:themeColor="text1"/>
          <w:sz w:val="24"/>
          <w:szCs w:val="24"/>
        </w:rPr>
        <w:t>BRCA2</w:t>
      </w:r>
      <w:r w:rsidRPr="008D0F5C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wild type.</w:t>
      </w:r>
      <w:r w:rsidRPr="008D0F5C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</w:t>
      </w:r>
      <w:r w:rsidRPr="008D0F5C">
        <w:rPr>
          <w:rFonts w:ascii="Times New Roman" w:eastAsia="宋体" w:hAnsi="Times New Roman" w:cs="Times New Roman"/>
          <w:b/>
          <w:color w:val="000000" w:themeColor="text1"/>
          <w:sz w:val="24"/>
          <w:szCs w:val="24"/>
        </w:rPr>
        <w:t xml:space="preserve">(E) </w:t>
      </w:r>
      <w:r w:rsidRPr="008D0F5C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Survival </w:t>
      </w:r>
      <w:r w:rsidRPr="00985BAB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analyses for the both groups using Kaplan–Meier analysis with the log-rank test. </w:t>
      </w:r>
      <w:r w:rsidRPr="00985BAB">
        <w:rPr>
          <w:rFonts w:ascii="Times New Roman" w:eastAsia="宋体" w:hAnsi="Times New Roman" w:cs="Times New Roman"/>
          <w:b/>
          <w:bCs/>
          <w:color w:val="000000" w:themeColor="text1"/>
          <w:sz w:val="24"/>
          <w:szCs w:val="24"/>
        </w:rPr>
        <w:t>(F)</w:t>
      </w:r>
      <w:r w:rsidRPr="00985BAB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</w:t>
      </w:r>
      <w:r w:rsidRPr="00985BAB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>Distinction</w:t>
      </w:r>
      <w:r w:rsidRPr="00985BAB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in the risk </w:t>
      </w:r>
      <w:r w:rsidRPr="00985BAB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lastRenderedPageBreak/>
        <w:t>among patients with distinct clinical responses in the GBM cohort. SD, stable disease; PD, progressive disease; CR,</w:t>
      </w:r>
      <w:r w:rsidRPr="00985BAB">
        <w:rPr>
          <w:rFonts w:ascii="Times New Roman" w:eastAsia="宋体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985BAB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complete response; PR, partial response.</w:t>
      </w:r>
    </w:p>
    <w:p w14:paraId="2EC193B3" w14:textId="570DE0C1" w:rsidR="008D0F5C" w:rsidRPr="007E606C" w:rsidRDefault="007E606C" w:rsidP="007E606C">
      <w:pPr>
        <w:widowControl/>
        <w:jc w:val="left"/>
        <w:rPr>
          <w:rFonts w:ascii="Times New Roman" w:eastAsia="宋体" w:hAnsi="Times New Roman" w:cs="Times New Roman" w:hint="eastAsia"/>
          <w:color w:val="000000" w:themeColor="text1"/>
          <w:sz w:val="24"/>
          <w:szCs w:val="24"/>
        </w:rPr>
      </w:pP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br w:type="page"/>
      </w:r>
    </w:p>
    <w:p w14:paraId="6C9A1BF1" w14:textId="1487CB06" w:rsidR="00076E40" w:rsidRDefault="00076E40" w:rsidP="00727684">
      <w:pPr>
        <w:widowControl/>
        <w:jc w:val="left"/>
        <w:rPr>
          <w:rFonts w:ascii="Times New Roman" w:eastAsia="宋体" w:hAnsi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8846F5C" wp14:editId="5DE185A6">
            <wp:extent cx="6177600" cy="44208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600" cy="44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062C3" w14:textId="438210AE" w:rsidR="00076E40" w:rsidRPr="00215F8C" w:rsidRDefault="00076E40" w:rsidP="00076E4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42BC7"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sz w:val="24"/>
          <w:szCs w:val="24"/>
        </w:rPr>
        <w:t>ure S</w:t>
      </w:r>
      <w:r w:rsidR="00483D74">
        <w:rPr>
          <w:rFonts w:ascii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17256" w:rsidRPr="00517256">
        <w:rPr>
          <w:rFonts w:ascii="Times New Roman" w:hAnsi="Times New Roman" w:cs="Times New Roman"/>
          <w:sz w:val="24"/>
          <w:szCs w:val="24"/>
        </w:rPr>
        <w:t xml:space="preserve"> </w:t>
      </w:r>
      <w:r w:rsidR="0064788D" w:rsidRPr="00215F8C">
        <w:rPr>
          <w:rFonts w:ascii="Times New Roman" w:hAnsi="Times New Roman" w:cs="Times New Roman"/>
          <w:color w:val="000000" w:themeColor="text1"/>
          <w:sz w:val="24"/>
          <w:szCs w:val="24"/>
        </w:rPr>
        <w:t>The correlation of high and low-risk groups with immunization scores</w:t>
      </w:r>
      <w:r w:rsidR="00633361" w:rsidRPr="00215F8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C99789A" w14:textId="2AE025D9" w:rsidR="00483D74" w:rsidRDefault="00076E40" w:rsidP="00076E40">
      <w:pPr>
        <w:pStyle w:val="a7"/>
        <w:ind w:firstLineChars="0" w:firstLine="0"/>
        <w:rPr>
          <w:rFonts w:cs="Times New Roman"/>
          <w:color w:val="000000" w:themeColor="text1"/>
        </w:rPr>
      </w:pPr>
      <w:bookmarkStart w:id="3" w:name="_Hlk69980847"/>
      <w:r w:rsidRPr="003557E0">
        <w:rPr>
          <w:rFonts w:cs="Times New Roman"/>
          <w:b/>
          <w:color w:val="000000" w:themeColor="text1"/>
        </w:rPr>
        <w:t>(A)</w:t>
      </w:r>
      <w:r w:rsidRPr="003557E0">
        <w:rPr>
          <w:rFonts w:cs="Times New Roman"/>
        </w:rPr>
        <w:t xml:space="preserve"> </w:t>
      </w:r>
      <w:r>
        <w:rPr>
          <w:rFonts w:cs="Times New Roman"/>
        </w:rPr>
        <w:t>T</w:t>
      </w:r>
      <w:r>
        <w:rPr>
          <w:rFonts w:cs="Times New Roman" w:hint="eastAsia"/>
        </w:rPr>
        <w:t>he</w:t>
      </w:r>
      <w:r>
        <w:rPr>
          <w:rFonts w:cs="Times New Roman"/>
        </w:rPr>
        <w:t xml:space="preserve"> </w:t>
      </w:r>
      <w:r>
        <w:rPr>
          <w:rFonts w:cs="Times New Roman" w:hint="eastAsia"/>
          <w:bCs/>
          <w:color w:val="000000" w:themeColor="text1"/>
        </w:rPr>
        <w:t>r</w:t>
      </w:r>
      <w:r w:rsidRPr="003557E0">
        <w:rPr>
          <w:rFonts w:cs="Times New Roman"/>
          <w:bCs/>
          <w:color w:val="000000" w:themeColor="text1"/>
        </w:rPr>
        <w:t xml:space="preserve">elationship between </w:t>
      </w:r>
      <w:r>
        <w:rPr>
          <w:rFonts w:cs="Times New Roman" w:hint="eastAsia"/>
          <w:bCs/>
          <w:color w:val="000000" w:themeColor="text1"/>
        </w:rPr>
        <w:t>both</w:t>
      </w:r>
      <w:r w:rsidRPr="003557E0">
        <w:rPr>
          <w:rFonts w:cs="Times New Roman"/>
          <w:bCs/>
          <w:color w:val="000000" w:themeColor="text1"/>
        </w:rPr>
        <w:t xml:space="preserve"> groups and </w:t>
      </w:r>
      <w:proofErr w:type="spellStart"/>
      <w:r w:rsidRPr="003557E0">
        <w:rPr>
          <w:rFonts w:cs="Times New Roman"/>
          <w:bCs/>
          <w:color w:val="000000" w:themeColor="text1"/>
        </w:rPr>
        <w:t>Estimatescore</w:t>
      </w:r>
      <w:proofErr w:type="spellEnd"/>
      <w:r w:rsidRPr="003557E0">
        <w:rPr>
          <w:rFonts w:cs="Times New Roman"/>
          <w:bCs/>
          <w:color w:val="000000" w:themeColor="text1"/>
        </w:rPr>
        <w:t>.</w:t>
      </w:r>
      <w:r>
        <w:rPr>
          <w:rFonts w:cs="Times New Roman"/>
          <w:bCs/>
          <w:color w:val="000000" w:themeColor="text1"/>
        </w:rPr>
        <w:t xml:space="preserve"> </w:t>
      </w:r>
      <w:r w:rsidRPr="003557E0">
        <w:rPr>
          <w:rFonts w:cs="Times New Roman"/>
          <w:b/>
          <w:bCs/>
        </w:rPr>
        <w:t xml:space="preserve">(B) </w:t>
      </w:r>
      <w:r w:rsidRPr="0052539D">
        <w:rPr>
          <w:rFonts w:cs="Times New Roman"/>
          <w:bCs/>
          <w:color w:val="000000" w:themeColor="text1"/>
        </w:rPr>
        <w:t>The relationship</w:t>
      </w:r>
      <w:r w:rsidRPr="003557E0">
        <w:rPr>
          <w:rFonts w:cs="Times New Roman"/>
          <w:bCs/>
          <w:color w:val="000000" w:themeColor="text1"/>
        </w:rPr>
        <w:t xml:space="preserve"> between </w:t>
      </w:r>
      <w:r>
        <w:rPr>
          <w:rFonts w:cs="Times New Roman" w:hint="eastAsia"/>
          <w:bCs/>
          <w:color w:val="000000" w:themeColor="text1"/>
        </w:rPr>
        <w:t>both</w:t>
      </w:r>
      <w:r w:rsidRPr="003557E0">
        <w:rPr>
          <w:rFonts w:cs="Times New Roman"/>
          <w:bCs/>
          <w:color w:val="000000" w:themeColor="text1"/>
        </w:rPr>
        <w:t xml:space="preserve"> groups and </w:t>
      </w:r>
      <w:proofErr w:type="spellStart"/>
      <w:r w:rsidRPr="003557E0">
        <w:rPr>
          <w:rFonts w:cs="Times New Roman"/>
          <w:bCs/>
          <w:color w:val="000000" w:themeColor="text1"/>
        </w:rPr>
        <w:t>Immunescore</w:t>
      </w:r>
      <w:proofErr w:type="spellEnd"/>
      <w:r w:rsidRPr="003557E0">
        <w:rPr>
          <w:rFonts w:cs="Times New Roman"/>
          <w:bCs/>
          <w:color w:val="000000" w:themeColor="text1"/>
        </w:rPr>
        <w:t>.</w:t>
      </w:r>
      <w:r>
        <w:rPr>
          <w:rFonts w:cs="Times New Roman"/>
          <w:bCs/>
          <w:color w:val="000000" w:themeColor="text1"/>
        </w:rPr>
        <w:t xml:space="preserve"> </w:t>
      </w:r>
      <w:r w:rsidRPr="003557E0">
        <w:rPr>
          <w:rFonts w:cs="Times New Roman"/>
          <w:b/>
          <w:color w:val="000000" w:themeColor="text1"/>
        </w:rPr>
        <w:t xml:space="preserve">(C) </w:t>
      </w:r>
      <w:r w:rsidRPr="0052539D">
        <w:rPr>
          <w:rFonts w:cs="Times New Roman"/>
          <w:bCs/>
          <w:color w:val="000000" w:themeColor="text1"/>
        </w:rPr>
        <w:t>The relationship</w:t>
      </w:r>
      <w:r w:rsidRPr="003557E0">
        <w:rPr>
          <w:rFonts w:cs="Times New Roman"/>
          <w:bCs/>
          <w:color w:val="000000" w:themeColor="text1"/>
        </w:rPr>
        <w:t xml:space="preserve"> between </w:t>
      </w:r>
      <w:r>
        <w:rPr>
          <w:rFonts w:cs="Times New Roman" w:hint="eastAsia"/>
          <w:bCs/>
          <w:color w:val="000000" w:themeColor="text1"/>
        </w:rPr>
        <w:t>both</w:t>
      </w:r>
      <w:r w:rsidRPr="003557E0">
        <w:rPr>
          <w:rFonts w:cs="Times New Roman"/>
          <w:bCs/>
          <w:color w:val="000000" w:themeColor="text1"/>
        </w:rPr>
        <w:t xml:space="preserve"> groups and </w:t>
      </w:r>
      <w:proofErr w:type="spellStart"/>
      <w:r w:rsidRPr="003557E0">
        <w:rPr>
          <w:rFonts w:cs="Times New Roman"/>
          <w:bCs/>
          <w:color w:val="000000" w:themeColor="text1"/>
        </w:rPr>
        <w:t>Stormalscore</w:t>
      </w:r>
      <w:proofErr w:type="spellEnd"/>
      <w:r w:rsidRPr="003557E0">
        <w:rPr>
          <w:rFonts w:cs="Times New Roman"/>
          <w:bCs/>
          <w:color w:val="000000" w:themeColor="text1"/>
        </w:rPr>
        <w:t>.</w:t>
      </w:r>
      <w:r>
        <w:rPr>
          <w:rFonts w:cs="Times New Roman"/>
          <w:bCs/>
          <w:color w:val="000000" w:themeColor="text1"/>
        </w:rPr>
        <w:t xml:space="preserve"> </w:t>
      </w:r>
      <w:bookmarkEnd w:id="3"/>
      <w:r w:rsidRPr="004F6746">
        <w:rPr>
          <w:rFonts w:cs="Times New Roman"/>
          <w:b/>
          <w:bCs/>
          <w:color w:val="000000" w:themeColor="text1"/>
        </w:rPr>
        <w:t>(D)</w:t>
      </w:r>
      <w:r w:rsidRPr="004F6746">
        <w:rPr>
          <w:rFonts w:cs="Times New Roman"/>
          <w:color w:val="000000" w:themeColor="text1"/>
        </w:rPr>
        <w:t xml:space="preserve"> Correlation of </w:t>
      </w:r>
      <w:r>
        <w:rPr>
          <w:rFonts w:cs="Times New Roman"/>
          <w:color w:val="000000" w:themeColor="text1"/>
        </w:rPr>
        <w:t>PD-L1</w:t>
      </w:r>
      <w:r w:rsidRPr="004F6746">
        <w:rPr>
          <w:rFonts w:cs="Times New Roman"/>
          <w:color w:val="000000" w:themeColor="text1"/>
        </w:rPr>
        <w:t xml:space="preserve"> and immune cells fraction for pan-cancer (Pearson test).</w:t>
      </w:r>
    </w:p>
    <w:p w14:paraId="7418CACC" w14:textId="77777777" w:rsidR="00483D74" w:rsidRDefault="00483D74">
      <w:pPr>
        <w:widowControl/>
        <w:jc w:val="left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>
        <w:rPr>
          <w:rFonts w:cs="Times New Roman"/>
          <w:color w:val="000000" w:themeColor="text1"/>
        </w:rPr>
        <w:br w:type="page"/>
      </w:r>
    </w:p>
    <w:p w14:paraId="0CCCE0FE" w14:textId="7D023B19" w:rsidR="00076E40" w:rsidRDefault="00483D74" w:rsidP="00076E40">
      <w:pPr>
        <w:pStyle w:val="a7"/>
        <w:ind w:firstLineChars="0" w:firstLine="0"/>
        <w:rPr>
          <w:rFonts w:cs="Times New Roman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614E2CB9" wp14:editId="5783F365">
            <wp:extent cx="6645910" cy="747839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47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2DBB4" w14:textId="044E33F0" w:rsidR="00483D74" w:rsidRPr="00483D74" w:rsidRDefault="00483D74" w:rsidP="00483D7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3D7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Figure </w:t>
      </w:r>
      <w:r w:rsidR="0025587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9</w:t>
      </w:r>
      <w:r w:rsidRPr="00483D7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483D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Comprehensive analyses of copy number variation between different risk groups.</w:t>
      </w:r>
    </w:p>
    <w:p w14:paraId="0E235233" w14:textId="4268F47B" w:rsidR="004E2548" w:rsidRPr="002A6B23" w:rsidRDefault="00483D74" w:rsidP="002A6B2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36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</w:t>
      </w:r>
      <w:proofErr w:type="gramStart"/>
      <w:r w:rsidRPr="00A236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A,B</w:t>
      </w:r>
      <w:proofErr w:type="gramEnd"/>
      <w:r w:rsidRPr="00A236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  <w:r w:rsidRPr="00483D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Significant amplifications and deletions of copy numbers were detected and compared between the two cohorts. </w:t>
      </w:r>
      <w:r w:rsidRPr="00A236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</w:t>
      </w:r>
      <w:proofErr w:type="gramStart"/>
      <w:r w:rsidRPr="00A236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C,D</w:t>
      </w:r>
      <w:proofErr w:type="gramEnd"/>
      <w:r w:rsidRPr="00A236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  <w:r w:rsidRPr="00483D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Copy number comparison of the top 20 loci of the two cohorts. </w:t>
      </w:r>
      <w:r w:rsidRPr="00A236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</w:t>
      </w:r>
      <w:proofErr w:type="gramStart"/>
      <w:r w:rsidRPr="00A236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E,F</w:t>
      </w:r>
      <w:proofErr w:type="gramEnd"/>
      <w:r w:rsidRPr="00A2363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)</w:t>
      </w:r>
      <w:r w:rsidRPr="00483D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Distribution of Amp and Del in two cohort samples with high and low-risk.</w:t>
      </w:r>
    </w:p>
    <w:sectPr w:rsidR="004E2548" w:rsidRPr="002A6B23" w:rsidSect="00503897">
      <w:footerReference w:type="default" r:id="rId16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9F82E" w14:textId="77777777" w:rsidR="007E1435" w:rsidRDefault="007E1435" w:rsidP="008A2CA8">
      <w:r>
        <w:separator/>
      </w:r>
    </w:p>
  </w:endnote>
  <w:endnote w:type="continuationSeparator" w:id="0">
    <w:p w14:paraId="26C7DA73" w14:textId="77777777" w:rsidR="007E1435" w:rsidRDefault="007E1435" w:rsidP="008A2C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5085353"/>
      <w:docPartObj>
        <w:docPartGallery w:val="Page Numbers (Bottom of Page)"/>
        <w:docPartUnique/>
      </w:docPartObj>
    </w:sdtPr>
    <w:sdtEndPr/>
    <w:sdtContent>
      <w:p w14:paraId="6DD6E866" w14:textId="2506B06F" w:rsidR="008C14D8" w:rsidRDefault="008C14D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1974078" w14:textId="77777777" w:rsidR="008C14D8" w:rsidRDefault="008C14D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948A3" w14:textId="77777777" w:rsidR="007E1435" w:rsidRDefault="007E1435" w:rsidP="008A2CA8">
      <w:r>
        <w:separator/>
      </w:r>
    </w:p>
  </w:footnote>
  <w:footnote w:type="continuationSeparator" w:id="0">
    <w:p w14:paraId="4EB5E9E6" w14:textId="77777777" w:rsidR="007E1435" w:rsidRDefault="007E1435" w:rsidP="008A2C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D56082"/>
    <w:multiLevelType w:val="hybridMultilevel"/>
    <w:tmpl w:val="13F87D8E"/>
    <w:lvl w:ilvl="0" w:tplc="18222DB0">
      <w:start w:val="1"/>
      <w:numFmt w:val="upperLetter"/>
      <w:lvlText w:val="(%1)"/>
      <w:lvlJc w:val="left"/>
      <w:pPr>
        <w:ind w:left="408" w:hanging="408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FEB2242"/>
    <w:multiLevelType w:val="hybridMultilevel"/>
    <w:tmpl w:val="FBA8F8A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00D702F"/>
    <w:multiLevelType w:val="multilevel"/>
    <w:tmpl w:val="D2F24308"/>
    <w:lvl w:ilvl="0">
      <w:start w:val="1"/>
      <w:numFmt w:val="decimal"/>
      <w:pStyle w:val="1"/>
      <w:lvlText w:val="第%1章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3" w15:restartNumberingAfterBreak="0">
    <w:nsid w:val="566B0205"/>
    <w:multiLevelType w:val="hybridMultilevel"/>
    <w:tmpl w:val="94AAD724"/>
    <w:lvl w:ilvl="0" w:tplc="A314E1E4">
      <w:start w:val="1"/>
      <w:numFmt w:val="upperLetter"/>
      <w:lvlText w:val="(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160149031">
    <w:abstractNumId w:val="2"/>
  </w:num>
  <w:num w:numId="2" w16cid:durableId="784814508">
    <w:abstractNumId w:val="3"/>
  </w:num>
  <w:num w:numId="3" w16cid:durableId="560210381">
    <w:abstractNumId w:val="1"/>
  </w:num>
  <w:num w:numId="4" w16cid:durableId="35468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AwMLG0NDUxNrY0MzBW0lEKTi0uzszPAykwsqwFAHV2ESAtAAAA"/>
  </w:docVars>
  <w:rsids>
    <w:rsidRoot w:val="00C75A8A"/>
    <w:rsid w:val="00015B0E"/>
    <w:rsid w:val="00015BAB"/>
    <w:rsid w:val="000479D5"/>
    <w:rsid w:val="00055778"/>
    <w:rsid w:val="00057E31"/>
    <w:rsid w:val="000631A7"/>
    <w:rsid w:val="00076E40"/>
    <w:rsid w:val="00085030"/>
    <w:rsid w:val="000C454D"/>
    <w:rsid w:val="000D7767"/>
    <w:rsid w:val="000F2EB0"/>
    <w:rsid w:val="00133FA3"/>
    <w:rsid w:val="0014279E"/>
    <w:rsid w:val="001564BE"/>
    <w:rsid w:val="00193FC5"/>
    <w:rsid w:val="001A692C"/>
    <w:rsid w:val="001D7022"/>
    <w:rsid w:val="00215F8C"/>
    <w:rsid w:val="0022428F"/>
    <w:rsid w:val="00224796"/>
    <w:rsid w:val="002358D6"/>
    <w:rsid w:val="00246E43"/>
    <w:rsid w:val="00251C76"/>
    <w:rsid w:val="00255873"/>
    <w:rsid w:val="0026036B"/>
    <w:rsid w:val="00275113"/>
    <w:rsid w:val="0029045D"/>
    <w:rsid w:val="002A6B23"/>
    <w:rsid w:val="002D47BE"/>
    <w:rsid w:val="002E20AC"/>
    <w:rsid w:val="002F3DB5"/>
    <w:rsid w:val="002F6729"/>
    <w:rsid w:val="00303B46"/>
    <w:rsid w:val="00306AE4"/>
    <w:rsid w:val="00316D53"/>
    <w:rsid w:val="003300BC"/>
    <w:rsid w:val="003557E0"/>
    <w:rsid w:val="0035670E"/>
    <w:rsid w:val="00386D09"/>
    <w:rsid w:val="0038799E"/>
    <w:rsid w:val="003A1515"/>
    <w:rsid w:val="003A1CEC"/>
    <w:rsid w:val="003B3E01"/>
    <w:rsid w:val="003B4394"/>
    <w:rsid w:val="003B6018"/>
    <w:rsid w:val="003E46EC"/>
    <w:rsid w:val="003E76DB"/>
    <w:rsid w:val="00401F0F"/>
    <w:rsid w:val="00416138"/>
    <w:rsid w:val="00423704"/>
    <w:rsid w:val="00433CEB"/>
    <w:rsid w:val="004410F1"/>
    <w:rsid w:val="00442DF9"/>
    <w:rsid w:val="004516BE"/>
    <w:rsid w:val="00453BE3"/>
    <w:rsid w:val="004631E0"/>
    <w:rsid w:val="00470BCC"/>
    <w:rsid w:val="004713FA"/>
    <w:rsid w:val="00475F21"/>
    <w:rsid w:val="0048327E"/>
    <w:rsid w:val="00483D74"/>
    <w:rsid w:val="004A7B5C"/>
    <w:rsid w:val="004B7324"/>
    <w:rsid w:val="004C3403"/>
    <w:rsid w:val="004C7C4F"/>
    <w:rsid w:val="004D519C"/>
    <w:rsid w:val="004E1DC2"/>
    <w:rsid w:val="004E2548"/>
    <w:rsid w:val="00503897"/>
    <w:rsid w:val="00517256"/>
    <w:rsid w:val="0052539D"/>
    <w:rsid w:val="0053021C"/>
    <w:rsid w:val="005570AD"/>
    <w:rsid w:val="0056332B"/>
    <w:rsid w:val="005751FD"/>
    <w:rsid w:val="00575F55"/>
    <w:rsid w:val="00580C58"/>
    <w:rsid w:val="00586C93"/>
    <w:rsid w:val="00587EA0"/>
    <w:rsid w:val="00591637"/>
    <w:rsid w:val="005976AB"/>
    <w:rsid w:val="005A4BA4"/>
    <w:rsid w:val="005B66E8"/>
    <w:rsid w:val="005C48FA"/>
    <w:rsid w:val="005E3034"/>
    <w:rsid w:val="005F78B2"/>
    <w:rsid w:val="00607E23"/>
    <w:rsid w:val="00631766"/>
    <w:rsid w:val="00632CC3"/>
    <w:rsid w:val="00633361"/>
    <w:rsid w:val="00641872"/>
    <w:rsid w:val="0064788D"/>
    <w:rsid w:val="006531D9"/>
    <w:rsid w:val="006655BD"/>
    <w:rsid w:val="0069473B"/>
    <w:rsid w:val="00694F49"/>
    <w:rsid w:val="0069672E"/>
    <w:rsid w:val="006C47D2"/>
    <w:rsid w:val="006E1CA9"/>
    <w:rsid w:val="006F0763"/>
    <w:rsid w:val="00700B63"/>
    <w:rsid w:val="00705815"/>
    <w:rsid w:val="00710F74"/>
    <w:rsid w:val="00727684"/>
    <w:rsid w:val="00751DC1"/>
    <w:rsid w:val="007555DD"/>
    <w:rsid w:val="00777D61"/>
    <w:rsid w:val="00796F33"/>
    <w:rsid w:val="007B5885"/>
    <w:rsid w:val="007B74EB"/>
    <w:rsid w:val="007C62C7"/>
    <w:rsid w:val="007C6BD2"/>
    <w:rsid w:val="007D3CB3"/>
    <w:rsid w:val="007D7BE3"/>
    <w:rsid w:val="007E1435"/>
    <w:rsid w:val="007E606C"/>
    <w:rsid w:val="00803985"/>
    <w:rsid w:val="00804D75"/>
    <w:rsid w:val="00806420"/>
    <w:rsid w:val="00814AAA"/>
    <w:rsid w:val="00825A79"/>
    <w:rsid w:val="008329F3"/>
    <w:rsid w:val="00832AC8"/>
    <w:rsid w:val="00833E22"/>
    <w:rsid w:val="008346A9"/>
    <w:rsid w:val="00850FDB"/>
    <w:rsid w:val="00852AA6"/>
    <w:rsid w:val="0086655F"/>
    <w:rsid w:val="00893841"/>
    <w:rsid w:val="008A2CA8"/>
    <w:rsid w:val="008B0D45"/>
    <w:rsid w:val="008B5C8E"/>
    <w:rsid w:val="008C14D8"/>
    <w:rsid w:val="008D04B5"/>
    <w:rsid w:val="008D0F5C"/>
    <w:rsid w:val="008D135E"/>
    <w:rsid w:val="008D5995"/>
    <w:rsid w:val="008D781D"/>
    <w:rsid w:val="008F7632"/>
    <w:rsid w:val="00914908"/>
    <w:rsid w:val="00915CAE"/>
    <w:rsid w:val="009300D3"/>
    <w:rsid w:val="009438EA"/>
    <w:rsid w:val="009461A2"/>
    <w:rsid w:val="009658D0"/>
    <w:rsid w:val="0096777D"/>
    <w:rsid w:val="00985BAB"/>
    <w:rsid w:val="00995DB4"/>
    <w:rsid w:val="00996F01"/>
    <w:rsid w:val="009B3349"/>
    <w:rsid w:val="009D5D42"/>
    <w:rsid w:val="009F6559"/>
    <w:rsid w:val="00A13035"/>
    <w:rsid w:val="00A13D00"/>
    <w:rsid w:val="00A14094"/>
    <w:rsid w:val="00A20463"/>
    <w:rsid w:val="00A22587"/>
    <w:rsid w:val="00A23637"/>
    <w:rsid w:val="00A370EE"/>
    <w:rsid w:val="00AA5AB3"/>
    <w:rsid w:val="00AE56D5"/>
    <w:rsid w:val="00B02298"/>
    <w:rsid w:val="00B04601"/>
    <w:rsid w:val="00B05DC8"/>
    <w:rsid w:val="00B45EB1"/>
    <w:rsid w:val="00B464EA"/>
    <w:rsid w:val="00B65268"/>
    <w:rsid w:val="00B72F71"/>
    <w:rsid w:val="00B856F1"/>
    <w:rsid w:val="00B91DB8"/>
    <w:rsid w:val="00B93D44"/>
    <w:rsid w:val="00BA146D"/>
    <w:rsid w:val="00BA1734"/>
    <w:rsid w:val="00BC6429"/>
    <w:rsid w:val="00BE4A9C"/>
    <w:rsid w:val="00BE665A"/>
    <w:rsid w:val="00C0168E"/>
    <w:rsid w:val="00C065CE"/>
    <w:rsid w:val="00C1431B"/>
    <w:rsid w:val="00C373D9"/>
    <w:rsid w:val="00C45BB4"/>
    <w:rsid w:val="00C478E1"/>
    <w:rsid w:val="00C5203F"/>
    <w:rsid w:val="00C533B1"/>
    <w:rsid w:val="00C56315"/>
    <w:rsid w:val="00C74A95"/>
    <w:rsid w:val="00C75A8A"/>
    <w:rsid w:val="00C86BA9"/>
    <w:rsid w:val="00C92390"/>
    <w:rsid w:val="00C94C48"/>
    <w:rsid w:val="00CA3786"/>
    <w:rsid w:val="00CC58FD"/>
    <w:rsid w:val="00CE0922"/>
    <w:rsid w:val="00CF2B45"/>
    <w:rsid w:val="00D02463"/>
    <w:rsid w:val="00D11B34"/>
    <w:rsid w:val="00D158F3"/>
    <w:rsid w:val="00D178C6"/>
    <w:rsid w:val="00D22082"/>
    <w:rsid w:val="00D50B8D"/>
    <w:rsid w:val="00D70ACF"/>
    <w:rsid w:val="00D85AA2"/>
    <w:rsid w:val="00DA0743"/>
    <w:rsid w:val="00DA7D40"/>
    <w:rsid w:val="00DB3C27"/>
    <w:rsid w:val="00DC64F8"/>
    <w:rsid w:val="00DD2617"/>
    <w:rsid w:val="00DD299D"/>
    <w:rsid w:val="00DD7C17"/>
    <w:rsid w:val="00DF08AC"/>
    <w:rsid w:val="00E04025"/>
    <w:rsid w:val="00E152DF"/>
    <w:rsid w:val="00E15BD6"/>
    <w:rsid w:val="00E1752C"/>
    <w:rsid w:val="00E35D6E"/>
    <w:rsid w:val="00E4459C"/>
    <w:rsid w:val="00E625AA"/>
    <w:rsid w:val="00E717A2"/>
    <w:rsid w:val="00E816C9"/>
    <w:rsid w:val="00E84E5D"/>
    <w:rsid w:val="00E9273F"/>
    <w:rsid w:val="00E952D6"/>
    <w:rsid w:val="00EA230B"/>
    <w:rsid w:val="00EA2A7C"/>
    <w:rsid w:val="00EB6A3D"/>
    <w:rsid w:val="00ED1354"/>
    <w:rsid w:val="00ED4858"/>
    <w:rsid w:val="00EF69BC"/>
    <w:rsid w:val="00F10703"/>
    <w:rsid w:val="00F112D9"/>
    <w:rsid w:val="00F53FE2"/>
    <w:rsid w:val="00F57692"/>
    <w:rsid w:val="00F5785E"/>
    <w:rsid w:val="00F671BA"/>
    <w:rsid w:val="00F924B8"/>
    <w:rsid w:val="00F9762D"/>
    <w:rsid w:val="00FB547E"/>
    <w:rsid w:val="00FB7C18"/>
    <w:rsid w:val="00FC758C"/>
    <w:rsid w:val="00FD0E1E"/>
    <w:rsid w:val="00FE105A"/>
    <w:rsid w:val="00FE4305"/>
    <w:rsid w:val="00FF0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93717E"/>
  <w15:chartTrackingRefBased/>
  <w15:docId w15:val="{27FCC28A-4CF6-4564-BAB5-6727E45A9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5B0E"/>
    <w:pPr>
      <w:widowControl w:val="0"/>
      <w:jc w:val="both"/>
    </w:pPr>
  </w:style>
  <w:style w:type="paragraph" w:styleId="1">
    <w:name w:val="heading 1"/>
    <w:aliases w:val="毕业论文 带编号"/>
    <w:basedOn w:val="a"/>
    <w:next w:val="a"/>
    <w:link w:val="10"/>
    <w:uiPriority w:val="9"/>
    <w:qFormat/>
    <w:rsid w:val="008A2CA8"/>
    <w:pPr>
      <w:keepNext/>
      <w:keepLines/>
      <w:numPr>
        <w:numId w:val="1"/>
      </w:numPr>
      <w:spacing w:before="240" w:after="180" w:line="360" w:lineRule="auto"/>
      <w:jc w:val="center"/>
      <w:outlineLvl w:val="0"/>
    </w:pPr>
    <w:rPr>
      <w:rFonts w:ascii="Times New Roman" w:eastAsia="宋体" w:hAnsi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C478E1"/>
    <w:pPr>
      <w:keepNext/>
      <w:keepLines/>
      <w:spacing w:before="180" w:after="40" w:line="360" w:lineRule="auto"/>
      <w:outlineLvl w:val="1"/>
    </w:pPr>
    <w:rPr>
      <w:rFonts w:ascii="Times New Roman" w:eastAsia="宋体" w:hAnsi="Times New Roman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A2CA8"/>
    <w:pPr>
      <w:keepNext/>
      <w:keepLines/>
      <w:numPr>
        <w:ilvl w:val="2"/>
        <w:numId w:val="1"/>
      </w:numPr>
      <w:spacing w:before="120" w:after="20" w:line="360" w:lineRule="auto"/>
      <w:outlineLvl w:val="2"/>
    </w:pPr>
    <w:rPr>
      <w:rFonts w:ascii="Times New Roman" w:eastAsia="宋体" w:hAnsi="Times New Roman"/>
      <w:b/>
      <w:bCs/>
      <w:sz w:val="30"/>
      <w:szCs w:val="3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A2CA8"/>
    <w:pPr>
      <w:keepNext/>
      <w:keepLines/>
      <w:numPr>
        <w:ilvl w:val="3"/>
        <w:numId w:val="1"/>
      </w:numPr>
      <w:spacing w:before="60" w:line="360" w:lineRule="auto"/>
      <w:outlineLvl w:val="3"/>
    </w:pPr>
    <w:rPr>
      <w:rFonts w:ascii="Times New Roman" w:eastAsia="宋体" w:hAnsi="Times New Roman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A2CA8"/>
    <w:pPr>
      <w:keepNext/>
      <w:keepLines/>
      <w:numPr>
        <w:ilvl w:val="4"/>
        <w:numId w:val="1"/>
      </w:numPr>
      <w:spacing w:line="360" w:lineRule="auto"/>
      <w:outlineLvl w:val="4"/>
    </w:pPr>
    <w:rPr>
      <w:rFonts w:ascii="Times New Roman" w:eastAsia="宋体" w:hAnsi="Times New Roman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A2CA8"/>
    <w:pPr>
      <w:keepNext/>
      <w:keepLines/>
      <w:numPr>
        <w:ilvl w:val="5"/>
        <w:numId w:val="1"/>
      </w:numPr>
      <w:spacing w:line="360" w:lineRule="auto"/>
      <w:outlineLvl w:val="5"/>
    </w:pPr>
    <w:rPr>
      <w:rFonts w:ascii="Times New Roman" w:eastAsia="宋体" w:hAnsi="Times New Roman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A2CA8"/>
    <w:pPr>
      <w:keepNext/>
      <w:keepLines/>
      <w:numPr>
        <w:ilvl w:val="6"/>
        <w:numId w:val="1"/>
      </w:numPr>
      <w:spacing w:line="360" w:lineRule="auto"/>
      <w:outlineLvl w:val="6"/>
    </w:pPr>
    <w:rPr>
      <w:rFonts w:ascii="Times New Roman" w:eastAsia="宋体" w:hAnsi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A2CA8"/>
    <w:pPr>
      <w:keepNext/>
      <w:keepLines/>
      <w:numPr>
        <w:ilvl w:val="7"/>
        <w:numId w:val="1"/>
      </w:numPr>
      <w:spacing w:line="360" w:lineRule="auto"/>
      <w:outlineLvl w:val="7"/>
    </w:pPr>
    <w:rPr>
      <w:rFonts w:ascii="Times New Roman" w:eastAsia="宋体" w:hAnsi="Times New Roman" w:cstheme="majorBidi"/>
      <w:b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A2CA8"/>
    <w:pPr>
      <w:keepNext/>
      <w:keepLines/>
      <w:numPr>
        <w:ilvl w:val="8"/>
        <w:numId w:val="1"/>
      </w:numPr>
      <w:spacing w:line="360" w:lineRule="auto"/>
      <w:outlineLvl w:val="8"/>
    </w:pPr>
    <w:rPr>
      <w:rFonts w:ascii="Times New Roman" w:eastAsia="宋体" w:hAnsi="Times New Roman" w:cstheme="majorBidi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2C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A2CA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A2C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A2CA8"/>
    <w:rPr>
      <w:sz w:val="18"/>
      <w:szCs w:val="18"/>
    </w:rPr>
  </w:style>
  <w:style w:type="character" w:customStyle="1" w:styleId="10">
    <w:name w:val="标题 1 字符"/>
    <w:aliases w:val="毕业论文 带编号 字符"/>
    <w:basedOn w:val="a0"/>
    <w:link w:val="1"/>
    <w:uiPriority w:val="9"/>
    <w:rsid w:val="008A2CA8"/>
    <w:rPr>
      <w:rFonts w:ascii="Times New Roman" w:eastAsia="宋体" w:hAnsi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8A2CA8"/>
    <w:rPr>
      <w:rFonts w:ascii="Times New Roman" w:eastAsia="宋体" w:hAnsi="Times New Roman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8A2CA8"/>
    <w:rPr>
      <w:rFonts w:ascii="Times New Roman" w:eastAsia="宋体" w:hAnsi="Times New Roman"/>
      <w:b/>
      <w:bCs/>
      <w:sz w:val="30"/>
      <w:szCs w:val="30"/>
    </w:rPr>
  </w:style>
  <w:style w:type="character" w:customStyle="1" w:styleId="40">
    <w:name w:val="标题 4 字符"/>
    <w:basedOn w:val="a0"/>
    <w:link w:val="4"/>
    <w:uiPriority w:val="9"/>
    <w:semiHidden/>
    <w:rsid w:val="008A2CA8"/>
    <w:rPr>
      <w:rFonts w:ascii="Times New Roman" w:eastAsia="宋体" w:hAnsi="Times New Roman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8A2CA8"/>
    <w:rPr>
      <w:rFonts w:ascii="Times New Roman" w:eastAsia="宋体" w:hAnsi="Times New Roman"/>
      <w:b/>
      <w:bCs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8A2CA8"/>
    <w:rPr>
      <w:rFonts w:ascii="Times New Roman" w:eastAsia="宋体" w:hAnsi="Times New Roman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8A2CA8"/>
    <w:rPr>
      <w:rFonts w:ascii="Times New Roman" w:eastAsia="宋体" w:hAnsi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8A2CA8"/>
    <w:rPr>
      <w:rFonts w:ascii="Times New Roman" w:eastAsia="宋体" w:hAnsi="Times New Roman" w:cstheme="majorBidi"/>
      <w:b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8A2CA8"/>
    <w:rPr>
      <w:rFonts w:ascii="Times New Roman" w:eastAsia="宋体" w:hAnsi="Times New Roman" w:cstheme="majorBidi"/>
      <w:b/>
      <w:sz w:val="24"/>
      <w:szCs w:val="24"/>
    </w:rPr>
  </w:style>
  <w:style w:type="paragraph" w:customStyle="1" w:styleId="a7">
    <w:name w:val="论文正文"/>
    <w:basedOn w:val="a"/>
    <w:link w:val="Char"/>
    <w:qFormat/>
    <w:rsid w:val="008A2CA8"/>
    <w:pPr>
      <w:ind w:firstLineChars="200" w:firstLine="200"/>
    </w:pPr>
    <w:rPr>
      <w:rFonts w:ascii="Times New Roman" w:eastAsia="宋体" w:hAnsi="Times New Roman"/>
      <w:sz w:val="24"/>
      <w:szCs w:val="24"/>
    </w:rPr>
  </w:style>
  <w:style w:type="character" w:customStyle="1" w:styleId="Char">
    <w:name w:val="论文正文 Char"/>
    <w:basedOn w:val="a0"/>
    <w:link w:val="a7"/>
    <w:rsid w:val="008A2CA8"/>
    <w:rPr>
      <w:rFonts w:ascii="Times New Roman" w:eastAsia="宋体" w:hAnsi="Times New Roman"/>
      <w:sz w:val="24"/>
      <w:szCs w:val="24"/>
    </w:rPr>
  </w:style>
  <w:style w:type="paragraph" w:styleId="a8">
    <w:name w:val="List Paragraph"/>
    <w:basedOn w:val="a"/>
    <w:uiPriority w:val="34"/>
    <w:qFormat/>
    <w:rsid w:val="00F9762D"/>
    <w:pPr>
      <w:ind w:firstLineChars="200" w:firstLine="420"/>
    </w:pPr>
  </w:style>
  <w:style w:type="character" w:styleId="a9">
    <w:name w:val="line number"/>
    <w:basedOn w:val="a0"/>
    <w:uiPriority w:val="99"/>
    <w:semiHidden/>
    <w:unhideWhenUsed/>
    <w:rsid w:val="004713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2179</TotalTime>
  <Pages>12</Pages>
  <Words>554</Words>
  <Characters>3163</Characters>
  <Application>Microsoft Office Word</Application>
  <DocSecurity>0</DocSecurity>
  <Lines>26</Lines>
  <Paragraphs>7</Paragraphs>
  <ScaleCrop>false</ScaleCrop>
  <Company/>
  <LinksUpToDate>false</LinksUpToDate>
  <CharactersWithSpaces>3710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shuai ma</dc:creator>
  <cp:keywords/>
  <dc:description/>
  <cp:lastModifiedBy>shuai ma</cp:lastModifiedBy>
  <cp:revision>196</cp:revision>
  <cp:lastPrinted>2021-05-05T02:39:00Z</cp:lastPrinted>
  <dcterms:created xsi:type="dcterms:W3CDTF">2021-03-12T06:43:00Z</dcterms:created>
  <dcterms:modified xsi:type="dcterms:W3CDTF">2022-04-11T13:34:00Z</dcterms:modified>
</cp:coreProperties>
</file>