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F9A60" w14:textId="77777777" w:rsidR="00AC022D" w:rsidRPr="00AC022D" w:rsidRDefault="00AC022D" w:rsidP="00AC022D">
      <w:pPr>
        <w:widowControl/>
        <w:spacing w:before="120" w:after="240"/>
        <w:jc w:val="center"/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  <w:lang w:eastAsia="en-US"/>
        </w:rPr>
      </w:pPr>
      <w:r w:rsidRPr="00AC022D">
        <w:rPr>
          <w:rFonts w:ascii="Times New Roman" w:eastAsia="宋体" w:hAnsi="Times New Roman" w:cs="Times New Roman"/>
          <w:b/>
          <w:bCs/>
          <w:kern w:val="0"/>
          <w:lang w:eastAsia="en-US"/>
        </w:rPr>
        <w:t>Supplementary Table 1</w:t>
      </w:r>
      <w:r w:rsidRPr="00AC022D">
        <w:rPr>
          <w:rFonts w:ascii="Times New Roman" w:eastAsia="宋体" w:hAnsi="Times New Roman" w:cs="Times New Roman"/>
          <w:kern w:val="0"/>
          <w:lang w:eastAsia="en-US"/>
        </w:rPr>
        <w:t>. IVIG usage and outcomes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1984"/>
        <w:gridCol w:w="1502"/>
      </w:tblGrid>
      <w:tr w:rsidR="00AC022D" w:rsidRPr="00AC022D" w14:paraId="7D498E0D" w14:textId="77777777" w:rsidTr="0040446B">
        <w:trPr>
          <w:trHeight w:val="2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92415F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E2B3F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Complete remission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1E5455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Partial relief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961FA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Death</w:t>
            </w:r>
          </w:p>
        </w:tc>
      </w:tr>
      <w:tr w:rsidR="00AC022D" w:rsidRPr="00AC022D" w14:paraId="5C88F150" w14:textId="77777777" w:rsidTr="0040446B">
        <w:trPr>
          <w:trHeight w:val="280"/>
        </w:trPr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09DB8C0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With IVIG therapy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696987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17 (81%)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14:paraId="1A63FD7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4 (19%)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noWrap/>
            <w:hideMark/>
          </w:tcPr>
          <w:p w14:paraId="08FFE88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0 (0%)</w:t>
            </w:r>
          </w:p>
        </w:tc>
      </w:tr>
      <w:tr w:rsidR="00AC022D" w:rsidRPr="00AC022D" w14:paraId="6EBFA7E3" w14:textId="77777777" w:rsidTr="0040446B">
        <w:trPr>
          <w:trHeight w:val="280"/>
        </w:trPr>
        <w:tc>
          <w:tcPr>
            <w:tcW w:w="2552" w:type="dxa"/>
            <w:noWrap/>
            <w:hideMark/>
          </w:tcPr>
          <w:p w14:paraId="0C9E7B95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Without</w:t>
            </w:r>
            <w:r w:rsidRPr="00AC022D"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  <w:t xml:space="preserve"> </w:t>
            </w: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IVIG therapy</w:t>
            </w:r>
          </w:p>
        </w:tc>
        <w:tc>
          <w:tcPr>
            <w:tcW w:w="2268" w:type="dxa"/>
            <w:noWrap/>
            <w:hideMark/>
          </w:tcPr>
          <w:p w14:paraId="36F7BDB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73 (76%)</w:t>
            </w:r>
          </w:p>
        </w:tc>
        <w:tc>
          <w:tcPr>
            <w:tcW w:w="1984" w:type="dxa"/>
            <w:noWrap/>
            <w:hideMark/>
          </w:tcPr>
          <w:p w14:paraId="59363DB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17 (17.7%)</w:t>
            </w:r>
          </w:p>
        </w:tc>
        <w:tc>
          <w:tcPr>
            <w:tcW w:w="1502" w:type="dxa"/>
            <w:noWrap/>
            <w:hideMark/>
          </w:tcPr>
          <w:p w14:paraId="10E9A73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6"/>
                <w:shd w:val="clear" w:color="auto" w:fill="FFFFFF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6"/>
                <w:shd w:val="clear" w:color="auto" w:fill="FFFFFF"/>
              </w:rPr>
              <w:t>6 (6.3%)</w:t>
            </w:r>
          </w:p>
        </w:tc>
      </w:tr>
    </w:tbl>
    <w:p w14:paraId="4998AC4C" w14:textId="77777777" w:rsidR="00AC022D" w:rsidRPr="00AC022D" w:rsidRDefault="00AC022D" w:rsidP="0040446B">
      <w:pPr>
        <w:widowControl/>
        <w:spacing w:before="120" w:after="240"/>
        <w:ind w:firstLineChars="100" w:firstLine="180"/>
        <w:jc w:val="left"/>
        <w:rPr>
          <w:rFonts w:ascii="Times New Roman" w:eastAsia="宋体" w:hAnsi="Times New Roman" w:cs="Times New Roman"/>
          <w:kern w:val="0"/>
          <w:sz w:val="18"/>
          <w:szCs w:val="16"/>
        </w:rPr>
      </w:pPr>
      <w:r w:rsidRPr="00AC022D">
        <w:rPr>
          <w:rFonts w:ascii="Times New Roman" w:eastAsia="宋体" w:hAnsi="Times New Roman" w:cs="Times New Roman" w:hint="eastAsia"/>
          <w:kern w:val="0"/>
          <w:sz w:val="18"/>
          <w:szCs w:val="16"/>
        </w:rPr>
        <w:t>I</w:t>
      </w:r>
      <w:r w:rsidRPr="00AC022D">
        <w:rPr>
          <w:rFonts w:ascii="Times New Roman" w:eastAsia="宋体" w:hAnsi="Times New Roman" w:cs="Times New Roman"/>
          <w:kern w:val="0"/>
          <w:sz w:val="18"/>
          <w:szCs w:val="16"/>
        </w:rPr>
        <w:t>VIG, intravenous immunoglobulin.</w:t>
      </w:r>
      <w:bookmarkStart w:id="0" w:name="_GoBack"/>
      <w:bookmarkEnd w:id="0"/>
    </w:p>
    <w:p w14:paraId="2651D424" w14:textId="4DC77A22" w:rsidR="00AC022D" w:rsidRDefault="00AC022D">
      <w:pPr>
        <w:widowControl/>
        <w:jc w:val="left"/>
      </w:pPr>
      <w:r>
        <w:br w:type="page"/>
      </w:r>
    </w:p>
    <w:p w14:paraId="38BF57A6" w14:textId="77777777" w:rsidR="00AC022D" w:rsidRPr="00AC022D" w:rsidRDefault="00AC022D" w:rsidP="00AC022D">
      <w:pPr>
        <w:keepNext/>
        <w:widowControl/>
        <w:spacing w:before="120" w:after="240"/>
        <w:jc w:val="center"/>
        <w:rPr>
          <w:rFonts w:ascii="Times New Roman" w:eastAsia="宋体" w:hAnsi="Times New Roman" w:cs="Times New Roman"/>
          <w:kern w:val="0"/>
          <w:sz w:val="32"/>
          <w:szCs w:val="32"/>
          <w:lang w:eastAsia="en-US"/>
        </w:rPr>
      </w:pPr>
      <w:r w:rsidRPr="00AC022D">
        <w:rPr>
          <w:rFonts w:ascii="Times New Roman" w:eastAsia="宋体" w:hAnsi="Times New Roman" w:cs="Times New Roman"/>
          <w:b/>
          <w:bCs/>
          <w:kern w:val="0"/>
          <w:szCs w:val="21"/>
          <w:lang w:eastAsia="en-US"/>
        </w:rPr>
        <w:lastRenderedPageBreak/>
        <w:t xml:space="preserve">Supplementary Table 2. </w:t>
      </w:r>
      <w:r w:rsidRPr="00AC022D">
        <w:rPr>
          <w:rFonts w:ascii="Times New Roman" w:eastAsia="宋体" w:hAnsi="Times New Roman" w:cs="Times New Roman"/>
          <w:kern w:val="0"/>
          <w:szCs w:val="21"/>
          <w:lang w:eastAsia="en-US"/>
        </w:rPr>
        <w:t>Clinical features of EGPA patients who used IVIG</w:t>
      </w:r>
    </w:p>
    <w:tbl>
      <w:tblPr>
        <w:tblStyle w:val="1"/>
        <w:tblW w:w="9357" w:type="dxa"/>
        <w:tblInd w:w="-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697"/>
        <w:gridCol w:w="653"/>
        <w:gridCol w:w="1275"/>
        <w:gridCol w:w="2694"/>
        <w:gridCol w:w="1417"/>
        <w:gridCol w:w="992"/>
        <w:gridCol w:w="993"/>
      </w:tblGrid>
      <w:tr w:rsidR="00AC022D" w:rsidRPr="00AC022D" w14:paraId="1E1AED9A" w14:textId="77777777" w:rsidTr="00A65FDE">
        <w:trPr>
          <w:trHeight w:val="72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925885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ases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5A984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BVAS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91550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FFS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76E67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Heart or PNS involvement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739083" w14:textId="76416E63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Induction therapy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7BB70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Maintenance therapy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2A2FD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Biologics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78F9F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Outcomes</w:t>
            </w:r>
          </w:p>
        </w:tc>
      </w:tr>
      <w:tr w:rsidR="00AC022D" w:rsidRPr="00AC022D" w14:paraId="3140DFFA" w14:textId="77777777" w:rsidTr="00A65FDE">
        <w:trPr>
          <w:trHeight w:val="260"/>
        </w:trPr>
        <w:tc>
          <w:tcPr>
            <w:tcW w:w="636" w:type="dxa"/>
            <w:tcBorders>
              <w:top w:val="single" w:sz="4" w:space="0" w:color="auto"/>
            </w:tcBorders>
            <w:noWrap/>
            <w:hideMark/>
          </w:tcPr>
          <w:p w14:paraId="0A19DC9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hideMark/>
          </w:tcPr>
          <w:p w14:paraId="1D30C78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</w:tcBorders>
            <w:noWrap/>
            <w:hideMark/>
          </w:tcPr>
          <w:p w14:paraId="7362653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20D3035F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hideMark/>
          </w:tcPr>
          <w:p w14:paraId="5A35132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 10g*4d </w:t>
            </w:r>
          </w:p>
          <w:p w14:paraId="412B94A2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+ CYC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3FF1D4C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3B7DC76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6357180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1F41901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202AA02B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20DD40B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  <w:noWrap/>
            <w:hideMark/>
          </w:tcPr>
          <w:p w14:paraId="63080CC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3" w:type="dxa"/>
            <w:noWrap/>
            <w:hideMark/>
          </w:tcPr>
          <w:p w14:paraId="46DF5B3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1BBA29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694" w:type="dxa"/>
            <w:noWrap/>
            <w:hideMark/>
          </w:tcPr>
          <w:p w14:paraId="1659C25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 10g*5d </w:t>
            </w:r>
          </w:p>
          <w:p w14:paraId="0C80652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→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60mg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CYC </w:t>
            </w:r>
          </w:p>
        </w:tc>
        <w:tc>
          <w:tcPr>
            <w:tcW w:w="1417" w:type="dxa"/>
            <w:noWrap/>
            <w:hideMark/>
          </w:tcPr>
          <w:p w14:paraId="34B4B3A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7.5mg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92" w:type="dxa"/>
            <w:noWrap/>
            <w:hideMark/>
          </w:tcPr>
          <w:p w14:paraId="135DC40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0F35DB4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47FFD460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1E4F55E2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noWrap/>
            <w:hideMark/>
          </w:tcPr>
          <w:p w14:paraId="649E84C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3" w:type="dxa"/>
            <w:noWrap/>
            <w:hideMark/>
          </w:tcPr>
          <w:p w14:paraId="3058EA0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5E164A82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183539C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pulse + IVIG 25g*5d </w:t>
            </w:r>
          </w:p>
          <w:p w14:paraId="4CF5D43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+ CYC </w:t>
            </w:r>
          </w:p>
        </w:tc>
        <w:tc>
          <w:tcPr>
            <w:tcW w:w="1417" w:type="dxa"/>
            <w:noWrap/>
            <w:hideMark/>
          </w:tcPr>
          <w:p w14:paraId="0DDA3A4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12.5mg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MTX </w:t>
            </w:r>
          </w:p>
        </w:tc>
        <w:tc>
          <w:tcPr>
            <w:tcW w:w="992" w:type="dxa"/>
            <w:noWrap/>
            <w:hideMark/>
          </w:tcPr>
          <w:p w14:paraId="07FADE3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3E2C63D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6A8A1CB5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3C833E77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  <w:noWrap/>
            <w:hideMark/>
          </w:tcPr>
          <w:p w14:paraId="1200420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3" w:type="dxa"/>
            <w:noWrap/>
            <w:hideMark/>
          </w:tcPr>
          <w:p w14:paraId="2EF20ED7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1730111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2A0C880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pulse + IVIG 10g*3d </w:t>
            </w:r>
          </w:p>
          <w:p w14:paraId="3DCB6B3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1417" w:type="dxa"/>
            <w:noWrap/>
            <w:hideMark/>
          </w:tcPr>
          <w:p w14:paraId="3FDD857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3056B1B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992" w:type="dxa"/>
            <w:noWrap/>
            <w:hideMark/>
          </w:tcPr>
          <w:p w14:paraId="08ECF195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04FC9FC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</w:t>
            </w:r>
          </w:p>
        </w:tc>
      </w:tr>
      <w:tr w:rsidR="00AC022D" w:rsidRPr="00AC022D" w14:paraId="5F2E6615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4F7C4B4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  <w:noWrap/>
            <w:hideMark/>
          </w:tcPr>
          <w:p w14:paraId="6E60E8D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3" w:type="dxa"/>
            <w:noWrap/>
            <w:hideMark/>
          </w:tcPr>
          <w:p w14:paraId="16D1583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78324D8F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3CD6526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pulse + IVIG 20g*5d </w:t>
            </w:r>
          </w:p>
          <w:p w14:paraId="0523D8D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1417" w:type="dxa"/>
            <w:noWrap/>
            <w:hideMark/>
          </w:tcPr>
          <w:p w14:paraId="4B41818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2B12C2F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+ MTX  </w:t>
            </w:r>
          </w:p>
        </w:tc>
        <w:tc>
          <w:tcPr>
            <w:tcW w:w="992" w:type="dxa"/>
            <w:noWrap/>
            <w:hideMark/>
          </w:tcPr>
          <w:p w14:paraId="09CECDB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5DB761C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7DE01B5C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120F113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noWrap/>
            <w:hideMark/>
          </w:tcPr>
          <w:p w14:paraId="67143FC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3" w:type="dxa"/>
            <w:noWrap/>
            <w:hideMark/>
          </w:tcPr>
          <w:p w14:paraId="0EE066A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51CDE915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694" w:type="dxa"/>
            <w:noWrap/>
            <w:hideMark/>
          </w:tcPr>
          <w:p w14:paraId="6373A61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 4d</w:t>
            </w:r>
            <w:r w:rsidRPr="00AC022D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#</w:t>
            </w: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66B89E6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+ CYC </w:t>
            </w:r>
          </w:p>
        </w:tc>
        <w:tc>
          <w:tcPr>
            <w:tcW w:w="1417" w:type="dxa"/>
            <w:noWrap/>
            <w:hideMark/>
          </w:tcPr>
          <w:p w14:paraId="53A260B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15mg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1764166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992" w:type="dxa"/>
            <w:noWrap/>
            <w:hideMark/>
          </w:tcPr>
          <w:p w14:paraId="75BC5EC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568D180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742C00DE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19868F8F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noWrap/>
            <w:hideMark/>
          </w:tcPr>
          <w:p w14:paraId="5A3E339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3" w:type="dxa"/>
            <w:noWrap/>
            <w:hideMark/>
          </w:tcPr>
          <w:p w14:paraId="1F4E357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166621F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67321E1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250mg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 10g*3d </w:t>
            </w:r>
          </w:p>
          <w:p w14:paraId="08B8D03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1417" w:type="dxa"/>
            <w:noWrap/>
            <w:hideMark/>
          </w:tcPr>
          <w:p w14:paraId="3517A2FF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66D4D72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0E4E7D5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</w:t>
            </w:r>
          </w:p>
        </w:tc>
      </w:tr>
      <w:tr w:rsidR="00AC022D" w:rsidRPr="00AC022D" w14:paraId="695CDDFA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572A4BA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7" w:type="dxa"/>
            <w:noWrap/>
            <w:hideMark/>
          </w:tcPr>
          <w:p w14:paraId="0CA5C54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3" w:type="dxa"/>
            <w:noWrap/>
            <w:hideMark/>
          </w:tcPr>
          <w:p w14:paraId="4E8CF1D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10263A1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258F69A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pulse + IVIG 20g*3d </w:t>
            </w:r>
          </w:p>
          <w:p w14:paraId="09D5420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1417" w:type="dxa"/>
            <w:noWrap/>
            <w:hideMark/>
          </w:tcPr>
          <w:p w14:paraId="5553B567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0763119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7EA70AF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75DB1CD2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2ABCB2D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7" w:type="dxa"/>
            <w:noWrap/>
            <w:hideMark/>
          </w:tcPr>
          <w:p w14:paraId="24258E9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3" w:type="dxa"/>
            <w:noWrap/>
            <w:hideMark/>
          </w:tcPr>
          <w:p w14:paraId="4FDCF2D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6A5C8807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7ADB6CA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 20g*5d </w:t>
            </w:r>
          </w:p>
          <w:p w14:paraId="4EE4230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+ CYC </w:t>
            </w:r>
          </w:p>
        </w:tc>
        <w:tc>
          <w:tcPr>
            <w:tcW w:w="1417" w:type="dxa"/>
            <w:noWrap/>
            <w:hideMark/>
          </w:tcPr>
          <w:p w14:paraId="21208DC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Pre 10mg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qod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78ECA52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MTX</w:t>
            </w:r>
          </w:p>
        </w:tc>
        <w:tc>
          <w:tcPr>
            <w:tcW w:w="992" w:type="dxa"/>
            <w:noWrap/>
            <w:hideMark/>
          </w:tcPr>
          <w:p w14:paraId="29896F9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1889B46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</w:t>
            </w:r>
          </w:p>
        </w:tc>
      </w:tr>
      <w:tr w:rsidR="00AC022D" w:rsidRPr="00AC022D" w14:paraId="3CF48F93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71EDAE1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7" w:type="dxa"/>
            <w:noWrap/>
            <w:hideMark/>
          </w:tcPr>
          <w:p w14:paraId="463C36F7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53" w:type="dxa"/>
            <w:noWrap/>
            <w:hideMark/>
          </w:tcPr>
          <w:p w14:paraId="0F158BC2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489F45C7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2144B4E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pulse + IVIG 20g*5d </w:t>
            </w:r>
          </w:p>
          <w:p w14:paraId="63DC613F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+ CYC </w:t>
            </w:r>
          </w:p>
        </w:tc>
        <w:tc>
          <w:tcPr>
            <w:tcW w:w="1417" w:type="dxa"/>
            <w:noWrap/>
            <w:hideMark/>
          </w:tcPr>
          <w:p w14:paraId="188BA69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408306F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992" w:type="dxa"/>
            <w:noWrap/>
            <w:hideMark/>
          </w:tcPr>
          <w:p w14:paraId="7DAEDAD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380F45C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6AED6ACC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0D34E1A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7" w:type="dxa"/>
            <w:noWrap/>
            <w:hideMark/>
          </w:tcPr>
          <w:p w14:paraId="40C1A90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3" w:type="dxa"/>
            <w:noWrap/>
            <w:hideMark/>
          </w:tcPr>
          <w:p w14:paraId="607F01F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37BE51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43111E5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pulse + IVIG 20g*3d </w:t>
            </w:r>
          </w:p>
          <w:p w14:paraId="02C6C2A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 + plasma exchange</w:t>
            </w:r>
          </w:p>
        </w:tc>
        <w:tc>
          <w:tcPr>
            <w:tcW w:w="1417" w:type="dxa"/>
            <w:noWrap/>
            <w:hideMark/>
          </w:tcPr>
          <w:p w14:paraId="1E267DF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45BAA1B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992" w:type="dxa"/>
            <w:noWrap/>
            <w:hideMark/>
          </w:tcPr>
          <w:p w14:paraId="23DB543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303B385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61663F6E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3127045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7" w:type="dxa"/>
            <w:noWrap/>
            <w:hideMark/>
          </w:tcPr>
          <w:p w14:paraId="40DECE6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3" w:type="dxa"/>
            <w:noWrap/>
            <w:hideMark/>
          </w:tcPr>
          <w:p w14:paraId="3EA234B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6FCD39C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755FCEC2" w14:textId="77777777" w:rsidR="00A65FDE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60mg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CYC </w:t>
            </w:r>
          </w:p>
          <w:p w14:paraId="2F2D82D2" w14:textId="778BD259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IVIG 20g*3d</w:t>
            </w:r>
          </w:p>
        </w:tc>
        <w:tc>
          <w:tcPr>
            <w:tcW w:w="1417" w:type="dxa"/>
            <w:noWrap/>
            <w:hideMark/>
          </w:tcPr>
          <w:p w14:paraId="000086B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2.5mg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AZA</w:t>
            </w:r>
          </w:p>
        </w:tc>
        <w:tc>
          <w:tcPr>
            <w:tcW w:w="992" w:type="dxa"/>
            <w:noWrap/>
            <w:hideMark/>
          </w:tcPr>
          <w:p w14:paraId="2F3DA8F9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6B8827A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0D9A5A7E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2A9C5247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7" w:type="dxa"/>
            <w:noWrap/>
            <w:hideMark/>
          </w:tcPr>
          <w:p w14:paraId="4A0D362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3" w:type="dxa"/>
            <w:noWrap/>
            <w:hideMark/>
          </w:tcPr>
          <w:p w14:paraId="77E421A7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05EC048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65683CB8" w14:textId="77777777" w:rsidR="00A65FDE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LEF + IVIG</w:t>
            </w:r>
          </w:p>
          <w:p w14:paraId="4A773285" w14:textId="616E7415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20g*3d→Pred 60 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CYC</w:t>
            </w:r>
          </w:p>
        </w:tc>
        <w:tc>
          <w:tcPr>
            <w:tcW w:w="1417" w:type="dxa"/>
            <w:noWrap/>
            <w:hideMark/>
          </w:tcPr>
          <w:p w14:paraId="6A990348" w14:textId="77777777" w:rsidR="00A65FDE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5mg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194B58C8" w14:textId="3F0CD6CB" w:rsidR="00AC022D" w:rsidRPr="00AC022D" w:rsidRDefault="00A65FDE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AC022D"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CYC + LEF</w:t>
            </w:r>
          </w:p>
        </w:tc>
        <w:tc>
          <w:tcPr>
            <w:tcW w:w="992" w:type="dxa"/>
            <w:noWrap/>
            <w:hideMark/>
          </w:tcPr>
          <w:p w14:paraId="7A99C31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77DDA89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4353C2BF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758E43F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7" w:type="dxa"/>
            <w:noWrap/>
            <w:hideMark/>
          </w:tcPr>
          <w:p w14:paraId="6DD1B99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3" w:type="dxa"/>
            <w:noWrap/>
            <w:hideMark/>
          </w:tcPr>
          <w:p w14:paraId="21CA8B1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724696B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1911E95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 20g*5d </w:t>
            </w:r>
          </w:p>
          <w:p w14:paraId="5F3275D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+ CYC </w:t>
            </w:r>
          </w:p>
        </w:tc>
        <w:tc>
          <w:tcPr>
            <w:tcW w:w="1417" w:type="dxa"/>
            <w:noWrap/>
            <w:hideMark/>
          </w:tcPr>
          <w:p w14:paraId="2DDEB562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2mg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</w:p>
        </w:tc>
        <w:tc>
          <w:tcPr>
            <w:tcW w:w="992" w:type="dxa"/>
            <w:noWrap/>
            <w:hideMark/>
          </w:tcPr>
          <w:p w14:paraId="53E13E0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03147832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0701AC5D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7F62F62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7" w:type="dxa"/>
            <w:noWrap/>
            <w:hideMark/>
          </w:tcPr>
          <w:p w14:paraId="1289FBB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53" w:type="dxa"/>
            <w:noWrap/>
            <w:hideMark/>
          </w:tcPr>
          <w:p w14:paraId="5289F172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1100801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5B3E34B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 20g*5d </w:t>
            </w:r>
          </w:p>
          <w:p w14:paraId="7C78315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+ CYC </w:t>
            </w:r>
          </w:p>
        </w:tc>
        <w:tc>
          <w:tcPr>
            <w:tcW w:w="1417" w:type="dxa"/>
            <w:noWrap/>
            <w:hideMark/>
          </w:tcPr>
          <w:p w14:paraId="2A096B3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MTX</w:t>
            </w:r>
          </w:p>
        </w:tc>
        <w:tc>
          <w:tcPr>
            <w:tcW w:w="992" w:type="dxa"/>
            <w:noWrap/>
            <w:hideMark/>
          </w:tcPr>
          <w:p w14:paraId="4662CEA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579EED47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5ACA2D5F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663E310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7" w:type="dxa"/>
            <w:noWrap/>
            <w:hideMark/>
          </w:tcPr>
          <w:p w14:paraId="7AEB605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53" w:type="dxa"/>
            <w:noWrap/>
            <w:hideMark/>
          </w:tcPr>
          <w:p w14:paraId="32DC979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53AF701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0C6CEB9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0.2g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plasma exchange </w:t>
            </w:r>
          </w:p>
          <w:p w14:paraId="4996DEA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 + IVIG 20g*3d</w:t>
            </w:r>
          </w:p>
        </w:tc>
        <w:tc>
          <w:tcPr>
            <w:tcW w:w="1417" w:type="dxa"/>
            <w:noWrap/>
            <w:hideMark/>
          </w:tcPr>
          <w:p w14:paraId="3BE80AC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No drugs</w:t>
            </w:r>
          </w:p>
        </w:tc>
        <w:tc>
          <w:tcPr>
            <w:tcW w:w="992" w:type="dxa"/>
            <w:noWrap/>
            <w:hideMark/>
          </w:tcPr>
          <w:p w14:paraId="4FF3306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3F95397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</w:t>
            </w:r>
          </w:p>
        </w:tc>
      </w:tr>
      <w:tr w:rsidR="00AC022D" w:rsidRPr="00AC022D" w14:paraId="2B6BCBFD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193B769F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7" w:type="dxa"/>
            <w:noWrap/>
            <w:hideMark/>
          </w:tcPr>
          <w:p w14:paraId="194274D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3" w:type="dxa"/>
            <w:noWrap/>
            <w:hideMark/>
          </w:tcPr>
          <w:p w14:paraId="25888BEF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026D1C0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2ED907F8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 20g*3d </w:t>
            </w:r>
          </w:p>
          <w:p w14:paraId="57137D4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+ CYC→ MP pulse + CYC </w:t>
            </w:r>
          </w:p>
        </w:tc>
        <w:tc>
          <w:tcPr>
            <w:tcW w:w="1417" w:type="dxa"/>
            <w:noWrap/>
            <w:hideMark/>
          </w:tcPr>
          <w:p w14:paraId="7813D2A7" w14:textId="77777777" w:rsidR="00A65FDE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qod</w:t>
            </w:r>
            <w:proofErr w:type="spellEnd"/>
          </w:p>
          <w:p w14:paraId="21B8EE06" w14:textId="54DB31D6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MMF</w:t>
            </w:r>
          </w:p>
        </w:tc>
        <w:tc>
          <w:tcPr>
            <w:tcW w:w="992" w:type="dxa"/>
            <w:noWrap/>
            <w:hideMark/>
          </w:tcPr>
          <w:p w14:paraId="4E9013A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084DCAD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6D22154F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617D64A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7" w:type="dxa"/>
            <w:noWrap/>
            <w:hideMark/>
          </w:tcPr>
          <w:p w14:paraId="228A456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3" w:type="dxa"/>
            <w:noWrap/>
            <w:hideMark/>
          </w:tcPr>
          <w:p w14:paraId="2D95AD9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230D7D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06D51B1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</w:t>
            </w:r>
            <w:r w:rsidRPr="00AC022D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#</w:t>
            </w: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CYC </w:t>
            </w:r>
          </w:p>
        </w:tc>
        <w:tc>
          <w:tcPr>
            <w:tcW w:w="1417" w:type="dxa"/>
            <w:noWrap/>
            <w:hideMark/>
          </w:tcPr>
          <w:p w14:paraId="600698AA" w14:textId="77777777" w:rsidR="00A65FDE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="00A65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527B0EE7" w14:textId="65C8B64D" w:rsidR="00AC022D" w:rsidRPr="00AC022D" w:rsidRDefault="00A65FDE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+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LEF</w:t>
            </w:r>
          </w:p>
        </w:tc>
        <w:tc>
          <w:tcPr>
            <w:tcW w:w="992" w:type="dxa"/>
            <w:noWrap/>
            <w:hideMark/>
          </w:tcPr>
          <w:p w14:paraId="55F79C11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172B247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442EAEE9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4F98671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7" w:type="dxa"/>
            <w:noWrap/>
            <w:hideMark/>
          </w:tcPr>
          <w:p w14:paraId="24B8C7A3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3" w:type="dxa"/>
            <w:noWrap/>
            <w:hideMark/>
          </w:tcPr>
          <w:p w14:paraId="5FCF749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34B94795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694" w:type="dxa"/>
            <w:noWrap/>
            <w:hideMark/>
          </w:tcPr>
          <w:p w14:paraId="34796CF7" w14:textId="77777777" w:rsidR="00A65FDE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IVIG 20g *5d + MP 160mg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42FC00D6" w14:textId="2B8550CC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</w:t>
            </w:r>
          </w:p>
        </w:tc>
        <w:tc>
          <w:tcPr>
            <w:tcW w:w="1417" w:type="dxa"/>
            <w:noWrap/>
            <w:hideMark/>
          </w:tcPr>
          <w:p w14:paraId="58B8E62F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No drugs</w:t>
            </w:r>
          </w:p>
        </w:tc>
        <w:tc>
          <w:tcPr>
            <w:tcW w:w="992" w:type="dxa"/>
            <w:noWrap/>
            <w:hideMark/>
          </w:tcPr>
          <w:p w14:paraId="48638E1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2E4FBDB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71143B56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4DF903C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7" w:type="dxa"/>
            <w:noWrap/>
            <w:hideMark/>
          </w:tcPr>
          <w:p w14:paraId="6512A8A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3" w:type="dxa"/>
            <w:noWrap/>
            <w:hideMark/>
          </w:tcPr>
          <w:p w14:paraId="17DE0EA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3CE5D92A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694" w:type="dxa"/>
            <w:noWrap/>
            <w:hideMark/>
          </w:tcPr>
          <w:p w14:paraId="58C903B0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MP 160mg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IVIG</w:t>
            </w:r>
            <w:r w:rsidRPr="00AC022D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#</w:t>
            </w: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CYC</w:t>
            </w:r>
          </w:p>
        </w:tc>
        <w:tc>
          <w:tcPr>
            <w:tcW w:w="1417" w:type="dxa"/>
            <w:noWrap/>
            <w:hideMark/>
          </w:tcPr>
          <w:p w14:paraId="329F523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#</w:t>
            </w: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+ CYC</w:t>
            </w:r>
          </w:p>
        </w:tc>
        <w:tc>
          <w:tcPr>
            <w:tcW w:w="992" w:type="dxa"/>
            <w:noWrap/>
            <w:hideMark/>
          </w:tcPr>
          <w:p w14:paraId="25215182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0A40C00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  <w:tr w:rsidR="00AC022D" w:rsidRPr="00AC022D" w14:paraId="3EBD1932" w14:textId="77777777" w:rsidTr="00A65FDE">
        <w:trPr>
          <w:trHeight w:val="260"/>
        </w:trPr>
        <w:tc>
          <w:tcPr>
            <w:tcW w:w="636" w:type="dxa"/>
            <w:noWrap/>
            <w:hideMark/>
          </w:tcPr>
          <w:p w14:paraId="30354E2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7" w:type="dxa"/>
            <w:noWrap/>
            <w:hideMark/>
          </w:tcPr>
          <w:p w14:paraId="0804D89C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3" w:type="dxa"/>
            <w:noWrap/>
            <w:hideMark/>
          </w:tcPr>
          <w:p w14:paraId="3CF69E5B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5C25E00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694" w:type="dxa"/>
            <w:noWrap/>
            <w:hideMark/>
          </w:tcPr>
          <w:p w14:paraId="3411282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IVIG 20g *5d + MP 80mg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113DC99E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CYC + MTX</w:t>
            </w:r>
          </w:p>
        </w:tc>
        <w:tc>
          <w:tcPr>
            <w:tcW w:w="1417" w:type="dxa"/>
            <w:noWrap/>
            <w:hideMark/>
          </w:tcPr>
          <w:p w14:paraId="0A6C7264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Pred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5mg </w:t>
            </w:r>
            <w:proofErr w:type="spellStart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qd</w:t>
            </w:r>
            <w:proofErr w:type="spellEnd"/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7D6D1E72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+ AZA</w:t>
            </w:r>
          </w:p>
        </w:tc>
        <w:tc>
          <w:tcPr>
            <w:tcW w:w="992" w:type="dxa"/>
            <w:noWrap/>
            <w:hideMark/>
          </w:tcPr>
          <w:p w14:paraId="5E35FD7D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584A8AD6" w14:textId="77777777" w:rsidR="00AC022D" w:rsidRPr="00AC022D" w:rsidRDefault="00AC022D" w:rsidP="00AC022D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C022D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</w:tr>
    </w:tbl>
    <w:p w14:paraId="7B1854E9" w14:textId="3F795D35" w:rsidR="00A65FDE" w:rsidRDefault="00AC022D" w:rsidP="00673F64">
      <w:pPr>
        <w:widowControl/>
        <w:spacing w:before="120" w:after="240"/>
        <w:ind w:leftChars="-202" w:left="-424" w:rightChars="-297" w:right="-624"/>
        <w:jc w:val="left"/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</w:pPr>
      <w:bookmarkStart w:id="1" w:name="_Hlk103958576"/>
      <w:r w:rsidRPr="00AC022D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>EGPA, eosinophilic granulomatosis with polyangiitis</w:t>
      </w:r>
      <w:r w:rsidRPr="00AC022D">
        <w:rPr>
          <w:rFonts w:ascii="Times New Roman" w:eastAsia="宋体" w:hAnsi="Times New Roman" w:cs="Times New Roman" w:hint="eastAsia"/>
          <w:kern w:val="0"/>
          <w:sz w:val="18"/>
          <w:szCs w:val="18"/>
          <w:lang w:eastAsia="en-US"/>
        </w:rPr>
        <w:t>;</w:t>
      </w:r>
      <w:r w:rsidRPr="00AC022D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 IVIG, intravenous immunoglobulin;</w:t>
      </w:r>
      <w:r w:rsidRPr="00AC022D">
        <w:rPr>
          <w:rFonts w:ascii="Times New Roman" w:eastAsia="宋体" w:hAnsi="Times New Roman" w:cs="Times New Roman" w:hint="eastAsia"/>
          <w:kern w:val="0"/>
          <w:sz w:val="18"/>
          <w:szCs w:val="18"/>
          <w:lang w:eastAsia="en-US"/>
        </w:rPr>
        <w:t xml:space="preserve"> B</w:t>
      </w:r>
      <w:r w:rsidRPr="00AC022D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>VAS, Birmingham</w:t>
      </w:r>
      <w:r w:rsidR="00673F64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 </w:t>
      </w:r>
      <w:r w:rsidRPr="00AC022D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Vasculitis Activity Score; FFS, five factor score; PNS, peripheral nervous system; Y, yes, means the patients had heart or PNS involvement; N, no, means the patients did not have heart or PNS involvement in the fourth column and means no biologics were used in the “Biologics” column; MP, methylprednisolone; CYC, cyclophosphamide; </w:t>
      </w:r>
      <w:proofErr w:type="spellStart"/>
      <w:r w:rsidRPr="00AC022D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>Pred</w:t>
      </w:r>
      <w:proofErr w:type="spellEnd"/>
      <w:r w:rsidRPr="00AC022D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, prednisone; LEF, leflunomide; MTX, methotrexate; NA, the information was not clear; AZA, azathioprine; MMF, mycophenolate mofetil; CR, complete remission; PR, partial relief. </w:t>
      </w:r>
      <w:r w:rsidR="00A65FDE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 w:rsidRPr="00AC022D">
        <w:rPr>
          <w:rFonts w:ascii="Times New Roman" w:eastAsia="宋体" w:hAnsi="Times New Roman" w:cs="Times New Roman" w:hint="eastAsia"/>
          <w:kern w:val="0"/>
          <w:sz w:val="18"/>
          <w:szCs w:val="18"/>
          <w:lang w:eastAsia="en-US"/>
        </w:rPr>
        <w:t>#</w:t>
      </w:r>
      <w:r w:rsidRPr="00AC022D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, the exact dose is unknown. </w:t>
      </w:r>
    </w:p>
    <w:p w14:paraId="7B79F9A7" w14:textId="77777777" w:rsidR="00A65FDE" w:rsidRDefault="00A65FDE">
      <w:pPr>
        <w:widowControl/>
        <w:jc w:val="left"/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br w:type="page"/>
      </w:r>
    </w:p>
    <w:p w14:paraId="10F8A91F" w14:textId="77777777" w:rsidR="00A65FDE" w:rsidRPr="00A65FDE" w:rsidRDefault="00A65FDE" w:rsidP="00A65FDE">
      <w:pPr>
        <w:keepNext/>
        <w:widowControl/>
        <w:spacing w:before="120" w:after="240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  <w:lang w:eastAsia="en-US"/>
        </w:rPr>
      </w:pPr>
      <w:r w:rsidRPr="00A65FDE">
        <w:rPr>
          <w:rFonts w:ascii="Times New Roman" w:eastAsia="宋体" w:hAnsi="Times New Roman" w:cs="Times New Roman"/>
          <w:b/>
          <w:bCs/>
          <w:kern w:val="0"/>
          <w:szCs w:val="21"/>
          <w:lang w:eastAsia="en-US"/>
        </w:rPr>
        <w:t xml:space="preserve">Supplementary Table 3. </w:t>
      </w:r>
      <w:r w:rsidRPr="00A65FDE">
        <w:rPr>
          <w:rFonts w:ascii="Times New Roman" w:eastAsia="宋体" w:hAnsi="Times New Roman" w:cs="Times New Roman"/>
          <w:kern w:val="0"/>
          <w:szCs w:val="21"/>
          <w:lang w:eastAsia="en-US"/>
        </w:rPr>
        <w:t>Clinical features of death</w:t>
      </w:r>
      <w:r w:rsidRPr="00A65FDE">
        <w:rPr>
          <w:rFonts w:ascii="Times New Roman" w:eastAsia="宋体" w:hAnsi="Times New Roman" w:cs="Times New Roman" w:hint="eastAsia"/>
          <w:kern w:val="0"/>
          <w:szCs w:val="21"/>
          <w:lang w:eastAsia="en-US"/>
        </w:rPr>
        <w:t>s</w:t>
      </w:r>
      <w:r w:rsidRPr="00A65FDE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in the cohort</w:t>
      </w:r>
    </w:p>
    <w:tbl>
      <w:tblPr>
        <w:tblStyle w:val="2"/>
        <w:tblW w:w="9073" w:type="dxa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697"/>
        <w:gridCol w:w="551"/>
        <w:gridCol w:w="481"/>
        <w:gridCol w:w="617"/>
        <w:gridCol w:w="1004"/>
        <w:gridCol w:w="1423"/>
        <w:gridCol w:w="1272"/>
        <w:gridCol w:w="2121"/>
      </w:tblGrid>
      <w:tr w:rsidR="00A65FDE" w:rsidRPr="00A65FDE" w14:paraId="692E48F8" w14:textId="77777777" w:rsidTr="00673F64">
        <w:trPr>
          <w:trHeight w:val="28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7CC53B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ase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A74067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BVAS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5E6C56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FFS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6EEC92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GC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7661E6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CYC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968B9F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Biologics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772F26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Other immune-suppressants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945412" w14:textId="20E792EB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FU time,</w:t>
            </w:r>
            <w:r w:rsidR="00673F64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months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6A1180" w14:textId="77777777" w:rsidR="00A65FDE" w:rsidRPr="00A65FDE" w:rsidRDefault="00A65FDE" w:rsidP="00673F64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Cause of death</w:t>
            </w:r>
          </w:p>
        </w:tc>
      </w:tr>
      <w:tr w:rsidR="00A65FDE" w:rsidRPr="00A65FDE" w14:paraId="7C49A49A" w14:textId="77777777" w:rsidTr="00673F64">
        <w:trPr>
          <w:trHeight w:val="280"/>
        </w:trPr>
        <w:tc>
          <w:tcPr>
            <w:tcW w:w="907" w:type="dxa"/>
            <w:tcBorders>
              <w:top w:val="single" w:sz="4" w:space="0" w:color="auto"/>
            </w:tcBorders>
            <w:noWrap/>
            <w:hideMark/>
          </w:tcPr>
          <w:p w14:paraId="2FB23A78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hideMark/>
          </w:tcPr>
          <w:p w14:paraId="6379E868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</w:tcBorders>
            <w:noWrap/>
            <w:hideMark/>
          </w:tcPr>
          <w:p w14:paraId="56D5BD50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</w:tcBorders>
            <w:noWrap/>
            <w:hideMark/>
          </w:tcPr>
          <w:p w14:paraId="60CC969A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hideMark/>
          </w:tcPr>
          <w:p w14:paraId="23BA8B68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noWrap/>
            <w:hideMark/>
          </w:tcPr>
          <w:p w14:paraId="4682D91E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hideMark/>
          </w:tcPr>
          <w:p w14:paraId="24D0208D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noWrap/>
            <w:hideMark/>
          </w:tcPr>
          <w:p w14:paraId="5F7D9417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hideMark/>
          </w:tcPr>
          <w:p w14:paraId="6FA73282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Small cell lung cancer</w:t>
            </w:r>
          </w:p>
        </w:tc>
      </w:tr>
      <w:tr w:rsidR="00A65FDE" w:rsidRPr="00A65FDE" w14:paraId="5FE47577" w14:textId="77777777" w:rsidTr="00673F64">
        <w:trPr>
          <w:trHeight w:val="280"/>
        </w:trPr>
        <w:tc>
          <w:tcPr>
            <w:tcW w:w="907" w:type="dxa"/>
            <w:noWrap/>
            <w:hideMark/>
          </w:tcPr>
          <w:p w14:paraId="303CA00F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  <w:noWrap/>
            <w:hideMark/>
          </w:tcPr>
          <w:p w14:paraId="20D51985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1" w:type="dxa"/>
            <w:noWrap/>
            <w:hideMark/>
          </w:tcPr>
          <w:p w14:paraId="2A40D464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noWrap/>
            <w:hideMark/>
          </w:tcPr>
          <w:p w14:paraId="1420C856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17" w:type="dxa"/>
            <w:noWrap/>
            <w:hideMark/>
          </w:tcPr>
          <w:p w14:paraId="48B25413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04" w:type="dxa"/>
            <w:noWrap/>
            <w:hideMark/>
          </w:tcPr>
          <w:p w14:paraId="7C5025A8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23" w:type="dxa"/>
            <w:noWrap/>
            <w:hideMark/>
          </w:tcPr>
          <w:p w14:paraId="29C1862F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272" w:type="dxa"/>
            <w:noWrap/>
            <w:hideMark/>
          </w:tcPr>
          <w:p w14:paraId="00457F23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hideMark/>
          </w:tcPr>
          <w:p w14:paraId="052B0ED3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Digestive tract perforation</w:t>
            </w:r>
          </w:p>
        </w:tc>
      </w:tr>
      <w:tr w:rsidR="00A65FDE" w:rsidRPr="00A65FDE" w14:paraId="5D3DFFF1" w14:textId="77777777" w:rsidTr="00673F64">
        <w:trPr>
          <w:trHeight w:val="280"/>
        </w:trPr>
        <w:tc>
          <w:tcPr>
            <w:tcW w:w="907" w:type="dxa"/>
            <w:noWrap/>
            <w:hideMark/>
          </w:tcPr>
          <w:p w14:paraId="5A7B4303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noWrap/>
            <w:hideMark/>
          </w:tcPr>
          <w:p w14:paraId="45C6A98C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51" w:type="dxa"/>
            <w:noWrap/>
            <w:hideMark/>
          </w:tcPr>
          <w:p w14:paraId="7163496E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noWrap/>
            <w:hideMark/>
          </w:tcPr>
          <w:p w14:paraId="0904FE8B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17" w:type="dxa"/>
            <w:noWrap/>
            <w:hideMark/>
          </w:tcPr>
          <w:p w14:paraId="1FA5DE75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04" w:type="dxa"/>
            <w:noWrap/>
            <w:hideMark/>
          </w:tcPr>
          <w:p w14:paraId="3953FEAE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23" w:type="dxa"/>
            <w:noWrap/>
            <w:hideMark/>
          </w:tcPr>
          <w:p w14:paraId="665E1A52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272" w:type="dxa"/>
            <w:noWrap/>
            <w:hideMark/>
          </w:tcPr>
          <w:p w14:paraId="4324B612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1" w:type="dxa"/>
            <w:hideMark/>
          </w:tcPr>
          <w:p w14:paraId="7269BB29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Chronic myelomonocytic leukemia</w:t>
            </w:r>
          </w:p>
        </w:tc>
      </w:tr>
      <w:tr w:rsidR="00A65FDE" w:rsidRPr="00A65FDE" w14:paraId="67DD168B" w14:textId="77777777" w:rsidTr="00673F64">
        <w:trPr>
          <w:trHeight w:val="520"/>
        </w:trPr>
        <w:tc>
          <w:tcPr>
            <w:tcW w:w="907" w:type="dxa"/>
            <w:noWrap/>
            <w:hideMark/>
          </w:tcPr>
          <w:p w14:paraId="2E9097B2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  <w:noWrap/>
            <w:hideMark/>
          </w:tcPr>
          <w:p w14:paraId="7C1844A7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51" w:type="dxa"/>
            <w:noWrap/>
            <w:hideMark/>
          </w:tcPr>
          <w:p w14:paraId="4A0EB553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noWrap/>
            <w:hideMark/>
          </w:tcPr>
          <w:p w14:paraId="314F1854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17" w:type="dxa"/>
            <w:noWrap/>
            <w:hideMark/>
          </w:tcPr>
          <w:p w14:paraId="42652CED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04" w:type="dxa"/>
            <w:noWrap/>
            <w:hideMark/>
          </w:tcPr>
          <w:p w14:paraId="3E7954D8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23" w:type="dxa"/>
            <w:noWrap/>
            <w:hideMark/>
          </w:tcPr>
          <w:p w14:paraId="4FB8A6A7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272" w:type="dxa"/>
            <w:noWrap/>
            <w:hideMark/>
          </w:tcPr>
          <w:p w14:paraId="79DE39BE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1" w:type="dxa"/>
            <w:hideMark/>
          </w:tcPr>
          <w:p w14:paraId="5D5A2F80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Intestinal perforation with infection and myocardial involvement</w:t>
            </w:r>
          </w:p>
        </w:tc>
      </w:tr>
      <w:tr w:rsidR="00A65FDE" w:rsidRPr="00A65FDE" w14:paraId="07AC94D0" w14:textId="77777777" w:rsidTr="00673F64">
        <w:trPr>
          <w:trHeight w:val="520"/>
        </w:trPr>
        <w:tc>
          <w:tcPr>
            <w:tcW w:w="907" w:type="dxa"/>
            <w:noWrap/>
            <w:hideMark/>
          </w:tcPr>
          <w:p w14:paraId="27B6B28E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  <w:noWrap/>
            <w:hideMark/>
          </w:tcPr>
          <w:p w14:paraId="26ECC62F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1" w:type="dxa"/>
            <w:noWrap/>
            <w:hideMark/>
          </w:tcPr>
          <w:p w14:paraId="647BAF52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" w:type="dxa"/>
            <w:noWrap/>
            <w:hideMark/>
          </w:tcPr>
          <w:p w14:paraId="7801CA1B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17" w:type="dxa"/>
            <w:noWrap/>
            <w:hideMark/>
          </w:tcPr>
          <w:p w14:paraId="77B36E88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004" w:type="dxa"/>
            <w:noWrap/>
            <w:hideMark/>
          </w:tcPr>
          <w:p w14:paraId="39A45A02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23" w:type="dxa"/>
            <w:noWrap/>
            <w:hideMark/>
          </w:tcPr>
          <w:p w14:paraId="711DC947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HCQ+T2 </w:t>
            </w:r>
          </w:p>
        </w:tc>
        <w:tc>
          <w:tcPr>
            <w:tcW w:w="1272" w:type="dxa"/>
            <w:noWrap/>
            <w:hideMark/>
          </w:tcPr>
          <w:p w14:paraId="1EBF9EBC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1" w:type="dxa"/>
            <w:hideMark/>
          </w:tcPr>
          <w:p w14:paraId="3839422D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Multiple organ failure with severe infection</w:t>
            </w:r>
          </w:p>
        </w:tc>
      </w:tr>
      <w:tr w:rsidR="00A65FDE" w:rsidRPr="00A65FDE" w14:paraId="2BFCAE11" w14:textId="77777777" w:rsidTr="00673F64">
        <w:trPr>
          <w:trHeight w:val="280"/>
        </w:trPr>
        <w:tc>
          <w:tcPr>
            <w:tcW w:w="907" w:type="dxa"/>
            <w:noWrap/>
            <w:hideMark/>
          </w:tcPr>
          <w:p w14:paraId="02D5A896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noWrap/>
            <w:hideMark/>
          </w:tcPr>
          <w:p w14:paraId="59B13EBC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1" w:type="dxa"/>
            <w:noWrap/>
            <w:hideMark/>
          </w:tcPr>
          <w:p w14:paraId="7FC08DA2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noWrap/>
            <w:hideMark/>
          </w:tcPr>
          <w:p w14:paraId="190680CE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17" w:type="dxa"/>
            <w:noWrap/>
            <w:hideMark/>
          </w:tcPr>
          <w:p w14:paraId="2988298B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04" w:type="dxa"/>
            <w:noWrap/>
            <w:hideMark/>
          </w:tcPr>
          <w:p w14:paraId="67AE70A4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23" w:type="dxa"/>
            <w:noWrap/>
            <w:hideMark/>
          </w:tcPr>
          <w:p w14:paraId="2A2437CB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272" w:type="dxa"/>
            <w:noWrap/>
            <w:hideMark/>
          </w:tcPr>
          <w:p w14:paraId="4A7D3605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1" w:type="dxa"/>
            <w:hideMark/>
          </w:tcPr>
          <w:p w14:paraId="408E3E66" w14:textId="77777777" w:rsidR="00A65FDE" w:rsidRPr="00A65FDE" w:rsidRDefault="00A65FDE" w:rsidP="00A65FDE">
            <w:pPr>
              <w:widowControl/>
              <w:spacing w:before="120" w:after="2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FDE">
              <w:rPr>
                <w:rFonts w:ascii="Times New Roman" w:eastAsia="宋体" w:hAnsi="Times New Roman" w:cs="Times New Roman"/>
                <w:sz w:val="18"/>
                <w:szCs w:val="18"/>
              </w:rPr>
              <w:t>Sudden aneurysm rupture</w:t>
            </w:r>
          </w:p>
        </w:tc>
      </w:tr>
    </w:tbl>
    <w:p w14:paraId="7F44C979" w14:textId="10E8F659" w:rsidR="000C0B07" w:rsidRPr="0040446B" w:rsidRDefault="00A65FDE" w:rsidP="0040446B">
      <w:pPr>
        <w:widowControl/>
        <w:spacing w:before="120" w:after="240"/>
        <w:ind w:leftChars="-135" w:left="-283" w:rightChars="-297" w:right="-624"/>
        <w:jc w:val="left"/>
        <w:rPr>
          <w:rFonts w:ascii="Times New Roman" w:eastAsia="宋体" w:hAnsi="Times New Roman" w:cs="Times New Roman" w:hint="eastAsia"/>
          <w:kern w:val="0"/>
          <w:sz w:val="18"/>
          <w:szCs w:val="18"/>
          <w:lang w:eastAsia="en-US"/>
        </w:rPr>
      </w:pPr>
      <w:r w:rsidRPr="00A65FDE">
        <w:rPr>
          <w:rFonts w:ascii="Times New Roman" w:eastAsia="宋体" w:hAnsi="Times New Roman" w:cs="Times New Roman" w:hint="eastAsia"/>
          <w:kern w:val="0"/>
          <w:sz w:val="18"/>
          <w:szCs w:val="18"/>
          <w:lang w:eastAsia="en-US"/>
        </w:rPr>
        <w:t>B</w:t>
      </w:r>
      <w:r w:rsidRPr="00A65FDE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>VAS, eosinophilic granulomatosis with polyangiitis</w:t>
      </w:r>
      <w:r w:rsidRPr="00A65FDE">
        <w:rPr>
          <w:rFonts w:ascii="Times New Roman" w:eastAsia="宋体" w:hAnsi="Times New Roman" w:cs="Times New Roman" w:hint="eastAsia"/>
          <w:kern w:val="0"/>
          <w:sz w:val="18"/>
          <w:szCs w:val="18"/>
          <w:lang w:eastAsia="en-US"/>
        </w:rPr>
        <w:t>;</w:t>
      </w:r>
      <w:r w:rsidRPr="00A65FDE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 FFS, five factor score; GC, glucocorticoid; CYC,</w:t>
      </w:r>
      <w:r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 </w:t>
      </w:r>
      <w:r w:rsidRPr="00A65FDE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>cyclophosphamide; FU, follow-up; Y, yes, means the patients were administered the corresponding drugs; N, no,</w:t>
      </w:r>
      <w:r w:rsidR="00673F64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 w:rsidRPr="00A65FDE"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means the patients were not administered the corresponding drugs; HCQ, hydroxychloroquine; T2, Tripterygium. </w:t>
      </w:r>
      <w:bookmarkEnd w:id="1"/>
    </w:p>
    <w:sectPr w:rsidR="000C0B07" w:rsidRPr="0040446B" w:rsidSect="00A65FD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6E"/>
    <w:rsid w:val="000C0B07"/>
    <w:rsid w:val="0040446B"/>
    <w:rsid w:val="00434F6E"/>
    <w:rsid w:val="00673F64"/>
    <w:rsid w:val="00A65FDE"/>
    <w:rsid w:val="00A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3688"/>
  <w15:chartTrackingRefBased/>
  <w15:docId w15:val="{788CF33C-46EF-489E-9761-C479EDB6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C022D"/>
    <w:rPr>
      <w:sz w:val="18"/>
      <w:szCs w:val="18"/>
    </w:rPr>
  </w:style>
  <w:style w:type="table" w:styleId="a5">
    <w:name w:val="Table Grid"/>
    <w:basedOn w:val="a1"/>
    <w:uiPriority w:val="39"/>
    <w:rsid w:val="00AC022D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39"/>
    <w:rsid w:val="00AC022D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39"/>
    <w:rsid w:val="00A65FDE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suying_liu10@163.com</dc:creator>
  <cp:keywords/>
  <dc:description/>
  <cp:lastModifiedBy>suying_liu10@163.com</cp:lastModifiedBy>
  <cp:revision>3</cp:revision>
  <dcterms:created xsi:type="dcterms:W3CDTF">2022-06-10T02:48:00Z</dcterms:created>
  <dcterms:modified xsi:type="dcterms:W3CDTF">2022-06-10T03:13:00Z</dcterms:modified>
</cp:coreProperties>
</file>