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930F" w14:textId="41E26048" w:rsidR="006627C2" w:rsidRPr="00815DF6" w:rsidRDefault="00E110B6" w:rsidP="00E110B6">
      <w:pPr>
        <w:pStyle w:val="Heading1"/>
        <w:numPr>
          <w:ilvl w:val="0"/>
          <w:numId w:val="0"/>
        </w:numPr>
        <w:ind w:left="567" w:hanging="567"/>
        <w:rPr>
          <w:b w:val="0"/>
          <w:bCs/>
        </w:rPr>
      </w:pPr>
      <w:r w:rsidRPr="00815DF6">
        <w:rPr>
          <w:b w:val="0"/>
          <w:bCs/>
        </w:rPr>
        <w:t xml:space="preserve">Supplementary </w:t>
      </w:r>
      <w:r w:rsidR="00D46F51" w:rsidRPr="00815DF6">
        <w:rPr>
          <w:b w:val="0"/>
          <w:bCs/>
        </w:rPr>
        <w:t xml:space="preserve">Table 1: Summary of </w:t>
      </w:r>
      <w:r w:rsidR="00EE060B" w:rsidRPr="00815DF6">
        <w:rPr>
          <w:b w:val="0"/>
          <w:bCs/>
        </w:rPr>
        <w:t>Digital Health Tool Implementations Ass</w:t>
      </w:r>
      <w:r w:rsidR="00D46F51" w:rsidRPr="00815DF6">
        <w:rPr>
          <w:b w:val="0"/>
          <w:bCs/>
        </w:rPr>
        <w:t>essed</w:t>
      </w:r>
      <w:r w:rsidR="00CA1201">
        <w:rPr>
          <w:b w:val="0"/>
          <w:bCs/>
        </w:rPr>
        <w:t xml:space="preserve"> </w:t>
      </w:r>
    </w:p>
    <w:tbl>
      <w:tblPr>
        <w:tblStyle w:val="TableGrid"/>
        <w:tblW w:w="0" w:type="auto"/>
        <w:tblLook w:val="04A0" w:firstRow="1" w:lastRow="0" w:firstColumn="1" w:lastColumn="0" w:noHBand="0" w:noVBand="1"/>
      </w:tblPr>
      <w:tblGrid>
        <w:gridCol w:w="1763"/>
        <w:gridCol w:w="2192"/>
        <w:gridCol w:w="2790"/>
        <w:gridCol w:w="3022"/>
      </w:tblGrid>
      <w:tr w:rsidR="00FC24D9" w:rsidRPr="00815DF6" w14:paraId="533C8B2E" w14:textId="77777777" w:rsidTr="33E01955">
        <w:trPr>
          <w:tblHeader/>
        </w:trPr>
        <w:tc>
          <w:tcPr>
            <w:tcW w:w="1763" w:type="dxa"/>
          </w:tcPr>
          <w:p w14:paraId="477502A9" w14:textId="14988231" w:rsidR="00A50BC2" w:rsidRPr="00815DF6" w:rsidRDefault="00EE06A9" w:rsidP="00A50BC2">
            <w:pPr>
              <w:pStyle w:val="Heading1"/>
              <w:numPr>
                <w:ilvl w:val="0"/>
                <w:numId w:val="0"/>
              </w:numPr>
              <w:outlineLvl w:val="0"/>
            </w:pPr>
            <w:r w:rsidRPr="00815DF6">
              <w:t>Tool (Country)</w:t>
            </w:r>
          </w:p>
        </w:tc>
        <w:tc>
          <w:tcPr>
            <w:tcW w:w="2192" w:type="dxa"/>
          </w:tcPr>
          <w:p w14:paraId="6EF3F23F" w14:textId="1FAA4B4C" w:rsidR="00A50BC2" w:rsidRPr="00815DF6" w:rsidRDefault="00A50BC2" w:rsidP="00A50BC2">
            <w:pPr>
              <w:pStyle w:val="Heading1"/>
              <w:numPr>
                <w:ilvl w:val="0"/>
                <w:numId w:val="0"/>
              </w:numPr>
              <w:outlineLvl w:val="0"/>
            </w:pPr>
            <w:r w:rsidRPr="00815DF6">
              <w:t>Implementation Story</w:t>
            </w:r>
          </w:p>
        </w:tc>
        <w:tc>
          <w:tcPr>
            <w:tcW w:w="2790" w:type="dxa"/>
          </w:tcPr>
          <w:p w14:paraId="58E08D73" w14:textId="63176B37" w:rsidR="00A50BC2" w:rsidRPr="00815DF6" w:rsidRDefault="00A50BC2" w:rsidP="00A50BC2">
            <w:pPr>
              <w:pStyle w:val="Heading1"/>
              <w:numPr>
                <w:ilvl w:val="0"/>
                <w:numId w:val="0"/>
              </w:numPr>
              <w:outlineLvl w:val="0"/>
            </w:pPr>
            <w:r w:rsidRPr="00815DF6">
              <w:t>Indicators of Scale</w:t>
            </w:r>
          </w:p>
        </w:tc>
        <w:tc>
          <w:tcPr>
            <w:tcW w:w="3022" w:type="dxa"/>
          </w:tcPr>
          <w:p w14:paraId="399F4FD1" w14:textId="64D7DFD3" w:rsidR="00A50BC2" w:rsidRPr="00815DF6" w:rsidRDefault="00A50BC2" w:rsidP="00D44B0E">
            <w:pPr>
              <w:pStyle w:val="Heading1"/>
              <w:numPr>
                <w:ilvl w:val="0"/>
                <w:numId w:val="0"/>
              </w:numPr>
              <w:spacing w:after="240"/>
              <w:outlineLvl w:val="0"/>
            </w:pPr>
            <w:r>
              <w:t>Use Case(s), Primary Funding Source(s), User Group(s)</w:t>
            </w:r>
          </w:p>
        </w:tc>
      </w:tr>
      <w:tr w:rsidR="00FC24D9" w:rsidRPr="00815DF6" w14:paraId="1D9A85E3" w14:textId="77777777" w:rsidTr="33E01955">
        <w:tc>
          <w:tcPr>
            <w:tcW w:w="1763" w:type="dxa"/>
          </w:tcPr>
          <w:p w14:paraId="5E7F0A02" w14:textId="762DBE74" w:rsidR="00A50BC2" w:rsidRPr="00815DF6" w:rsidRDefault="00A50BC2" w:rsidP="00A50BC2">
            <w:pPr>
              <w:pStyle w:val="Heading1"/>
              <w:numPr>
                <w:ilvl w:val="0"/>
                <w:numId w:val="0"/>
              </w:numPr>
              <w:outlineLvl w:val="0"/>
            </w:pPr>
            <w:proofErr w:type="spellStart"/>
            <w:r w:rsidRPr="00815DF6">
              <w:t>CommCare</w:t>
            </w:r>
            <w:proofErr w:type="spellEnd"/>
            <w:r w:rsidRPr="00815DF6">
              <w:t xml:space="preserve"> (Burkina Faso)</w:t>
            </w:r>
          </w:p>
        </w:tc>
        <w:tc>
          <w:tcPr>
            <w:tcW w:w="2192" w:type="dxa"/>
          </w:tcPr>
          <w:p w14:paraId="4AAFD3F4" w14:textId="0DB73007" w:rsidR="00A50BC2" w:rsidRPr="00815DF6" w:rsidRDefault="00A50BC2" w:rsidP="00A50BC2">
            <w:pPr>
              <w:pStyle w:val="Heading1"/>
              <w:numPr>
                <w:ilvl w:val="0"/>
                <w:numId w:val="0"/>
              </w:numPr>
              <w:outlineLvl w:val="0"/>
            </w:pPr>
            <w:r w:rsidRPr="00815DF6">
              <w:rPr>
                <w:b w:val="0"/>
                <w:bCs/>
              </w:rPr>
              <w:t>Scale of an existing app enabled rapid adaptation for COVID-19</w:t>
            </w:r>
          </w:p>
        </w:tc>
        <w:tc>
          <w:tcPr>
            <w:tcW w:w="2790" w:type="dxa"/>
          </w:tcPr>
          <w:p w14:paraId="31200D41" w14:textId="5A6955AF" w:rsidR="00A50BC2" w:rsidRPr="00815DF6" w:rsidRDefault="00A50BC2" w:rsidP="00A50BC2">
            <w:pPr>
              <w:pStyle w:val="Heading1"/>
              <w:numPr>
                <w:ilvl w:val="0"/>
                <w:numId w:val="0"/>
              </w:numPr>
              <w:outlineLvl w:val="0"/>
            </w:pPr>
            <w:proofErr w:type="spellStart"/>
            <w:r w:rsidRPr="00815DF6">
              <w:rPr>
                <w:b w:val="0"/>
                <w:bCs/>
              </w:rPr>
              <w:t>CommCare</w:t>
            </w:r>
            <w:proofErr w:type="spellEnd"/>
            <w:r w:rsidRPr="00815DF6">
              <w:rPr>
                <w:b w:val="0"/>
                <w:bCs/>
              </w:rPr>
              <w:t xml:space="preserve"> has scaled to over 1,400 primary care facilities in Burkina Faso and is used by over 6,300 health care workers</w:t>
            </w:r>
          </w:p>
        </w:tc>
        <w:tc>
          <w:tcPr>
            <w:tcW w:w="3022" w:type="dxa"/>
          </w:tcPr>
          <w:p w14:paraId="1A5A2582" w14:textId="4D0AE501" w:rsidR="00A50BC2" w:rsidRPr="00815DF6" w:rsidRDefault="001C2C3E" w:rsidP="00D44B0E">
            <w:pPr>
              <w:pStyle w:val="Heading1"/>
              <w:numPr>
                <w:ilvl w:val="0"/>
                <w:numId w:val="41"/>
              </w:numPr>
              <w:spacing w:before="0" w:after="0"/>
              <w:outlineLvl w:val="0"/>
            </w:pPr>
            <w:r w:rsidRPr="00815DF6">
              <w:rPr>
                <w:b w:val="0"/>
                <w:bCs/>
              </w:rPr>
              <w:t>C</w:t>
            </w:r>
            <w:r w:rsidR="00A50BC2" w:rsidRPr="00815DF6">
              <w:rPr>
                <w:b w:val="0"/>
                <w:bCs/>
              </w:rPr>
              <w:t>ase management</w:t>
            </w:r>
          </w:p>
          <w:p w14:paraId="7CBC7184" w14:textId="77777777" w:rsidR="008D2375" w:rsidRPr="00815DF6" w:rsidRDefault="00A50BC2" w:rsidP="00D44B0E">
            <w:pPr>
              <w:pStyle w:val="ListParagraph"/>
              <w:numPr>
                <w:ilvl w:val="0"/>
                <w:numId w:val="41"/>
              </w:numPr>
              <w:spacing w:before="0" w:after="0"/>
            </w:pPr>
            <w:r w:rsidRPr="00815DF6">
              <w:t>Donor</w:t>
            </w:r>
            <w:r w:rsidR="001C2C3E" w:rsidRPr="00815DF6">
              <w:t xml:space="preserve"> funding</w:t>
            </w:r>
          </w:p>
          <w:p w14:paraId="35A9442A" w14:textId="6B3B0E6C" w:rsidR="001C2C3E" w:rsidRPr="00815DF6" w:rsidRDefault="00FC121B" w:rsidP="00D44B0E">
            <w:pPr>
              <w:pStyle w:val="ListParagraph"/>
              <w:numPr>
                <w:ilvl w:val="0"/>
                <w:numId w:val="41"/>
              </w:numPr>
              <w:spacing w:before="0" w:after="0"/>
            </w:pPr>
            <w:r>
              <w:t>Health care providers</w:t>
            </w:r>
          </w:p>
        </w:tc>
      </w:tr>
      <w:tr w:rsidR="00F5351D" w:rsidRPr="00815DF6" w14:paraId="471C4C68" w14:textId="77777777" w:rsidTr="33E01955">
        <w:tc>
          <w:tcPr>
            <w:tcW w:w="1763" w:type="dxa"/>
          </w:tcPr>
          <w:p w14:paraId="03060561" w14:textId="657F3F3A" w:rsidR="00F5351D" w:rsidRPr="00815DF6" w:rsidRDefault="00F5351D" w:rsidP="00F5351D">
            <w:pPr>
              <w:pStyle w:val="Heading1"/>
              <w:numPr>
                <w:ilvl w:val="0"/>
                <w:numId w:val="0"/>
              </w:numPr>
              <w:outlineLvl w:val="0"/>
            </w:pPr>
            <w:r w:rsidRPr="00815DF6">
              <w:t>Co-WIN (India)</w:t>
            </w:r>
          </w:p>
        </w:tc>
        <w:tc>
          <w:tcPr>
            <w:tcW w:w="2192" w:type="dxa"/>
          </w:tcPr>
          <w:p w14:paraId="19090942" w14:textId="5DA98FB3" w:rsidR="00F5351D" w:rsidRPr="004D4B51" w:rsidRDefault="00F5351D" w:rsidP="00F5351D">
            <w:pPr>
              <w:pStyle w:val="Heading1"/>
              <w:numPr>
                <w:ilvl w:val="0"/>
                <w:numId w:val="0"/>
              </w:numPr>
              <w:outlineLvl w:val="0"/>
              <w:rPr>
                <w:b w:val="0"/>
                <w:bCs/>
              </w:rPr>
            </w:pPr>
            <w:r w:rsidRPr="004D4B51">
              <w:rPr>
                <w:b w:val="0"/>
                <w:bCs/>
              </w:rPr>
              <w:t>Leveraging a digital platform for India’s COVID-19 vaccination response</w:t>
            </w:r>
          </w:p>
        </w:tc>
        <w:tc>
          <w:tcPr>
            <w:tcW w:w="2790" w:type="dxa"/>
          </w:tcPr>
          <w:p w14:paraId="0AB4EEDA" w14:textId="138A5F1A" w:rsidR="00F5351D" w:rsidRPr="004D4B51" w:rsidRDefault="00B71B10" w:rsidP="00F5351D">
            <w:pPr>
              <w:pStyle w:val="Heading1"/>
              <w:numPr>
                <w:ilvl w:val="0"/>
                <w:numId w:val="0"/>
              </w:numPr>
              <w:outlineLvl w:val="0"/>
              <w:rPr>
                <w:b w:val="0"/>
                <w:bCs/>
              </w:rPr>
            </w:pPr>
            <w:r w:rsidRPr="004D4B51">
              <w:rPr>
                <w:b w:val="0"/>
                <w:bCs/>
              </w:rPr>
              <w:t xml:space="preserve">By January 2022, the platform had over 940 million </w:t>
            </w:r>
            <w:r w:rsidR="00BE771F" w:rsidRPr="004D4B51">
              <w:rPr>
                <w:b w:val="0"/>
                <w:bCs/>
              </w:rPr>
              <w:t xml:space="preserve">registered users; </w:t>
            </w:r>
            <w:proofErr w:type="spellStart"/>
            <w:r w:rsidR="00BE771F" w:rsidRPr="004D4B51">
              <w:rPr>
                <w:b w:val="0"/>
                <w:bCs/>
              </w:rPr>
              <w:t>CoWIN</w:t>
            </w:r>
            <w:proofErr w:type="spellEnd"/>
            <w:r w:rsidR="00BE771F" w:rsidRPr="004D4B51">
              <w:rPr>
                <w:b w:val="0"/>
                <w:bCs/>
              </w:rPr>
              <w:t xml:space="preserve"> helped administer 1 billion vaccine doses over nine months</w:t>
            </w:r>
          </w:p>
        </w:tc>
        <w:tc>
          <w:tcPr>
            <w:tcW w:w="3022" w:type="dxa"/>
          </w:tcPr>
          <w:p w14:paraId="49E46A81" w14:textId="77777777" w:rsidR="00F5351D" w:rsidRPr="00B71B10" w:rsidRDefault="00F5351D" w:rsidP="00F5351D">
            <w:pPr>
              <w:pStyle w:val="Heading1"/>
              <w:numPr>
                <w:ilvl w:val="0"/>
                <w:numId w:val="36"/>
              </w:numPr>
              <w:spacing w:before="0" w:after="0"/>
              <w:outlineLvl w:val="0"/>
              <w:rPr>
                <w:b w:val="0"/>
                <w:bCs/>
              </w:rPr>
            </w:pPr>
            <w:r w:rsidRPr="00B71B10">
              <w:rPr>
                <w:b w:val="0"/>
                <w:bCs/>
              </w:rPr>
              <w:t xml:space="preserve">Vaccine supply chain, </w:t>
            </w:r>
            <w:proofErr w:type="gramStart"/>
            <w:r w:rsidRPr="00B71B10">
              <w:rPr>
                <w:b w:val="0"/>
                <w:bCs/>
              </w:rPr>
              <w:t>registration</w:t>
            </w:r>
            <w:proofErr w:type="gramEnd"/>
            <w:r w:rsidRPr="00B71B10">
              <w:rPr>
                <w:b w:val="0"/>
                <w:bCs/>
              </w:rPr>
              <w:t xml:space="preserve"> and certification</w:t>
            </w:r>
          </w:p>
          <w:p w14:paraId="5AD6B499" w14:textId="77777777" w:rsidR="00F5351D" w:rsidRPr="00B71B10" w:rsidRDefault="00F5351D" w:rsidP="00F5351D">
            <w:pPr>
              <w:pStyle w:val="Heading1"/>
              <w:numPr>
                <w:ilvl w:val="0"/>
                <w:numId w:val="36"/>
              </w:numPr>
              <w:spacing w:before="0" w:after="0"/>
              <w:outlineLvl w:val="0"/>
              <w:rPr>
                <w:b w:val="0"/>
                <w:bCs/>
              </w:rPr>
            </w:pPr>
            <w:r w:rsidRPr="00B71B10">
              <w:rPr>
                <w:b w:val="0"/>
                <w:bCs/>
              </w:rPr>
              <w:t>Government and donor funding</w:t>
            </w:r>
          </w:p>
          <w:p w14:paraId="5A3BE711" w14:textId="79DB3456" w:rsidR="00F5351D" w:rsidRPr="00B71B10" w:rsidRDefault="00F5351D" w:rsidP="00F5351D">
            <w:pPr>
              <w:pStyle w:val="Heading1"/>
              <w:numPr>
                <w:ilvl w:val="0"/>
                <w:numId w:val="41"/>
              </w:numPr>
              <w:spacing w:before="0" w:after="0"/>
              <w:outlineLvl w:val="0"/>
              <w:rPr>
                <w:b w:val="0"/>
                <w:bCs/>
              </w:rPr>
            </w:pPr>
            <w:r w:rsidRPr="00B71B10">
              <w:rPr>
                <w:b w:val="0"/>
                <w:bCs/>
              </w:rPr>
              <w:t>Health system managers, health care providers, clients</w:t>
            </w:r>
          </w:p>
        </w:tc>
      </w:tr>
      <w:tr w:rsidR="00F5351D" w:rsidRPr="00815DF6" w14:paraId="5082A87B" w14:textId="77777777" w:rsidTr="33E01955">
        <w:tc>
          <w:tcPr>
            <w:tcW w:w="1763" w:type="dxa"/>
          </w:tcPr>
          <w:p w14:paraId="5E4EB526" w14:textId="2620A47C" w:rsidR="00F5351D" w:rsidRPr="00815DF6" w:rsidRDefault="00F5351D" w:rsidP="00F5351D">
            <w:pPr>
              <w:pStyle w:val="Heading1"/>
              <w:numPr>
                <w:ilvl w:val="0"/>
                <w:numId w:val="0"/>
              </w:numPr>
              <w:outlineLvl w:val="0"/>
            </w:pPr>
            <w:r w:rsidRPr="00815DF6">
              <w:t>Unified COVID-19 Data Platform (Uttar Pradesh, India)</w:t>
            </w:r>
          </w:p>
        </w:tc>
        <w:tc>
          <w:tcPr>
            <w:tcW w:w="2192" w:type="dxa"/>
          </w:tcPr>
          <w:p w14:paraId="0C8848D3" w14:textId="4D52DE3F" w:rsidR="00F5351D" w:rsidRPr="00815DF6" w:rsidRDefault="00F5351D" w:rsidP="00F5351D">
            <w:pPr>
              <w:pStyle w:val="Heading1"/>
              <w:numPr>
                <w:ilvl w:val="0"/>
                <w:numId w:val="0"/>
              </w:numPr>
              <w:outlineLvl w:val="0"/>
              <w:rPr>
                <w:b w:val="0"/>
                <w:bCs/>
              </w:rPr>
            </w:pPr>
            <w:r w:rsidRPr="00815DF6">
              <w:rPr>
                <w:b w:val="0"/>
                <w:bCs/>
              </w:rPr>
              <w:t>An integrated end-to-end surveillance platform for COVID-19 response</w:t>
            </w:r>
          </w:p>
        </w:tc>
        <w:tc>
          <w:tcPr>
            <w:tcW w:w="2790" w:type="dxa"/>
          </w:tcPr>
          <w:p w14:paraId="635E8E35" w14:textId="7F24EF60" w:rsidR="00F5351D" w:rsidRPr="00815DF6" w:rsidRDefault="00F5351D" w:rsidP="00F5351D">
            <w:pPr>
              <w:pStyle w:val="Heading1"/>
              <w:numPr>
                <w:ilvl w:val="0"/>
                <w:numId w:val="0"/>
              </w:numPr>
              <w:outlineLvl w:val="0"/>
              <w:rPr>
                <w:b w:val="0"/>
                <w:bCs/>
              </w:rPr>
            </w:pPr>
            <w:r w:rsidRPr="00815DF6">
              <w:rPr>
                <w:b w:val="0"/>
                <w:bCs/>
              </w:rPr>
              <w:t>As of July 2021, the platform enabled the state of Uttar Pradesh to track nearly 49.6 million potential cases across the continuum of care and manage 1.7 million positive cases</w:t>
            </w:r>
          </w:p>
        </w:tc>
        <w:tc>
          <w:tcPr>
            <w:tcW w:w="3022" w:type="dxa"/>
          </w:tcPr>
          <w:p w14:paraId="47002392" w14:textId="77777777" w:rsidR="00F5351D" w:rsidRPr="00B71B10" w:rsidRDefault="00F5351D" w:rsidP="00F5351D">
            <w:pPr>
              <w:pStyle w:val="Heading1"/>
              <w:numPr>
                <w:ilvl w:val="0"/>
                <w:numId w:val="36"/>
              </w:numPr>
              <w:spacing w:before="0" w:after="0"/>
              <w:outlineLvl w:val="0"/>
              <w:rPr>
                <w:b w:val="0"/>
                <w:bCs/>
              </w:rPr>
            </w:pPr>
            <w:r w:rsidRPr="00B71B10">
              <w:rPr>
                <w:b w:val="0"/>
                <w:bCs/>
              </w:rPr>
              <w:t xml:space="preserve">Surveillance, contact tracing, </w:t>
            </w:r>
            <w:proofErr w:type="gramStart"/>
            <w:r w:rsidRPr="00B71B10">
              <w:rPr>
                <w:b w:val="0"/>
                <w:bCs/>
              </w:rPr>
              <w:t>facility</w:t>
            </w:r>
            <w:proofErr w:type="gramEnd"/>
            <w:r w:rsidRPr="00B71B10">
              <w:rPr>
                <w:b w:val="0"/>
                <w:bCs/>
              </w:rPr>
              <w:t xml:space="preserve"> and lab management</w:t>
            </w:r>
          </w:p>
          <w:p w14:paraId="6B616EE1" w14:textId="77777777" w:rsidR="00F5351D" w:rsidRPr="00B71B10" w:rsidRDefault="00F5351D" w:rsidP="00F5351D">
            <w:pPr>
              <w:pStyle w:val="ListParagraph"/>
              <w:numPr>
                <w:ilvl w:val="0"/>
                <w:numId w:val="36"/>
              </w:numPr>
              <w:spacing w:before="0" w:after="0"/>
              <w:rPr>
                <w:bCs/>
              </w:rPr>
            </w:pPr>
            <w:r w:rsidRPr="00B71B10">
              <w:rPr>
                <w:bCs/>
              </w:rPr>
              <w:t>Government and donor funding</w:t>
            </w:r>
          </w:p>
          <w:p w14:paraId="3D827300" w14:textId="13E79B96" w:rsidR="00F5351D" w:rsidRPr="00B71B10" w:rsidRDefault="00F5351D" w:rsidP="00F5351D">
            <w:pPr>
              <w:pStyle w:val="Heading1"/>
              <w:numPr>
                <w:ilvl w:val="0"/>
                <w:numId w:val="36"/>
              </w:numPr>
              <w:spacing w:before="0" w:after="0"/>
              <w:outlineLvl w:val="0"/>
              <w:rPr>
                <w:b w:val="0"/>
                <w:bCs/>
              </w:rPr>
            </w:pPr>
            <w:r w:rsidRPr="00B71B10">
              <w:rPr>
                <w:b w:val="0"/>
                <w:bCs/>
              </w:rPr>
              <w:t>Health system managers, health care providers, clients</w:t>
            </w:r>
          </w:p>
        </w:tc>
      </w:tr>
      <w:tr w:rsidR="00FC24D9" w:rsidRPr="00815DF6" w14:paraId="594D1AC7" w14:textId="77777777" w:rsidTr="33E01955">
        <w:tc>
          <w:tcPr>
            <w:tcW w:w="1763" w:type="dxa"/>
          </w:tcPr>
          <w:p w14:paraId="6D335F2C" w14:textId="33ABDED4" w:rsidR="00A50BC2" w:rsidRPr="00815DF6" w:rsidRDefault="00A50BC2" w:rsidP="00A50BC2">
            <w:pPr>
              <w:pStyle w:val="Heading1"/>
              <w:numPr>
                <w:ilvl w:val="0"/>
                <w:numId w:val="0"/>
              </w:numPr>
              <w:outlineLvl w:val="0"/>
            </w:pPr>
            <w:r w:rsidRPr="00815DF6">
              <w:t>SORMAS (Nigeria)</w:t>
            </w:r>
          </w:p>
        </w:tc>
        <w:tc>
          <w:tcPr>
            <w:tcW w:w="2192" w:type="dxa"/>
          </w:tcPr>
          <w:p w14:paraId="66D71DBB" w14:textId="2ED5204B" w:rsidR="00A50BC2" w:rsidRPr="00815DF6" w:rsidRDefault="00A50BC2" w:rsidP="00A50BC2">
            <w:pPr>
              <w:pStyle w:val="Heading1"/>
              <w:numPr>
                <w:ilvl w:val="0"/>
                <w:numId w:val="0"/>
              </w:numPr>
              <w:outlineLvl w:val="0"/>
            </w:pPr>
            <w:r w:rsidRPr="00815DF6">
              <w:rPr>
                <w:b w:val="0"/>
                <w:bCs/>
              </w:rPr>
              <w:t>Adapting a fully integrated surveillance system to track COVID-19</w:t>
            </w:r>
          </w:p>
        </w:tc>
        <w:tc>
          <w:tcPr>
            <w:tcW w:w="2790" w:type="dxa"/>
          </w:tcPr>
          <w:p w14:paraId="659C8DC9" w14:textId="0346EFE9" w:rsidR="00A50BC2" w:rsidRPr="00815DF6" w:rsidRDefault="00A50BC2" w:rsidP="00A50BC2">
            <w:pPr>
              <w:pStyle w:val="Heading1"/>
              <w:numPr>
                <w:ilvl w:val="0"/>
                <w:numId w:val="0"/>
              </w:numPr>
              <w:outlineLvl w:val="0"/>
            </w:pPr>
            <w:r w:rsidRPr="00815DF6">
              <w:rPr>
                <w:b w:val="0"/>
                <w:bCs/>
              </w:rPr>
              <w:t>SORMAS has been rolled out to all 36 states and the Federal Capital Territory; it has also rolled out in countries including Ghana, Germany, and Fiji</w:t>
            </w:r>
          </w:p>
        </w:tc>
        <w:tc>
          <w:tcPr>
            <w:tcW w:w="3022" w:type="dxa"/>
          </w:tcPr>
          <w:p w14:paraId="6FDF3F70" w14:textId="77777777" w:rsidR="00A50BC2" w:rsidRPr="00815DF6" w:rsidRDefault="00A50BC2" w:rsidP="00D44B0E">
            <w:pPr>
              <w:pStyle w:val="Heading1"/>
              <w:numPr>
                <w:ilvl w:val="0"/>
                <w:numId w:val="36"/>
              </w:numPr>
              <w:spacing w:before="0" w:after="0"/>
              <w:outlineLvl w:val="0"/>
              <w:rPr>
                <w:b w:val="0"/>
                <w:bCs/>
              </w:rPr>
            </w:pPr>
            <w:r w:rsidRPr="00815DF6">
              <w:rPr>
                <w:b w:val="0"/>
                <w:bCs/>
              </w:rPr>
              <w:t>Routine surveillance</w:t>
            </w:r>
          </w:p>
          <w:p w14:paraId="7FE5B72E" w14:textId="77777777" w:rsidR="00A50BC2" w:rsidRPr="00815DF6" w:rsidRDefault="00A50BC2" w:rsidP="00D44B0E">
            <w:pPr>
              <w:pStyle w:val="ListParagraph"/>
              <w:numPr>
                <w:ilvl w:val="0"/>
                <w:numId w:val="36"/>
              </w:numPr>
              <w:spacing w:before="0" w:after="0"/>
            </w:pPr>
            <w:r w:rsidRPr="00815DF6">
              <w:rPr>
                <w:bCs/>
              </w:rPr>
              <w:t>Donor funding, transitioning to country sources</w:t>
            </w:r>
          </w:p>
          <w:p w14:paraId="41F845B7" w14:textId="565581DB" w:rsidR="008D2375" w:rsidRPr="00815DF6" w:rsidRDefault="00FC121B" w:rsidP="00D44B0E">
            <w:pPr>
              <w:pStyle w:val="ListParagraph"/>
              <w:numPr>
                <w:ilvl w:val="0"/>
                <w:numId w:val="36"/>
              </w:numPr>
              <w:spacing w:before="0" w:after="0"/>
            </w:pPr>
            <w:r>
              <w:t>Health system managers</w:t>
            </w:r>
          </w:p>
        </w:tc>
      </w:tr>
      <w:tr w:rsidR="00FC24D9" w:rsidRPr="00815DF6" w14:paraId="64E8122E" w14:textId="77777777" w:rsidTr="33E01955">
        <w:tc>
          <w:tcPr>
            <w:tcW w:w="1763" w:type="dxa"/>
          </w:tcPr>
          <w:p w14:paraId="0D3895DD" w14:textId="2F336487" w:rsidR="00A50BC2" w:rsidRPr="00815DF6" w:rsidRDefault="00A50BC2" w:rsidP="00A50BC2">
            <w:pPr>
              <w:pStyle w:val="Heading1"/>
              <w:numPr>
                <w:ilvl w:val="0"/>
                <w:numId w:val="0"/>
              </w:numPr>
              <w:outlineLvl w:val="0"/>
            </w:pPr>
            <w:proofErr w:type="spellStart"/>
            <w:r w:rsidRPr="00815DF6">
              <w:t>HealthConnect</w:t>
            </w:r>
            <w:proofErr w:type="spellEnd"/>
            <w:r w:rsidRPr="00815DF6">
              <w:t xml:space="preserve"> (South Africa)</w:t>
            </w:r>
          </w:p>
        </w:tc>
        <w:tc>
          <w:tcPr>
            <w:tcW w:w="2192" w:type="dxa"/>
          </w:tcPr>
          <w:p w14:paraId="4ED9E739" w14:textId="05869324" w:rsidR="00A50BC2" w:rsidRPr="00815DF6" w:rsidRDefault="00A50BC2" w:rsidP="00A50BC2">
            <w:pPr>
              <w:pStyle w:val="Heading1"/>
              <w:numPr>
                <w:ilvl w:val="0"/>
                <w:numId w:val="0"/>
              </w:numPr>
              <w:outlineLvl w:val="0"/>
              <w:rPr>
                <w:b w:val="0"/>
                <w:bCs/>
              </w:rPr>
            </w:pPr>
            <w:r w:rsidRPr="00815DF6">
              <w:rPr>
                <w:b w:val="0"/>
                <w:bCs/>
              </w:rPr>
              <w:t>Use of messaging app to enable symptom checking and information across sectors</w:t>
            </w:r>
          </w:p>
        </w:tc>
        <w:tc>
          <w:tcPr>
            <w:tcW w:w="2790" w:type="dxa"/>
          </w:tcPr>
          <w:p w14:paraId="1888486E" w14:textId="7118F842" w:rsidR="00A50BC2" w:rsidRPr="00815DF6" w:rsidRDefault="00A50BC2" w:rsidP="00A50BC2">
            <w:pPr>
              <w:pStyle w:val="Heading1"/>
              <w:numPr>
                <w:ilvl w:val="0"/>
                <w:numId w:val="0"/>
              </w:numPr>
              <w:outlineLvl w:val="0"/>
              <w:rPr>
                <w:b w:val="0"/>
                <w:bCs/>
              </w:rPr>
            </w:pPr>
            <w:r w:rsidRPr="00815DF6">
              <w:rPr>
                <w:b w:val="0"/>
                <w:bCs/>
              </w:rPr>
              <w:t xml:space="preserve">One of the </w:t>
            </w:r>
            <w:proofErr w:type="spellStart"/>
            <w:r w:rsidRPr="00815DF6">
              <w:rPr>
                <w:b w:val="0"/>
                <w:bCs/>
              </w:rPr>
              <w:t>HealthConnect</w:t>
            </w:r>
            <w:proofErr w:type="spellEnd"/>
            <w:r w:rsidRPr="00815DF6">
              <w:rPr>
                <w:b w:val="0"/>
                <w:bCs/>
              </w:rPr>
              <w:t xml:space="preserve"> tools, </w:t>
            </w:r>
            <w:proofErr w:type="spellStart"/>
            <w:r w:rsidRPr="00815DF6">
              <w:rPr>
                <w:b w:val="0"/>
                <w:bCs/>
              </w:rPr>
              <w:t>HealthCheck</w:t>
            </w:r>
            <w:proofErr w:type="spellEnd"/>
            <w:r w:rsidRPr="00815DF6">
              <w:rPr>
                <w:b w:val="0"/>
                <w:bCs/>
              </w:rPr>
              <w:t>, has supported over 10 million higher education campus screenings</w:t>
            </w:r>
          </w:p>
        </w:tc>
        <w:tc>
          <w:tcPr>
            <w:tcW w:w="3022" w:type="dxa"/>
          </w:tcPr>
          <w:p w14:paraId="392F48E3" w14:textId="69DC0461" w:rsidR="00A50BC2" w:rsidRPr="00815DF6" w:rsidRDefault="00A50BC2" w:rsidP="00D44B0E">
            <w:pPr>
              <w:pStyle w:val="Heading1"/>
              <w:numPr>
                <w:ilvl w:val="0"/>
                <w:numId w:val="36"/>
              </w:numPr>
              <w:spacing w:before="0" w:after="0"/>
              <w:outlineLvl w:val="0"/>
              <w:rPr>
                <w:b w:val="0"/>
                <w:bCs/>
              </w:rPr>
            </w:pPr>
            <w:r w:rsidRPr="00815DF6">
              <w:rPr>
                <w:b w:val="0"/>
                <w:bCs/>
              </w:rPr>
              <w:t>Risk communication and community engagement</w:t>
            </w:r>
          </w:p>
          <w:p w14:paraId="738830DB" w14:textId="77777777" w:rsidR="00A50BC2" w:rsidRPr="00815DF6" w:rsidRDefault="00A50BC2" w:rsidP="00D44B0E">
            <w:pPr>
              <w:pStyle w:val="ListParagraph"/>
              <w:numPr>
                <w:ilvl w:val="0"/>
                <w:numId w:val="36"/>
              </w:numPr>
              <w:spacing w:before="0" w:after="0"/>
            </w:pPr>
            <w:r w:rsidRPr="00815DF6">
              <w:rPr>
                <w:bCs/>
              </w:rPr>
              <w:t>Donor funding, transitioning to country sources</w:t>
            </w:r>
          </w:p>
          <w:p w14:paraId="3F4F6BD1" w14:textId="2A32930F" w:rsidR="008D2375" w:rsidRPr="00815DF6" w:rsidRDefault="00FC121B" w:rsidP="00D44B0E">
            <w:pPr>
              <w:pStyle w:val="ListParagraph"/>
              <w:numPr>
                <w:ilvl w:val="0"/>
                <w:numId w:val="36"/>
              </w:numPr>
              <w:spacing w:before="0" w:after="0"/>
            </w:pPr>
            <w:r>
              <w:t>Clients</w:t>
            </w:r>
          </w:p>
        </w:tc>
      </w:tr>
      <w:tr w:rsidR="00FC24D9" w:rsidRPr="00815DF6" w14:paraId="320C43E5" w14:textId="77777777" w:rsidTr="33E01955">
        <w:tc>
          <w:tcPr>
            <w:tcW w:w="1763" w:type="dxa"/>
          </w:tcPr>
          <w:p w14:paraId="4356FDBE" w14:textId="37468A8A" w:rsidR="00A50BC2" w:rsidRPr="00815DF6" w:rsidRDefault="00A50BC2" w:rsidP="00A50BC2">
            <w:pPr>
              <w:pStyle w:val="Heading1"/>
              <w:numPr>
                <w:ilvl w:val="0"/>
                <w:numId w:val="0"/>
              </w:numPr>
              <w:outlineLvl w:val="0"/>
            </w:pPr>
            <w:r w:rsidRPr="00815DF6">
              <w:t xml:space="preserve">DHIS2 COVID-19 </w:t>
            </w:r>
            <w:r w:rsidRPr="00815DF6">
              <w:lastRenderedPageBreak/>
              <w:t>package (Sri Lanka)</w:t>
            </w:r>
          </w:p>
        </w:tc>
        <w:tc>
          <w:tcPr>
            <w:tcW w:w="2192" w:type="dxa"/>
          </w:tcPr>
          <w:p w14:paraId="7B5131E5" w14:textId="1D7BB850" w:rsidR="00A50BC2" w:rsidRPr="00815DF6" w:rsidRDefault="00A50BC2" w:rsidP="00A50BC2">
            <w:pPr>
              <w:pStyle w:val="Heading1"/>
              <w:numPr>
                <w:ilvl w:val="0"/>
                <w:numId w:val="0"/>
              </w:numPr>
              <w:outlineLvl w:val="0"/>
              <w:rPr>
                <w:b w:val="0"/>
                <w:bCs/>
              </w:rPr>
            </w:pPr>
            <w:r w:rsidRPr="00815DF6">
              <w:rPr>
                <w:b w:val="0"/>
                <w:bCs/>
              </w:rPr>
              <w:lastRenderedPageBreak/>
              <w:t>Early action to track and prevent COVID-19</w:t>
            </w:r>
          </w:p>
        </w:tc>
        <w:tc>
          <w:tcPr>
            <w:tcW w:w="2790" w:type="dxa"/>
          </w:tcPr>
          <w:p w14:paraId="74F41028" w14:textId="512D16BF" w:rsidR="00A50BC2" w:rsidRPr="00815DF6" w:rsidRDefault="00A50BC2" w:rsidP="00A50BC2">
            <w:pPr>
              <w:pStyle w:val="Heading1"/>
              <w:numPr>
                <w:ilvl w:val="0"/>
                <w:numId w:val="0"/>
              </w:numPr>
              <w:outlineLvl w:val="0"/>
              <w:rPr>
                <w:b w:val="0"/>
                <w:bCs/>
              </w:rPr>
            </w:pPr>
            <w:r w:rsidRPr="00815DF6">
              <w:rPr>
                <w:b w:val="0"/>
                <w:bCs/>
              </w:rPr>
              <w:t xml:space="preserve">The Port of Entry module was developed and deployed within a few </w:t>
            </w:r>
            <w:r w:rsidRPr="00815DF6">
              <w:rPr>
                <w:b w:val="0"/>
                <w:bCs/>
              </w:rPr>
              <w:lastRenderedPageBreak/>
              <w:t>days of the first reported cluster of COVID-19 cases</w:t>
            </w:r>
          </w:p>
        </w:tc>
        <w:tc>
          <w:tcPr>
            <w:tcW w:w="3022" w:type="dxa"/>
          </w:tcPr>
          <w:p w14:paraId="1F704F64" w14:textId="38A0E1DE" w:rsidR="00A50BC2" w:rsidRPr="00815DF6" w:rsidRDefault="00A50BC2" w:rsidP="00D44B0E">
            <w:pPr>
              <w:pStyle w:val="Heading1"/>
              <w:numPr>
                <w:ilvl w:val="0"/>
                <w:numId w:val="36"/>
              </w:numPr>
              <w:spacing w:before="0" w:after="0"/>
              <w:outlineLvl w:val="0"/>
              <w:rPr>
                <w:b w:val="0"/>
                <w:bCs/>
              </w:rPr>
            </w:pPr>
            <w:r w:rsidRPr="00815DF6">
              <w:rPr>
                <w:b w:val="0"/>
                <w:bCs/>
              </w:rPr>
              <w:lastRenderedPageBreak/>
              <w:t>Data assets (health management information system)</w:t>
            </w:r>
          </w:p>
          <w:p w14:paraId="576F5BF7" w14:textId="77777777" w:rsidR="00A50BC2" w:rsidRPr="00815DF6" w:rsidRDefault="00A50BC2" w:rsidP="00D44B0E">
            <w:pPr>
              <w:pStyle w:val="ListParagraph"/>
              <w:numPr>
                <w:ilvl w:val="0"/>
                <w:numId w:val="36"/>
              </w:numPr>
              <w:spacing w:before="0" w:after="0"/>
            </w:pPr>
            <w:r w:rsidRPr="00815DF6">
              <w:rPr>
                <w:bCs/>
              </w:rPr>
              <w:lastRenderedPageBreak/>
              <w:t>Multiple funding sources for COVID-19 modules, including the government and implementer</w:t>
            </w:r>
          </w:p>
          <w:p w14:paraId="521CB302" w14:textId="5DFFA921" w:rsidR="008D2375" w:rsidRPr="00815DF6" w:rsidRDefault="00FC121B" w:rsidP="00D44B0E">
            <w:pPr>
              <w:pStyle w:val="ListParagraph"/>
              <w:numPr>
                <w:ilvl w:val="0"/>
                <w:numId w:val="36"/>
              </w:numPr>
              <w:spacing w:before="0" w:after="0"/>
            </w:pPr>
            <w:r>
              <w:t>Health system managers</w:t>
            </w:r>
          </w:p>
        </w:tc>
      </w:tr>
      <w:tr w:rsidR="00FC24D9" w:rsidRPr="00815DF6" w14:paraId="04CBC4CD" w14:textId="77777777" w:rsidTr="33E01955">
        <w:tc>
          <w:tcPr>
            <w:tcW w:w="1763" w:type="dxa"/>
          </w:tcPr>
          <w:p w14:paraId="09B3395D" w14:textId="0DAFE2F1" w:rsidR="00A50BC2" w:rsidRPr="00815DF6" w:rsidRDefault="00D54332" w:rsidP="00A50BC2">
            <w:pPr>
              <w:pStyle w:val="Heading1"/>
              <w:numPr>
                <w:ilvl w:val="0"/>
                <w:numId w:val="0"/>
              </w:numPr>
              <w:outlineLvl w:val="0"/>
            </w:pPr>
            <w:proofErr w:type="spellStart"/>
            <w:r w:rsidRPr="00815DF6">
              <w:lastRenderedPageBreak/>
              <w:t>SmartHealth</w:t>
            </w:r>
            <w:proofErr w:type="spellEnd"/>
            <w:r w:rsidRPr="00815DF6">
              <w:t xml:space="preserve"> (Uganda)</w:t>
            </w:r>
          </w:p>
        </w:tc>
        <w:tc>
          <w:tcPr>
            <w:tcW w:w="2192" w:type="dxa"/>
          </w:tcPr>
          <w:p w14:paraId="3BAC5544" w14:textId="25667864" w:rsidR="00A50BC2" w:rsidRPr="00815DF6" w:rsidRDefault="00D54332" w:rsidP="00A50BC2">
            <w:pPr>
              <w:pStyle w:val="Heading1"/>
              <w:numPr>
                <w:ilvl w:val="0"/>
                <w:numId w:val="0"/>
              </w:numPr>
              <w:outlineLvl w:val="0"/>
              <w:rPr>
                <w:b w:val="0"/>
                <w:bCs/>
              </w:rPr>
            </w:pPr>
            <w:r w:rsidRPr="00815DF6">
              <w:rPr>
                <w:b w:val="0"/>
                <w:bCs/>
              </w:rPr>
              <w:t>A mobile app to support community health workers in pandemic response and primary care</w:t>
            </w:r>
          </w:p>
        </w:tc>
        <w:tc>
          <w:tcPr>
            <w:tcW w:w="2790" w:type="dxa"/>
          </w:tcPr>
          <w:p w14:paraId="5D4FD92F" w14:textId="592D4D6E" w:rsidR="00A50BC2" w:rsidRPr="00815DF6" w:rsidRDefault="00D54332" w:rsidP="00A50BC2">
            <w:pPr>
              <w:pStyle w:val="Heading1"/>
              <w:numPr>
                <w:ilvl w:val="0"/>
                <w:numId w:val="0"/>
              </w:numPr>
              <w:outlineLvl w:val="0"/>
              <w:rPr>
                <w:b w:val="0"/>
                <w:bCs/>
              </w:rPr>
            </w:pPr>
            <w:r w:rsidRPr="00815DF6">
              <w:rPr>
                <w:b w:val="0"/>
                <w:bCs/>
              </w:rPr>
              <w:t xml:space="preserve">Over 7,800 community health workers use the </w:t>
            </w:r>
            <w:proofErr w:type="spellStart"/>
            <w:r w:rsidRPr="00815DF6">
              <w:rPr>
                <w:b w:val="0"/>
                <w:bCs/>
              </w:rPr>
              <w:t>SmartHealth</w:t>
            </w:r>
            <w:proofErr w:type="spellEnd"/>
            <w:r w:rsidRPr="00815DF6">
              <w:rPr>
                <w:b w:val="0"/>
                <w:bCs/>
              </w:rPr>
              <w:t xml:space="preserve"> app in Uganda, and referrals and treatments for common conditions (e.g., for childhood pneumonia) increased from 2019 to 2020</w:t>
            </w:r>
          </w:p>
        </w:tc>
        <w:tc>
          <w:tcPr>
            <w:tcW w:w="3022" w:type="dxa"/>
          </w:tcPr>
          <w:p w14:paraId="25EA805C" w14:textId="4403B4D7" w:rsidR="008D2375" w:rsidRPr="00815DF6" w:rsidRDefault="00D54332" w:rsidP="00D44B0E">
            <w:pPr>
              <w:pStyle w:val="Heading1"/>
              <w:numPr>
                <w:ilvl w:val="0"/>
                <w:numId w:val="36"/>
              </w:numPr>
              <w:spacing w:before="0" w:after="0"/>
              <w:outlineLvl w:val="0"/>
              <w:rPr>
                <w:b w:val="0"/>
                <w:bCs/>
              </w:rPr>
            </w:pPr>
            <w:r w:rsidRPr="00815DF6">
              <w:rPr>
                <w:b w:val="0"/>
                <w:bCs/>
              </w:rPr>
              <w:t>Case management</w:t>
            </w:r>
          </w:p>
          <w:p w14:paraId="1ACFBBE2" w14:textId="77777777" w:rsidR="00D54332" w:rsidRPr="00815DF6" w:rsidRDefault="00D54332" w:rsidP="00D44B0E">
            <w:pPr>
              <w:pStyle w:val="ListParagraph"/>
              <w:numPr>
                <w:ilvl w:val="0"/>
                <w:numId w:val="36"/>
              </w:numPr>
              <w:spacing w:before="0" w:after="0"/>
            </w:pPr>
            <w:r w:rsidRPr="00815DF6">
              <w:rPr>
                <w:bCs/>
              </w:rPr>
              <w:t>Donor funding, experimenting with alternatives</w:t>
            </w:r>
          </w:p>
          <w:p w14:paraId="5B4BC4DA" w14:textId="2D3519DA" w:rsidR="008D2375" w:rsidRPr="00815DF6" w:rsidRDefault="00FC121B" w:rsidP="00D44B0E">
            <w:pPr>
              <w:pStyle w:val="ListParagraph"/>
              <w:numPr>
                <w:ilvl w:val="0"/>
                <w:numId w:val="36"/>
              </w:numPr>
              <w:spacing w:before="0" w:after="0"/>
            </w:pPr>
            <w:r>
              <w:t>Health care providers</w:t>
            </w:r>
          </w:p>
        </w:tc>
      </w:tr>
      <w:tr w:rsidR="001C2C3E" w:rsidRPr="00815DF6" w14:paraId="479BA9DD" w14:textId="77777777" w:rsidTr="33E01955">
        <w:tc>
          <w:tcPr>
            <w:tcW w:w="1763" w:type="dxa"/>
          </w:tcPr>
          <w:p w14:paraId="5B5EF82B" w14:textId="2B22D411" w:rsidR="008D2375" w:rsidRPr="00815DF6" w:rsidRDefault="008D2375" w:rsidP="00A50BC2">
            <w:pPr>
              <w:pStyle w:val="Heading1"/>
              <w:numPr>
                <w:ilvl w:val="0"/>
                <w:numId w:val="0"/>
              </w:numPr>
              <w:outlineLvl w:val="0"/>
            </w:pPr>
            <w:r w:rsidRPr="00815DF6">
              <w:rPr>
                <w:bCs/>
              </w:rPr>
              <w:t xml:space="preserve">NCOVI, </w:t>
            </w:r>
            <w:proofErr w:type="spellStart"/>
            <w:r w:rsidRPr="00815DF6">
              <w:rPr>
                <w:bCs/>
              </w:rPr>
              <w:t>Bluezone</w:t>
            </w:r>
            <w:proofErr w:type="spellEnd"/>
            <w:r w:rsidRPr="00815DF6">
              <w:rPr>
                <w:bCs/>
              </w:rPr>
              <w:t>, others (Vietnam)</w:t>
            </w:r>
          </w:p>
        </w:tc>
        <w:tc>
          <w:tcPr>
            <w:tcW w:w="2192" w:type="dxa"/>
          </w:tcPr>
          <w:p w14:paraId="65636256" w14:textId="0FC29F95" w:rsidR="008D2375" w:rsidRPr="00815DF6" w:rsidRDefault="00075AFC" w:rsidP="00A50BC2">
            <w:pPr>
              <w:pStyle w:val="Heading1"/>
              <w:numPr>
                <w:ilvl w:val="0"/>
                <w:numId w:val="0"/>
              </w:numPr>
              <w:outlineLvl w:val="0"/>
              <w:rPr>
                <w:b w:val="0"/>
                <w:bCs/>
              </w:rPr>
            </w:pPr>
            <w:r w:rsidRPr="00815DF6">
              <w:rPr>
                <w:b w:val="0"/>
                <w:bCs/>
              </w:rPr>
              <w:t>Government launches digital health apps to contain COVID-19</w:t>
            </w:r>
          </w:p>
        </w:tc>
        <w:tc>
          <w:tcPr>
            <w:tcW w:w="2790" w:type="dxa"/>
          </w:tcPr>
          <w:p w14:paraId="30C0597B" w14:textId="0F05D951" w:rsidR="008D2375" w:rsidRPr="00815DF6" w:rsidRDefault="00075AFC" w:rsidP="00A50BC2">
            <w:pPr>
              <w:pStyle w:val="Heading1"/>
              <w:numPr>
                <w:ilvl w:val="0"/>
                <w:numId w:val="0"/>
              </w:numPr>
              <w:outlineLvl w:val="0"/>
              <w:rPr>
                <w:b w:val="0"/>
                <w:bCs/>
              </w:rPr>
            </w:pPr>
            <w:r w:rsidRPr="00815DF6">
              <w:rPr>
                <w:b w:val="0"/>
                <w:bCs/>
              </w:rPr>
              <w:t xml:space="preserve">As of March 2021, there were over 30 million downloads of the </w:t>
            </w:r>
            <w:proofErr w:type="spellStart"/>
            <w:r w:rsidRPr="00815DF6">
              <w:rPr>
                <w:b w:val="0"/>
                <w:bCs/>
              </w:rPr>
              <w:t>Bluezone</w:t>
            </w:r>
            <w:proofErr w:type="spellEnd"/>
            <w:r w:rsidRPr="00815DF6">
              <w:rPr>
                <w:b w:val="0"/>
                <w:bCs/>
              </w:rPr>
              <w:t xml:space="preserve"> app; by August 2020, NCOVI had over 7.5 million downloads</w:t>
            </w:r>
          </w:p>
        </w:tc>
        <w:tc>
          <w:tcPr>
            <w:tcW w:w="3022" w:type="dxa"/>
          </w:tcPr>
          <w:p w14:paraId="1D94DFD0" w14:textId="6E6EBFD4" w:rsidR="00A93D9A" w:rsidRPr="00815DF6" w:rsidRDefault="00A93D9A" w:rsidP="00D44B0E">
            <w:pPr>
              <w:pStyle w:val="Heading1"/>
              <w:numPr>
                <w:ilvl w:val="0"/>
                <w:numId w:val="36"/>
              </w:numPr>
              <w:spacing w:before="0" w:after="0"/>
              <w:outlineLvl w:val="0"/>
              <w:rPr>
                <w:b w:val="0"/>
                <w:bCs/>
              </w:rPr>
            </w:pPr>
            <w:r w:rsidRPr="00815DF6">
              <w:rPr>
                <w:b w:val="0"/>
                <w:bCs/>
              </w:rPr>
              <w:t>Contact tracing, risk communication, and community engagement</w:t>
            </w:r>
          </w:p>
          <w:p w14:paraId="02C092BD" w14:textId="77777777" w:rsidR="00A93D9A" w:rsidRPr="00815DF6" w:rsidRDefault="00A93D9A" w:rsidP="00D44B0E">
            <w:pPr>
              <w:pStyle w:val="Heading1"/>
              <w:numPr>
                <w:ilvl w:val="0"/>
                <w:numId w:val="36"/>
              </w:numPr>
              <w:spacing w:before="0" w:after="0"/>
              <w:outlineLvl w:val="0"/>
              <w:rPr>
                <w:b w:val="0"/>
              </w:rPr>
            </w:pPr>
            <w:r w:rsidRPr="00815DF6">
              <w:rPr>
                <w:b w:val="0"/>
              </w:rPr>
              <w:t>Government funding with private sector support</w:t>
            </w:r>
          </w:p>
          <w:p w14:paraId="5E358E29" w14:textId="6E7003E6" w:rsidR="00A93D9A" w:rsidRPr="00815DF6" w:rsidRDefault="00FC121B" w:rsidP="00D44B0E">
            <w:pPr>
              <w:pStyle w:val="ListParagraph"/>
              <w:numPr>
                <w:ilvl w:val="0"/>
                <w:numId w:val="36"/>
              </w:numPr>
              <w:spacing w:before="0" w:after="0"/>
            </w:pPr>
            <w:r>
              <w:t>Clients, health system managers</w:t>
            </w:r>
          </w:p>
        </w:tc>
      </w:tr>
    </w:tbl>
    <w:p w14:paraId="523CA700" w14:textId="77777777" w:rsidR="00B13816" w:rsidRPr="00815DF6" w:rsidRDefault="00B13816" w:rsidP="00B13816">
      <w:pPr>
        <w:pStyle w:val="Heading1"/>
        <w:numPr>
          <w:ilvl w:val="0"/>
          <w:numId w:val="0"/>
        </w:numPr>
        <w:rPr>
          <w:b w:val="0"/>
          <w:bCs/>
        </w:rPr>
      </w:pPr>
    </w:p>
    <w:p w14:paraId="2EEF9594" w14:textId="77777777" w:rsidR="00FE1D2D" w:rsidRPr="00815DF6" w:rsidRDefault="00FE1D2D">
      <w:pPr>
        <w:spacing w:before="0" w:after="200" w:line="276" w:lineRule="auto"/>
        <w:rPr>
          <w:rFonts w:eastAsia="Cambria" w:cs="Times New Roman"/>
          <w:bCs/>
          <w:szCs w:val="24"/>
        </w:rPr>
      </w:pPr>
      <w:r w:rsidRPr="00815DF6">
        <w:rPr>
          <w:rFonts w:cs="Times New Roman"/>
          <w:b/>
          <w:bCs/>
          <w:szCs w:val="24"/>
        </w:rPr>
        <w:br w:type="page"/>
      </w:r>
    </w:p>
    <w:p w14:paraId="13CABD91" w14:textId="51C8E2EE" w:rsidR="00DC4E5C" w:rsidRPr="00815DF6" w:rsidRDefault="00D46F51" w:rsidP="00B13816">
      <w:pPr>
        <w:pStyle w:val="Heading1"/>
        <w:numPr>
          <w:ilvl w:val="0"/>
          <w:numId w:val="0"/>
        </w:numPr>
        <w:rPr>
          <w:b w:val="0"/>
          <w:bCs/>
        </w:rPr>
      </w:pPr>
      <w:r w:rsidRPr="00815DF6">
        <w:rPr>
          <w:b w:val="0"/>
          <w:bCs/>
        </w:rPr>
        <w:lastRenderedPageBreak/>
        <w:t>Table 2</w:t>
      </w:r>
      <w:r w:rsidR="00DC4E5C" w:rsidRPr="00815DF6">
        <w:rPr>
          <w:b w:val="0"/>
          <w:bCs/>
        </w:rPr>
        <w:t xml:space="preserve">. Summary of </w:t>
      </w:r>
      <w:r w:rsidR="009A4FC9" w:rsidRPr="00815DF6">
        <w:rPr>
          <w:b w:val="0"/>
          <w:bCs/>
        </w:rPr>
        <w:t xml:space="preserve">Digital Health Tool Implementations </w:t>
      </w:r>
      <w:r w:rsidR="00DC4E5C" w:rsidRPr="00815DF6">
        <w:rPr>
          <w:b w:val="0"/>
          <w:bCs/>
        </w:rPr>
        <w:t xml:space="preserve">Strengths and Challenges </w:t>
      </w:r>
      <w:r w:rsidR="009A4FC9" w:rsidRPr="00815DF6">
        <w:rPr>
          <w:b w:val="0"/>
          <w:bCs/>
        </w:rPr>
        <w:t>in Six Areas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9"/>
        <w:gridCol w:w="900"/>
        <w:gridCol w:w="179"/>
        <w:gridCol w:w="91"/>
        <w:gridCol w:w="1172"/>
        <w:gridCol w:w="87"/>
        <w:gridCol w:w="89"/>
        <w:gridCol w:w="1625"/>
        <w:gridCol w:w="806"/>
        <w:gridCol w:w="2431"/>
      </w:tblGrid>
      <w:tr w:rsidR="00F52CE2" w:rsidRPr="00815DF6" w14:paraId="59C9506D" w14:textId="77777777" w:rsidTr="00166291">
        <w:trPr>
          <w:trHeight w:val="310"/>
        </w:trPr>
        <w:tc>
          <w:tcPr>
            <w:tcW w:w="5000" w:type="pct"/>
            <w:gridSpan w:val="11"/>
            <w:shd w:val="clear" w:color="auto" w:fill="auto"/>
          </w:tcPr>
          <w:p w14:paraId="3F9F3537" w14:textId="4F0458F1" w:rsidR="001E229E" w:rsidRPr="00815DF6" w:rsidRDefault="001E229E" w:rsidP="00595343">
            <w:pPr>
              <w:spacing w:before="60" w:after="60" w:line="276" w:lineRule="auto"/>
              <w:jc w:val="center"/>
              <w:rPr>
                <w:rFonts w:eastAsia="Times New Roman" w:cs="Times New Roman"/>
                <w:b/>
                <w:color w:val="000000"/>
                <w:szCs w:val="24"/>
              </w:rPr>
            </w:pPr>
            <w:proofErr w:type="spellStart"/>
            <w:r w:rsidRPr="00815DF6">
              <w:rPr>
                <w:rFonts w:eastAsia="Times New Roman" w:cs="Times New Roman"/>
                <w:b/>
                <w:color w:val="000000"/>
                <w:szCs w:val="24"/>
              </w:rPr>
              <w:t>CommCare</w:t>
            </w:r>
            <w:proofErr w:type="spellEnd"/>
            <w:r w:rsidRPr="00815DF6">
              <w:rPr>
                <w:rFonts w:eastAsia="Times New Roman" w:cs="Times New Roman"/>
                <w:b/>
                <w:color w:val="000000"/>
                <w:szCs w:val="24"/>
              </w:rPr>
              <w:t xml:space="preserve"> (Burkina Faso)</w:t>
            </w:r>
          </w:p>
        </w:tc>
      </w:tr>
      <w:tr w:rsidR="001E229E" w:rsidRPr="00815DF6" w14:paraId="1B5E0001" w14:textId="77777777" w:rsidTr="00166291">
        <w:trPr>
          <w:trHeight w:val="310"/>
        </w:trPr>
        <w:tc>
          <w:tcPr>
            <w:tcW w:w="5000" w:type="pct"/>
            <w:gridSpan w:val="11"/>
            <w:shd w:val="clear" w:color="auto" w:fill="D9D9D9" w:themeFill="background1" w:themeFillShade="D9"/>
            <w:hideMark/>
          </w:tcPr>
          <w:p w14:paraId="1B1F5073" w14:textId="77777777" w:rsidR="001E229E" w:rsidRPr="00815DF6" w:rsidRDefault="001E229E"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Area 1: Groundwork</w:t>
            </w:r>
          </w:p>
        </w:tc>
      </w:tr>
      <w:tr w:rsidR="00FE1D2D" w:rsidRPr="00815DF6" w14:paraId="4FFCE2EF" w14:textId="77777777" w:rsidTr="00733939">
        <w:trPr>
          <w:trHeight w:val="50"/>
        </w:trPr>
        <w:tc>
          <w:tcPr>
            <w:tcW w:w="1804" w:type="pct"/>
            <w:gridSpan w:val="5"/>
            <w:shd w:val="clear" w:color="auto" w:fill="auto"/>
            <w:hideMark/>
          </w:tcPr>
          <w:p w14:paraId="40FFEB81" w14:textId="2E35F353" w:rsidR="00FE1D2D" w:rsidRPr="00815DF6" w:rsidRDefault="00FE1D2D"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Parameters of</w:t>
            </w:r>
            <w:r w:rsidR="003A13C9">
              <w:rPr>
                <w:rFonts w:eastAsia="Times New Roman" w:cs="Times New Roman"/>
                <w:bCs/>
                <w:i/>
                <w:iCs/>
                <w:color w:val="000000"/>
                <w:szCs w:val="24"/>
              </w:rPr>
              <w:t xml:space="preserve"> s</w:t>
            </w:r>
            <w:r w:rsidR="003A13C9">
              <w:rPr>
                <w:rFonts w:eastAsia="Times New Roman" w:cs="Times New Roman"/>
                <w:i/>
                <w:iCs/>
                <w:color w:val="000000"/>
                <w:szCs w:val="24"/>
              </w:rPr>
              <w:t>c</w:t>
            </w:r>
            <w:r w:rsidRPr="00815DF6">
              <w:rPr>
                <w:rFonts w:eastAsia="Times New Roman" w:cs="Times New Roman"/>
                <w:i/>
                <w:iCs/>
                <w:color w:val="000000"/>
                <w:szCs w:val="24"/>
              </w:rPr>
              <w:t>ale</w:t>
            </w:r>
          </w:p>
        </w:tc>
        <w:tc>
          <w:tcPr>
            <w:tcW w:w="1530" w:type="pct"/>
            <w:gridSpan w:val="4"/>
            <w:shd w:val="clear" w:color="auto" w:fill="auto"/>
            <w:hideMark/>
          </w:tcPr>
          <w:p w14:paraId="34FA8709" w14:textId="77777777" w:rsidR="00FE1D2D" w:rsidRPr="00815DF6" w:rsidRDefault="00FE1D2D"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Contextual environment</w:t>
            </w:r>
          </w:p>
        </w:tc>
        <w:tc>
          <w:tcPr>
            <w:tcW w:w="1666" w:type="pct"/>
            <w:gridSpan w:val="2"/>
            <w:shd w:val="clear" w:color="auto" w:fill="auto"/>
            <w:hideMark/>
          </w:tcPr>
          <w:p w14:paraId="0A1B2F93" w14:textId="77777777" w:rsidR="00FE1D2D" w:rsidRPr="00815DF6" w:rsidRDefault="00FE1D2D"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Scientific basis</w:t>
            </w:r>
          </w:p>
        </w:tc>
      </w:tr>
      <w:tr w:rsidR="00FE1D2D" w:rsidRPr="00815DF6" w14:paraId="19C53B05" w14:textId="77777777" w:rsidTr="00733939">
        <w:trPr>
          <w:trHeight w:val="1309"/>
        </w:trPr>
        <w:tc>
          <w:tcPr>
            <w:tcW w:w="1804" w:type="pct"/>
            <w:gridSpan w:val="5"/>
            <w:shd w:val="clear" w:color="auto" w:fill="auto"/>
            <w:hideMark/>
          </w:tcPr>
          <w:p w14:paraId="527A8ACF" w14:textId="0AED7CF5" w:rsidR="00FE1D2D" w:rsidRPr="00815DF6" w:rsidRDefault="00FE1D2D" w:rsidP="00595343">
            <w:pPr>
              <w:spacing w:before="60" w:after="60" w:line="276" w:lineRule="auto"/>
              <w:rPr>
                <w:rFonts w:eastAsia="Times New Roman" w:cs="Times New Roman"/>
                <w:bCs/>
                <w:color w:val="000000"/>
                <w:szCs w:val="24"/>
              </w:rPr>
            </w:pPr>
            <w:r w:rsidRPr="00815DF6">
              <w:rPr>
                <w:rFonts w:eastAsia="Times New Roman" w:cs="Times New Roman"/>
                <w:bCs/>
                <w:color w:val="000000"/>
                <w:szCs w:val="24"/>
              </w:rPr>
              <w:t>In 2014, the Ministry of Health (MOH) and Terre des hommes (</w:t>
            </w:r>
            <w:proofErr w:type="spellStart"/>
            <w:r w:rsidRPr="00815DF6">
              <w:rPr>
                <w:rFonts w:eastAsia="Times New Roman" w:cs="Times New Roman"/>
                <w:bCs/>
                <w:color w:val="000000"/>
                <w:szCs w:val="24"/>
              </w:rPr>
              <w:t>Tdh</w:t>
            </w:r>
            <w:proofErr w:type="spellEnd"/>
            <w:r w:rsidRPr="00815DF6">
              <w:rPr>
                <w:rFonts w:eastAsia="Times New Roman" w:cs="Times New Roman"/>
                <w:bCs/>
                <w:color w:val="000000"/>
                <w:szCs w:val="24"/>
              </w:rPr>
              <w:t>) leveraged an established digital platform with a proven capacity for scale. By June 2021 the app will be in use at more than 84% of primary health care (PHC) facilities across Burkina Faso.</w:t>
            </w:r>
          </w:p>
        </w:tc>
        <w:tc>
          <w:tcPr>
            <w:tcW w:w="1530" w:type="pct"/>
            <w:gridSpan w:val="4"/>
            <w:shd w:val="clear" w:color="auto" w:fill="auto"/>
            <w:hideMark/>
          </w:tcPr>
          <w:p w14:paraId="422C11F9" w14:textId="77777777" w:rsidR="00FE1D2D" w:rsidRPr="00815DF6" w:rsidRDefault="00FE1D2D"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 xml:space="preserve">The MOH has been involved since the beginning, and the primary implementing partner, </w:t>
            </w:r>
            <w:proofErr w:type="spellStart"/>
            <w:r w:rsidRPr="00815DF6">
              <w:rPr>
                <w:rFonts w:eastAsia="Times New Roman" w:cs="Times New Roman"/>
                <w:bCs/>
                <w:color w:val="000000"/>
                <w:szCs w:val="24"/>
              </w:rPr>
              <w:t>Tdh</w:t>
            </w:r>
            <w:proofErr w:type="spellEnd"/>
            <w:r w:rsidRPr="00815DF6">
              <w:rPr>
                <w:rFonts w:eastAsia="Times New Roman" w:cs="Times New Roman"/>
                <w:bCs/>
                <w:color w:val="000000"/>
                <w:szCs w:val="24"/>
              </w:rPr>
              <w:t>, has a long history in Burkina Faso since 1986.</w:t>
            </w:r>
          </w:p>
        </w:tc>
        <w:tc>
          <w:tcPr>
            <w:tcW w:w="1666" w:type="pct"/>
            <w:gridSpan w:val="2"/>
            <w:shd w:val="clear" w:color="auto" w:fill="auto"/>
            <w:hideMark/>
          </w:tcPr>
          <w:p w14:paraId="2FBA5114" w14:textId="77777777" w:rsidR="00FE1D2D" w:rsidRPr="00815DF6" w:rsidRDefault="00FE1D2D"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The app addresses an expressed need to increase adherence to Integrated Management of Childhood Illness (IMCI) protocols and has been used successfully in several other countries.</w:t>
            </w:r>
          </w:p>
        </w:tc>
      </w:tr>
      <w:tr w:rsidR="001E229E" w:rsidRPr="00815DF6" w14:paraId="674287EF" w14:textId="77777777" w:rsidTr="0016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6074A" w14:textId="6F6F6E06" w:rsidR="001E229E" w:rsidRPr="00815DF6" w:rsidRDefault="001E229E"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Area 2: Partnerships</w:t>
            </w:r>
          </w:p>
        </w:tc>
      </w:tr>
      <w:tr w:rsidR="009F7AFB" w:rsidRPr="00815DF6" w14:paraId="0A343F45" w14:textId="77777777" w:rsidTr="00FA5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52" w:type="pct"/>
            <w:gridSpan w:val="7"/>
            <w:tcBorders>
              <w:top w:val="nil"/>
              <w:left w:val="single" w:sz="4" w:space="0" w:color="auto"/>
              <w:bottom w:val="single" w:sz="4" w:space="0" w:color="auto"/>
              <w:right w:val="single" w:sz="4" w:space="0" w:color="auto"/>
            </w:tcBorders>
            <w:shd w:val="clear" w:color="auto" w:fill="auto"/>
            <w:hideMark/>
          </w:tcPr>
          <w:p w14:paraId="7E65C4CC" w14:textId="77777777" w:rsidR="001E229E" w:rsidRPr="00815DF6" w:rsidRDefault="001E229E"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Strategic engagement</w:t>
            </w:r>
          </w:p>
        </w:tc>
        <w:tc>
          <w:tcPr>
            <w:tcW w:w="2548" w:type="pct"/>
            <w:gridSpan w:val="4"/>
            <w:tcBorders>
              <w:top w:val="nil"/>
              <w:left w:val="nil"/>
              <w:bottom w:val="single" w:sz="4" w:space="0" w:color="auto"/>
              <w:right w:val="single" w:sz="4" w:space="0" w:color="auto"/>
            </w:tcBorders>
            <w:shd w:val="clear" w:color="auto" w:fill="auto"/>
            <w:hideMark/>
          </w:tcPr>
          <w:p w14:paraId="213BB24F" w14:textId="77777777" w:rsidR="001E229E" w:rsidRPr="00815DF6" w:rsidRDefault="001E229E"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 xml:space="preserve">Partnership sustainability </w:t>
            </w:r>
          </w:p>
        </w:tc>
      </w:tr>
      <w:tr w:rsidR="009F7AFB" w:rsidRPr="00815DF6" w14:paraId="572AC67D" w14:textId="77777777" w:rsidTr="00FA5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0"/>
        </w:trPr>
        <w:tc>
          <w:tcPr>
            <w:tcW w:w="2452" w:type="pct"/>
            <w:gridSpan w:val="7"/>
            <w:tcBorders>
              <w:top w:val="nil"/>
              <w:left w:val="single" w:sz="4" w:space="0" w:color="auto"/>
              <w:bottom w:val="single" w:sz="4" w:space="0" w:color="auto"/>
              <w:right w:val="single" w:sz="4" w:space="0" w:color="auto"/>
            </w:tcBorders>
            <w:shd w:val="clear" w:color="auto" w:fill="auto"/>
            <w:hideMark/>
          </w:tcPr>
          <w:p w14:paraId="116BE0E2" w14:textId="22B698AF" w:rsidR="001E229E" w:rsidRPr="00815DF6" w:rsidRDefault="001E229E"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Beyond co-creating</w:t>
            </w:r>
            <w:r w:rsidR="00BB6970">
              <w:rPr>
                <w:rFonts w:eastAsia="Times New Roman" w:cs="Times New Roman"/>
                <w:bCs/>
                <w:color w:val="000000"/>
                <w:szCs w:val="24"/>
              </w:rPr>
              <w:t xml:space="preserve"> the Integrated e-Diagnostic Approach</w:t>
            </w:r>
            <w:r w:rsidRPr="00815DF6">
              <w:rPr>
                <w:rFonts w:eastAsia="Times New Roman" w:cs="Times New Roman"/>
                <w:bCs/>
                <w:color w:val="000000"/>
                <w:szCs w:val="24"/>
              </w:rPr>
              <w:t xml:space="preserve"> </w:t>
            </w:r>
            <w:r w:rsidR="00BB6970">
              <w:rPr>
                <w:rFonts w:eastAsia="Times New Roman" w:cs="Times New Roman"/>
                <w:bCs/>
                <w:color w:val="000000"/>
                <w:szCs w:val="24"/>
              </w:rPr>
              <w:t>(</w:t>
            </w:r>
            <w:proofErr w:type="spellStart"/>
            <w:r w:rsidRPr="00815DF6">
              <w:rPr>
                <w:rFonts w:eastAsia="Times New Roman" w:cs="Times New Roman"/>
                <w:bCs/>
                <w:color w:val="000000"/>
                <w:szCs w:val="24"/>
              </w:rPr>
              <w:t>IeDA</w:t>
            </w:r>
            <w:proofErr w:type="spellEnd"/>
            <w:r w:rsidR="00BB6970">
              <w:rPr>
                <w:rFonts w:eastAsia="Times New Roman" w:cs="Times New Roman"/>
                <w:bCs/>
                <w:color w:val="000000"/>
                <w:szCs w:val="24"/>
              </w:rPr>
              <w:t>)</w:t>
            </w:r>
            <w:r w:rsidRPr="00815DF6">
              <w:rPr>
                <w:rFonts w:eastAsia="Times New Roman" w:cs="Times New Roman"/>
                <w:bCs/>
                <w:color w:val="000000"/>
                <w:szCs w:val="24"/>
              </w:rPr>
              <w:t xml:space="preserve"> with the MOH, </w:t>
            </w:r>
            <w:proofErr w:type="spellStart"/>
            <w:r w:rsidRPr="00815DF6">
              <w:rPr>
                <w:rFonts w:eastAsia="Times New Roman" w:cs="Times New Roman"/>
                <w:bCs/>
                <w:color w:val="000000"/>
                <w:szCs w:val="24"/>
              </w:rPr>
              <w:t>Tdh</w:t>
            </w:r>
            <w:proofErr w:type="spellEnd"/>
            <w:r w:rsidRPr="00815DF6">
              <w:rPr>
                <w:rFonts w:eastAsia="Times New Roman" w:cs="Times New Roman"/>
                <w:bCs/>
                <w:color w:val="000000"/>
                <w:szCs w:val="24"/>
              </w:rPr>
              <w:t xml:space="preserve"> has developed strategic partnerships for operations, research, and funding (for example, with </w:t>
            </w:r>
            <w:proofErr w:type="spellStart"/>
            <w:r w:rsidRPr="00815DF6">
              <w:rPr>
                <w:rFonts w:eastAsia="Times New Roman" w:cs="Times New Roman"/>
                <w:bCs/>
                <w:color w:val="000000"/>
                <w:szCs w:val="24"/>
              </w:rPr>
              <w:t>Dimagi</w:t>
            </w:r>
            <w:proofErr w:type="spellEnd"/>
            <w:r w:rsidRPr="00815DF6">
              <w:rPr>
                <w:rFonts w:eastAsia="Times New Roman" w:cs="Times New Roman"/>
                <w:bCs/>
                <w:color w:val="000000"/>
                <w:szCs w:val="24"/>
              </w:rPr>
              <w:t xml:space="preserve">, </w:t>
            </w:r>
            <w:r w:rsidR="00BB6970">
              <w:rPr>
                <w:rFonts w:eastAsia="Times New Roman" w:cs="Times New Roman"/>
                <w:bCs/>
                <w:color w:val="000000"/>
                <w:szCs w:val="24"/>
              </w:rPr>
              <w:t>the London School of Hygiene and Tropical Medicine</w:t>
            </w:r>
            <w:r w:rsidRPr="00815DF6">
              <w:rPr>
                <w:rFonts w:eastAsia="Times New Roman" w:cs="Times New Roman"/>
                <w:bCs/>
                <w:color w:val="000000"/>
                <w:szCs w:val="24"/>
              </w:rPr>
              <w:t>, and the Bill &amp; Melinda Gates Foundation).</w:t>
            </w:r>
          </w:p>
        </w:tc>
        <w:tc>
          <w:tcPr>
            <w:tcW w:w="2548" w:type="pct"/>
            <w:gridSpan w:val="4"/>
            <w:tcBorders>
              <w:top w:val="nil"/>
              <w:left w:val="nil"/>
              <w:bottom w:val="single" w:sz="4" w:space="0" w:color="auto"/>
              <w:right w:val="single" w:sz="4" w:space="0" w:color="auto"/>
            </w:tcBorders>
            <w:shd w:val="clear" w:color="auto" w:fill="auto"/>
            <w:hideMark/>
          </w:tcPr>
          <w:p w14:paraId="729EF505" w14:textId="6899D750" w:rsidR="001E229E" w:rsidRPr="00815DF6" w:rsidRDefault="001E229E"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From the first pilot, key champions within the government believed in the transformative potential of digital health for PHC. The app is considered a national priority within Burkina Faso</w:t>
            </w:r>
            <w:r w:rsidR="005870AD">
              <w:rPr>
                <w:rFonts w:eastAsia="Times New Roman" w:cs="Times New Roman"/>
                <w:bCs/>
                <w:color w:val="000000"/>
                <w:szCs w:val="24"/>
              </w:rPr>
              <w:t>’</w:t>
            </w:r>
            <w:r w:rsidRPr="00815DF6">
              <w:rPr>
                <w:rFonts w:eastAsia="Times New Roman" w:cs="Times New Roman"/>
                <w:bCs/>
                <w:color w:val="000000"/>
                <w:szCs w:val="24"/>
              </w:rPr>
              <w:t>s digital health strategy.</w:t>
            </w:r>
          </w:p>
        </w:tc>
      </w:tr>
      <w:tr w:rsidR="004D647A" w:rsidRPr="00815DF6" w14:paraId="16ADC00C" w14:textId="77777777" w:rsidTr="0016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E14B9" w14:textId="4833304E" w:rsidR="004D647A" w:rsidRPr="00815DF6" w:rsidRDefault="004D647A"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 xml:space="preserve">Area 3: </w:t>
            </w:r>
            <w:r w:rsidR="00330AF1" w:rsidRPr="00603B48">
              <w:rPr>
                <w:rFonts w:eastAsia="Times New Roman" w:cs="Times New Roman"/>
                <w:bCs/>
                <w:color w:val="000000"/>
                <w:szCs w:val="24"/>
              </w:rPr>
              <w:t xml:space="preserve">Financial </w:t>
            </w:r>
            <w:r w:rsidR="00330AF1" w:rsidRPr="00330AF1">
              <w:rPr>
                <w:rFonts w:eastAsia="Times New Roman" w:cs="Times New Roman"/>
                <w:bCs/>
                <w:color w:val="000000"/>
                <w:szCs w:val="24"/>
              </w:rPr>
              <w:t>h</w:t>
            </w:r>
            <w:r w:rsidR="00330AF1" w:rsidRPr="00603B48">
              <w:rPr>
                <w:rFonts w:eastAsia="Times New Roman" w:cs="Times New Roman"/>
                <w:bCs/>
                <w:color w:val="000000"/>
                <w:szCs w:val="24"/>
              </w:rPr>
              <w:t>ealth</w:t>
            </w:r>
          </w:p>
        </w:tc>
      </w:tr>
      <w:tr w:rsidR="004D647A" w:rsidRPr="00815DF6" w14:paraId="71F3A095" w14:textId="77777777" w:rsidTr="00FA5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2452" w:type="pct"/>
            <w:gridSpan w:val="7"/>
            <w:tcBorders>
              <w:top w:val="nil"/>
              <w:left w:val="single" w:sz="4" w:space="0" w:color="auto"/>
              <w:bottom w:val="single" w:sz="4" w:space="0" w:color="auto"/>
              <w:right w:val="single" w:sz="4" w:space="0" w:color="auto"/>
            </w:tcBorders>
            <w:shd w:val="clear" w:color="auto" w:fill="auto"/>
            <w:vAlign w:val="center"/>
            <w:hideMark/>
          </w:tcPr>
          <w:p w14:paraId="22AD40BD" w14:textId="77777777" w:rsidR="004D647A" w:rsidRPr="00815DF6" w:rsidRDefault="004D647A"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Financial management</w:t>
            </w:r>
          </w:p>
        </w:tc>
        <w:tc>
          <w:tcPr>
            <w:tcW w:w="2548" w:type="pct"/>
            <w:gridSpan w:val="4"/>
            <w:tcBorders>
              <w:top w:val="nil"/>
              <w:left w:val="nil"/>
              <w:bottom w:val="single" w:sz="4" w:space="0" w:color="auto"/>
              <w:right w:val="single" w:sz="4" w:space="0" w:color="auto"/>
            </w:tcBorders>
            <w:shd w:val="clear" w:color="auto" w:fill="auto"/>
            <w:vAlign w:val="center"/>
            <w:hideMark/>
          </w:tcPr>
          <w:p w14:paraId="6B9944DC" w14:textId="520C2B58" w:rsidR="004D647A" w:rsidRPr="00815DF6" w:rsidRDefault="004D647A"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 xml:space="preserve">Financial </w:t>
            </w:r>
            <w:r w:rsidR="00B1586E">
              <w:rPr>
                <w:rFonts w:eastAsia="Times New Roman" w:cs="Times New Roman"/>
                <w:bCs/>
                <w:i/>
                <w:iCs/>
                <w:color w:val="000000"/>
                <w:szCs w:val="24"/>
              </w:rPr>
              <w:t>m</w:t>
            </w:r>
            <w:r w:rsidRPr="00815DF6">
              <w:rPr>
                <w:rFonts w:eastAsia="Times New Roman" w:cs="Times New Roman"/>
                <w:bCs/>
                <w:i/>
                <w:iCs/>
                <w:color w:val="000000"/>
                <w:szCs w:val="24"/>
              </w:rPr>
              <w:t>odel</w:t>
            </w:r>
          </w:p>
        </w:tc>
      </w:tr>
      <w:tr w:rsidR="004D647A" w:rsidRPr="00815DF6" w14:paraId="3F29A2C3" w14:textId="77777777" w:rsidTr="00FA5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0"/>
        </w:trPr>
        <w:tc>
          <w:tcPr>
            <w:tcW w:w="2452" w:type="pct"/>
            <w:gridSpan w:val="7"/>
            <w:tcBorders>
              <w:top w:val="nil"/>
              <w:left w:val="single" w:sz="4" w:space="0" w:color="auto"/>
              <w:bottom w:val="single" w:sz="4" w:space="0" w:color="auto"/>
              <w:right w:val="single" w:sz="4" w:space="0" w:color="auto"/>
            </w:tcBorders>
            <w:shd w:val="clear" w:color="auto" w:fill="auto"/>
            <w:vAlign w:val="center"/>
            <w:hideMark/>
          </w:tcPr>
          <w:p w14:paraId="2A646D4A" w14:textId="37E7AA88" w:rsidR="00F34F65" w:rsidRPr="00F34F65" w:rsidRDefault="00434D10" w:rsidP="00595343">
            <w:pPr>
              <w:spacing w:before="60" w:after="60" w:line="276" w:lineRule="auto"/>
              <w:rPr>
                <w:rFonts w:eastAsia="Times New Roman" w:cs="Times New Roman"/>
                <w:bCs/>
                <w:color w:val="000000"/>
                <w:szCs w:val="24"/>
              </w:rPr>
            </w:pPr>
            <w:r>
              <w:rPr>
                <w:rFonts w:eastAsia="Times New Roman" w:cs="Times New Roman"/>
                <w:bCs/>
                <w:color w:val="000000"/>
                <w:szCs w:val="24"/>
              </w:rPr>
              <w:t xml:space="preserve">The London School of Hygiene and Tropical Medicine </w:t>
            </w:r>
            <w:r w:rsidR="004D647A" w:rsidRPr="00815DF6">
              <w:rPr>
                <w:rFonts w:eastAsia="Times New Roman" w:cs="Times New Roman"/>
                <w:bCs/>
                <w:color w:val="000000"/>
                <w:szCs w:val="24"/>
              </w:rPr>
              <w:t>conducted a cost-effectiveness study in 2016, which showed a 50% reduction in training costs and an estimated annual savings of up to US$1.6 million if scaled up to all regions.</w:t>
            </w:r>
          </w:p>
        </w:tc>
        <w:tc>
          <w:tcPr>
            <w:tcW w:w="2548" w:type="pct"/>
            <w:gridSpan w:val="4"/>
            <w:tcBorders>
              <w:top w:val="nil"/>
              <w:left w:val="nil"/>
              <w:bottom w:val="single" w:sz="4" w:space="0" w:color="auto"/>
              <w:right w:val="single" w:sz="4" w:space="0" w:color="auto"/>
            </w:tcBorders>
            <w:shd w:val="clear" w:color="auto" w:fill="auto"/>
            <w:vAlign w:val="center"/>
            <w:hideMark/>
          </w:tcPr>
          <w:p w14:paraId="69C17EC8" w14:textId="77777777" w:rsidR="004D647A" w:rsidRPr="00815DF6" w:rsidRDefault="004D647A"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 xml:space="preserve">The </w:t>
            </w:r>
            <w:proofErr w:type="spellStart"/>
            <w:r w:rsidRPr="00815DF6">
              <w:rPr>
                <w:rFonts w:eastAsia="Times New Roman" w:cs="Times New Roman"/>
                <w:bCs/>
                <w:color w:val="000000"/>
                <w:szCs w:val="24"/>
              </w:rPr>
              <w:t>IeDA</w:t>
            </w:r>
            <w:proofErr w:type="spellEnd"/>
            <w:r w:rsidRPr="00815DF6">
              <w:rPr>
                <w:rFonts w:eastAsia="Times New Roman" w:cs="Times New Roman"/>
                <w:bCs/>
                <w:color w:val="000000"/>
                <w:szCs w:val="24"/>
              </w:rPr>
              <w:t xml:space="preserve"> project works with an extensive range of partners but is ultimately reliant on donor support. This challenge is likely to persist even after its transition to the MOH.</w:t>
            </w:r>
          </w:p>
        </w:tc>
      </w:tr>
      <w:tr w:rsidR="00166291" w:rsidRPr="00815DF6" w14:paraId="1C1DFD22" w14:textId="77777777" w:rsidTr="0016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CD397" w14:textId="37F82C1E"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 xml:space="preserve">Area 4: </w:t>
            </w:r>
            <w:r w:rsidR="00330AF1" w:rsidRPr="000C126A">
              <w:rPr>
                <w:rFonts w:eastAsia="Times New Roman" w:cs="Times New Roman"/>
                <w:bCs/>
                <w:color w:val="000000"/>
                <w:szCs w:val="24"/>
              </w:rPr>
              <w:t>Technology</w:t>
            </w:r>
            <w:r w:rsidR="00330AF1" w:rsidRPr="00330AF1">
              <w:rPr>
                <w:rFonts w:eastAsia="Times New Roman" w:cs="Times New Roman"/>
                <w:bCs/>
                <w:color w:val="000000"/>
                <w:szCs w:val="24"/>
              </w:rPr>
              <w:t xml:space="preserve"> and</w:t>
            </w:r>
            <w:r w:rsidR="00330AF1" w:rsidRPr="000C126A">
              <w:rPr>
                <w:rFonts w:eastAsia="Times New Roman" w:cs="Times New Roman"/>
                <w:bCs/>
                <w:color w:val="000000"/>
                <w:szCs w:val="24"/>
              </w:rPr>
              <w:t xml:space="preserve"> </w:t>
            </w:r>
            <w:r w:rsidR="00330AF1" w:rsidRPr="00330AF1">
              <w:rPr>
                <w:rFonts w:eastAsia="Times New Roman" w:cs="Times New Roman"/>
                <w:bCs/>
                <w:color w:val="000000"/>
                <w:szCs w:val="24"/>
              </w:rPr>
              <w:t>a</w:t>
            </w:r>
            <w:r w:rsidR="00330AF1" w:rsidRPr="000C126A">
              <w:rPr>
                <w:rFonts w:eastAsia="Times New Roman" w:cs="Times New Roman"/>
                <w:bCs/>
                <w:color w:val="000000"/>
                <w:szCs w:val="24"/>
              </w:rPr>
              <w:t>rchitecture</w:t>
            </w:r>
          </w:p>
        </w:tc>
      </w:tr>
      <w:tr w:rsidR="00166291" w:rsidRPr="00815DF6" w14:paraId="5121E2F3" w14:textId="77777777" w:rsidTr="00733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665" w:type="pct"/>
            <w:gridSpan w:val="3"/>
            <w:tcBorders>
              <w:top w:val="nil"/>
              <w:left w:val="single" w:sz="4" w:space="0" w:color="auto"/>
              <w:bottom w:val="single" w:sz="4" w:space="0" w:color="auto"/>
              <w:right w:val="single" w:sz="4" w:space="0" w:color="auto"/>
            </w:tcBorders>
            <w:shd w:val="clear" w:color="auto" w:fill="auto"/>
            <w:vAlign w:val="center"/>
            <w:hideMark/>
          </w:tcPr>
          <w:p w14:paraId="4584BA72" w14:textId="77777777" w:rsidR="00166291" w:rsidRPr="00815DF6" w:rsidRDefault="00166291"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Data</w:t>
            </w:r>
          </w:p>
        </w:tc>
        <w:tc>
          <w:tcPr>
            <w:tcW w:w="1669" w:type="pct"/>
            <w:gridSpan w:val="6"/>
            <w:tcBorders>
              <w:top w:val="nil"/>
              <w:left w:val="nil"/>
              <w:bottom w:val="single" w:sz="4" w:space="0" w:color="auto"/>
              <w:right w:val="single" w:sz="4" w:space="0" w:color="auto"/>
            </w:tcBorders>
            <w:shd w:val="clear" w:color="auto" w:fill="auto"/>
            <w:vAlign w:val="center"/>
            <w:hideMark/>
          </w:tcPr>
          <w:p w14:paraId="0FF190FE" w14:textId="77777777" w:rsidR="00166291" w:rsidRPr="00815DF6" w:rsidRDefault="00166291"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vAlign w:val="center"/>
            <w:hideMark/>
          </w:tcPr>
          <w:p w14:paraId="41541120" w14:textId="77777777" w:rsidR="00166291" w:rsidRPr="00815DF6" w:rsidRDefault="00166291"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 xml:space="preserve">Adaptability </w:t>
            </w:r>
          </w:p>
        </w:tc>
      </w:tr>
      <w:tr w:rsidR="00166291" w:rsidRPr="00815DF6" w14:paraId="5D381807" w14:textId="77777777" w:rsidTr="00733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0"/>
        </w:trPr>
        <w:tc>
          <w:tcPr>
            <w:tcW w:w="1665" w:type="pct"/>
            <w:gridSpan w:val="3"/>
            <w:tcBorders>
              <w:top w:val="nil"/>
              <w:left w:val="single" w:sz="4" w:space="0" w:color="auto"/>
              <w:bottom w:val="single" w:sz="4" w:space="0" w:color="auto"/>
              <w:right w:val="single" w:sz="4" w:space="0" w:color="auto"/>
            </w:tcBorders>
            <w:shd w:val="clear" w:color="auto" w:fill="auto"/>
            <w:vAlign w:val="center"/>
            <w:hideMark/>
          </w:tcPr>
          <w:p w14:paraId="1C0C5474" w14:textId="77777777" w:rsidR="00166291" w:rsidRPr="00815DF6" w:rsidRDefault="00166291" w:rsidP="00595343">
            <w:pPr>
              <w:spacing w:before="60" w:after="60" w:line="276" w:lineRule="auto"/>
              <w:rPr>
                <w:rFonts w:eastAsia="Times New Roman" w:cs="Times New Roman"/>
                <w:bCs/>
                <w:color w:val="000000"/>
                <w:szCs w:val="24"/>
              </w:rPr>
            </w:pPr>
            <w:r w:rsidRPr="00815DF6">
              <w:rPr>
                <w:rFonts w:eastAsia="Times New Roman" w:cs="Times New Roman"/>
                <w:bCs/>
                <w:color w:val="000000"/>
                <w:szCs w:val="24"/>
              </w:rPr>
              <w:lastRenderedPageBreak/>
              <w:t>Access to data for health workers and government decision makers is critical. Dashboards enable nearly real-time monitoring and targeted supervision, and the app uses artificial intelligence to identify ways to improve worker performance.</w:t>
            </w:r>
          </w:p>
        </w:tc>
        <w:tc>
          <w:tcPr>
            <w:tcW w:w="1669" w:type="pct"/>
            <w:gridSpan w:val="6"/>
            <w:tcBorders>
              <w:top w:val="nil"/>
              <w:left w:val="nil"/>
              <w:bottom w:val="single" w:sz="4" w:space="0" w:color="auto"/>
              <w:right w:val="single" w:sz="4" w:space="0" w:color="auto"/>
            </w:tcBorders>
            <w:shd w:val="clear" w:color="auto" w:fill="auto"/>
            <w:vAlign w:val="center"/>
            <w:hideMark/>
          </w:tcPr>
          <w:p w14:paraId="2010A741" w14:textId="794E2D71" w:rsidR="00166291" w:rsidRPr="00815DF6" w:rsidRDefault="00166291" w:rsidP="00595343">
            <w:pPr>
              <w:spacing w:before="60" w:after="60" w:line="276" w:lineRule="auto"/>
              <w:rPr>
                <w:rFonts w:eastAsia="Times New Roman" w:cs="Times New Roman"/>
                <w:bCs/>
                <w:color w:val="000000"/>
                <w:szCs w:val="24"/>
              </w:rPr>
            </w:pPr>
            <w:r w:rsidRPr="00815DF6">
              <w:rPr>
                <w:rFonts w:eastAsia="Times New Roman" w:cs="Times New Roman"/>
                <w:bCs/>
                <w:color w:val="000000"/>
                <w:szCs w:val="24"/>
              </w:rPr>
              <w:t>The app is fully integrated into the country</w:t>
            </w:r>
            <w:r w:rsidR="005870AD">
              <w:rPr>
                <w:rFonts w:eastAsia="Times New Roman" w:cs="Times New Roman"/>
                <w:bCs/>
                <w:color w:val="000000"/>
                <w:szCs w:val="24"/>
              </w:rPr>
              <w:t>’</w:t>
            </w:r>
            <w:r w:rsidRPr="00815DF6">
              <w:rPr>
                <w:rFonts w:eastAsia="Times New Roman" w:cs="Times New Roman"/>
                <w:bCs/>
                <w:color w:val="000000"/>
                <w:szCs w:val="24"/>
              </w:rPr>
              <w:t>s health system, with data on key indicators sent automatically to the government</w:t>
            </w:r>
            <w:r w:rsidR="005870AD">
              <w:rPr>
                <w:rFonts w:eastAsia="Times New Roman" w:cs="Times New Roman"/>
                <w:bCs/>
                <w:color w:val="000000"/>
                <w:szCs w:val="24"/>
              </w:rPr>
              <w:t>’</w:t>
            </w:r>
            <w:r w:rsidRPr="00815DF6">
              <w:rPr>
                <w:rFonts w:eastAsia="Times New Roman" w:cs="Times New Roman"/>
                <w:bCs/>
                <w:color w:val="000000"/>
                <w:szCs w:val="24"/>
              </w:rPr>
              <w:t>s health information system (DHIS2) for national-level monitoring. It also works with apps for point-of-care diagnosis and safe deliveries.</w:t>
            </w:r>
          </w:p>
        </w:tc>
        <w:tc>
          <w:tcPr>
            <w:tcW w:w="1666" w:type="pct"/>
            <w:gridSpan w:val="2"/>
            <w:tcBorders>
              <w:top w:val="nil"/>
              <w:left w:val="nil"/>
              <w:bottom w:val="single" w:sz="4" w:space="0" w:color="auto"/>
              <w:right w:val="single" w:sz="4" w:space="0" w:color="auto"/>
            </w:tcBorders>
            <w:shd w:val="clear" w:color="auto" w:fill="auto"/>
            <w:vAlign w:val="center"/>
            <w:hideMark/>
          </w:tcPr>
          <w:p w14:paraId="39ED3C89" w14:textId="4F426BEC" w:rsidR="00166291" w:rsidRPr="00815DF6" w:rsidRDefault="00166291" w:rsidP="00595343">
            <w:pPr>
              <w:spacing w:before="60" w:after="60" w:line="276" w:lineRule="auto"/>
              <w:rPr>
                <w:rFonts w:eastAsia="Times New Roman" w:cs="Times New Roman"/>
                <w:bCs/>
                <w:color w:val="000000"/>
                <w:szCs w:val="24"/>
              </w:rPr>
            </w:pPr>
            <w:r w:rsidRPr="00815DF6">
              <w:rPr>
                <w:rFonts w:eastAsia="Times New Roman" w:cs="Times New Roman"/>
                <w:bCs/>
                <w:color w:val="000000"/>
                <w:szCs w:val="24"/>
              </w:rPr>
              <w:t>The app</w:t>
            </w:r>
            <w:r w:rsidR="005870AD">
              <w:rPr>
                <w:rFonts w:eastAsia="Times New Roman" w:cs="Times New Roman"/>
                <w:bCs/>
                <w:color w:val="000000"/>
                <w:szCs w:val="24"/>
              </w:rPr>
              <w:t>’</w:t>
            </w:r>
            <w:r w:rsidRPr="00815DF6">
              <w:rPr>
                <w:rFonts w:eastAsia="Times New Roman" w:cs="Times New Roman"/>
                <w:bCs/>
                <w:color w:val="000000"/>
                <w:szCs w:val="24"/>
              </w:rPr>
              <w:t xml:space="preserve">s scope has expanded to include additional modules to address health system needs (e.g., malaria, maternal health, COVID-19), thanks to </w:t>
            </w:r>
            <w:proofErr w:type="spellStart"/>
            <w:r w:rsidRPr="00815DF6">
              <w:rPr>
                <w:rFonts w:eastAsia="Times New Roman" w:cs="Times New Roman"/>
                <w:bCs/>
                <w:color w:val="000000"/>
                <w:szCs w:val="24"/>
              </w:rPr>
              <w:t>CommCare</w:t>
            </w:r>
            <w:r w:rsidR="005870AD">
              <w:rPr>
                <w:rFonts w:eastAsia="Times New Roman" w:cs="Times New Roman"/>
                <w:bCs/>
                <w:color w:val="000000"/>
                <w:szCs w:val="24"/>
              </w:rPr>
              <w:t>’</w:t>
            </w:r>
            <w:r w:rsidRPr="00815DF6">
              <w:rPr>
                <w:rFonts w:eastAsia="Times New Roman" w:cs="Times New Roman"/>
                <w:bCs/>
                <w:color w:val="000000"/>
                <w:szCs w:val="24"/>
              </w:rPr>
              <w:t>s</w:t>
            </w:r>
            <w:proofErr w:type="spellEnd"/>
            <w:r w:rsidRPr="00815DF6">
              <w:rPr>
                <w:rFonts w:eastAsia="Times New Roman" w:cs="Times New Roman"/>
                <w:bCs/>
                <w:color w:val="000000"/>
                <w:szCs w:val="24"/>
              </w:rPr>
              <w:t xml:space="preserve"> versatile platform, an iterative approach, and robust user testing.</w:t>
            </w:r>
          </w:p>
        </w:tc>
      </w:tr>
      <w:tr w:rsidR="00166291" w:rsidRPr="00815DF6" w14:paraId="07982A0D" w14:textId="77777777" w:rsidTr="0016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6091B" w14:textId="63D19CB6"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Area 5: Operations</w:t>
            </w:r>
          </w:p>
        </w:tc>
      </w:tr>
      <w:tr w:rsidR="00595343" w:rsidRPr="00815DF6" w14:paraId="7275AB52" w14:textId="77777777" w:rsidTr="00232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187" w:type="pct"/>
            <w:tcBorders>
              <w:top w:val="nil"/>
              <w:left w:val="single" w:sz="4" w:space="0" w:color="auto"/>
              <w:bottom w:val="single" w:sz="4" w:space="0" w:color="auto"/>
              <w:right w:val="single" w:sz="4" w:space="0" w:color="auto"/>
            </w:tcBorders>
            <w:shd w:val="clear" w:color="auto" w:fill="auto"/>
            <w:vAlign w:val="center"/>
            <w:hideMark/>
          </w:tcPr>
          <w:p w14:paraId="7391F502" w14:textId="77777777" w:rsidR="00166291" w:rsidRPr="00815DF6" w:rsidRDefault="00166291"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Personnel</w:t>
            </w:r>
          </w:p>
        </w:tc>
        <w:tc>
          <w:tcPr>
            <w:tcW w:w="1265" w:type="pct"/>
            <w:gridSpan w:val="6"/>
            <w:tcBorders>
              <w:top w:val="nil"/>
              <w:left w:val="nil"/>
              <w:bottom w:val="single" w:sz="4" w:space="0" w:color="auto"/>
              <w:right w:val="single" w:sz="4" w:space="0" w:color="auto"/>
            </w:tcBorders>
            <w:shd w:val="clear" w:color="auto" w:fill="auto"/>
            <w:vAlign w:val="center"/>
            <w:hideMark/>
          </w:tcPr>
          <w:p w14:paraId="41714816" w14:textId="25212FF9" w:rsidR="00166291" w:rsidRPr="00815DF6" w:rsidRDefault="00166291"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Training</w:t>
            </w:r>
            <w:r w:rsidR="003A13C9">
              <w:rPr>
                <w:rFonts w:eastAsia="Times New Roman" w:cs="Times New Roman"/>
                <w:bCs/>
                <w:i/>
                <w:iCs/>
                <w:color w:val="000000"/>
                <w:szCs w:val="24"/>
              </w:rPr>
              <w:t xml:space="preserve"> and </w:t>
            </w:r>
            <w:r w:rsidR="00B1586E">
              <w:rPr>
                <w:rFonts w:eastAsia="Times New Roman" w:cs="Times New Roman"/>
                <w:i/>
                <w:iCs/>
                <w:color w:val="000000"/>
                <w:szCs w:val="24"/>
              </w:rPr>
              <w:t>s</w:t>
            </w:r>
            <w:r w:rsidRPr="00815DF6">
              <w:rPr>
                <w:rFonts w:eastAsia="Times New Roman" w:cs="Times New Roman"/>
                <w:i/>
                <w:iCs/>
                <w:color w:val="000000"/>
                <w:szCs w:val="24"/>
              </w:rPr>
              <w:t>upport</w:t>
            </w:r>
          </w:p>
        </w:tc>
        <w:tc>
          <w:tcPr>
            <w:tcW w:w="1296" w:type="pct"/>
            <w:gridSpan w:val="3"/>
            <w:tcBorders>
              <w:top w:val="nil"/>
              <w:left w:val="nil"/>
              <w:bottom w:val="single" w:sz="4" w:space="0" w:color="auto"/>
              <w:right w:val="single" w:sz="4" w:space="0" w:color="auto"/>
            </w:tcBorders>
            <w:shd w:val="clear" w:color="auto" w:fill="auto"/>
            <w:vAlign w:val="center"/>
            <w:hideMark/>
          </w:tcPr>
          <w:p w14:paraId="31E73F4C" w14:textId="3E5EECC2" w:rsidR="00166291" w:rsidRPr="00815DF6" w:rsidRDefault="00130E35" w:rsidP="00595343">
            <w:pPr>
              <w:spacing w:before="60" w:after="60" w:line="276" w:lineRule="auto"/>
              <w:rPr>
                <w:rFonts w:eastAsia="Times New Roman" w:cs="Times New Roman"/>
                <w:i/>
                <w:iCs/>
                <w:color w:val="000000"/>
                <w:szCs w:val="24"/>
              </w:rPr>
            </w:pPr>
            <w:r w:rsidRPr="00232EF6">
              <w:rPr>
                <w:rFonts w:eastAsia="Times New Roman" w:cs="Times New Roman"/>
                <w:bCs/>
                <w:i/>
                <w:iCs/>
                <w:color w:val="000000"/>
                <w:szCs w:val="24"/>
              </w:rPr>
              <w:t>Outreach</w:t>
            </w:r>
            <w:r w:rsidRPr="00130E35">
              <w:rPr>
                <w:rFonts w:eastAsia="Times New Roman" w:cs="Times New Roman"/>
                <w:bCs/>
                <w:i/>
                <w:iCs/>
                <w:color w:val="000000"/>
                <w:szCs w:val="24"/>
              </w:rPr>
              <w:t xml:space="preserve"> and s</w:t>
            </w:r>
            <w:r w:rsidRPr="00232EF6">
              <w:rPr>
                <w:rFonts w:eastAsia="Times New Roman" w:cs="Times New Roman"/>
                <w:bCs/>
                <w:i/>
                <w:iCs/>
                <w:color w:val="000000"/>
                <w:szCs w:val="24"/>
              </w:rPr>
              <w:t>ensitization</w:t>
            </w:r>
          </w:p>
        </w:tc>
        <w:tc>
          <w:tcPr>
            <w:tcW w:w="1252" w:type="pct"/>
            <w:tcBorders>
              <w:top w:val="nil"/>
              <w:left w:val="nil"/>
              <w:bottom w:val="single" w:sz="4" w:space="0" w:color="auto"/>
              <w:right w:val="single" w:sz="4" w:space="0" w:color="auto"/>
            </w:tcBorders>
            <w:shd w:val="clear" w:color="auto" w:fill="auto"/>
            <w:vAlign w:val="center"/>
            <w:hideMark/>
          </w:tcPr>
          <w:p w14:paraId="0F740F25" w14:textId="5D452BCC" w:rsidR="00166291" w:rsidRPr="00815DF6" w:rsidRDefault="00130E35" w:rsidP="00595343">
            <w:pPr>
              <w:spacing w:before="60" w:after="60" w:line="276" w:lineRule="auto"/>
              <w:rPr>
                <w:rFonts w:eastAsia="Times New Roman" w:cs="Times New Roman"/>
                <w:i/>
                <w:iCs/>
                <w:color w:val="000000"/>
                <w:szCs w:val="24"/>
              </w:rPr>
            </w:pPr>
            <w:r w:rsidRPr="00130E35">
              <w:rPr>
                <w:rFonts w:eastAsia="Times New Roman" w:cs="Times New Roman"/>
                <w:bCs/>
                <w:i/>
                <w:iCs/>
                <w:color w:val="000000"/>
                <w:szCs w:val="24"/>
              </w:rPr>
              <w:t>Contingency planning</w:t>
            </w:r>
          </w:p>
        </w:tc>
      </w:tr>
      <w:tr w:rsidR="00166291" w:rsidRPr="00815DF6" w14:paraId="7F25E033" w14:textId="77777777" w:rsidTr="00232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6"/>
        </w:trPr>
        <w:tc>
          <w:tcPr>
            <w:tcW w:w="1187" w:type="pct"/>
            <w:tcBorders>
              <w:top w:val="nil"/>
              <w:left w:val="single" w:sz="4" w:space="0" w:color="auto"/>
              <w:bottom w:val="single" w:sz="4" w:space="0" w:color="auto"/>
              <w:right w:val="single" w:sz="4" w:space="0" w:color="auto"/>
            </w:tcBorders>
            <w:shd w:val="clear" w:color="auto" w:fill="auto"/>
            <w:vAlign w:val="center"/>
            <w:hideMark/>
          </w:tcPr>
          <w:p w14:paraId="273A616D" w14:textId="77777777"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 xml:space="preserve">The app generates value for users at every level of the health system. The government, </w:t>
            </w:r>
            <w:proofErr w:type="spellStart"/>
            <w:r w:rsidRPr="00815DF6">
              <w:rPr>
                <w:rFonts w:eastAsia="Times New Roman" w:cs="Times New Roman"/>
                <w:bCs/>
                <w:color w:val="000000"/>
                <w:szCs w:val="24"/>
              </w:rPr>
              <w:t>Tdh</w:t>
            </w:r>
            <w:proofErr w:type="spellEnd"/>
            <w:r w:rsidRPr="00815DF6">
              <w:rPr>
                <w:rFonts w:eastAsia="Times New Roman" w:cs="Times New Roman"/>
                <w:bCs/>
                <w:color w:val="000000"/>
                <w:szCs w:val="24"/>
              </w:rPr>
              <w:t>, and a national committee are dedicated to documenting, staffing, and expanding the app.</w:t>
            </w:r>
          </w:p>
        </w:tc>
        <w:tc>
          <w:tcPr>
            <w:tcW w:w="1265" w:type="pct"/>
            <w:gridSpan w:val="6"/>
            <w:tcBorders>
              <w:top w:val="nil"/>
              <w:left w:val="nil"/>
              <w:bottom w:val="single" w:sz="4" w:space="0" w:color="auto"/>
              <w:right w:val="single" w:sz="4" w:space="0" w:color="auto"/>
            </w:tcBorders>
            <w:shd w:val="clear" w:color="auto" w:fill="auto"/>
            <w:vAlign w:val="center"/>
            <w:hideMark/>
          </w:tcPr>
          <w:p w14:paraId="05B85729" w14:textId="77777777" w:rsidR="00166291" w:rsidRPr="00815DF6" w:rsidRDefault="00166291" w:rsidP="00595343">
            <w:pPr>
              <w:spacing w:before="60" w:after="60" w:line="276" w:lineRule="auto"/>
              <w:rPr>
                <w:rFonts w:eastAsia="Times New Roman" w:cs="Times New Roman"/>
                <w:color w:val="000000"/>
                <w:szCs w:val="24"/>
              </w:rPr>
            </w:pPr>
            <w:proofErr w:type="spellStart"/>
            <w:r w:rsidRPr="00815DF6">
              <w:rPr>
                <w:rFonts w:eastAsia="Times New Roman" w:cs="Times New Roman"/>
                <w:bCs/>
                <w:color w:val="000000"/>
                <w:szCs w:val="24"/>
              </w:rPr>
              <w:t>CommCare</w:t>
            </w:r>
            <w:proofErr w:type="spellEnd"/>
            <w:r w:rsidRPr="00815DF6">
              <w:rPr>
                <w:rFonts w:eastAsia="Times New Roman" w:cs="Times New Roman"/>
                <w:bCs/>
                <w:color w:val="000000"/>
                <w:szCs w:val="24"/>
              </w:rPr>
              <w:t xml:space="preserve"> generates timestamps on app usage, enabling targeted supervision, tailored trainings, and e-learning modules to refresh user knowledge. </w:t>
            </w:r>
            <w:proofErr w:type="spellStart"/>
            <w:r w:rsidRPr="00815DF6">
              <w:rPr>
                <w:rFonts w:eastAsia="Times New Roman" w:cs="Times New Roman"/>
                <w:bCs/>
                <w:color w:val="000000"/>
                <w:szCs w:val="24"/>
              </w:rPr>
              <w:t>Dimagi</w:t>
            </w:r>
            <w:proofErr w:type="spellEnd"/>
            <w:r w:rsidRPr="00815DF6">
              <w:rPr>
                <w:rFonts w:eastAsia="Times New Roman" w:cs="Times New Roman"/>
                <w:bCs/>
                <w:color w:val="000000"/>
                <w:szCs w:val="24"/>
              </w:rPr>
              <w:t xml:space="preserve"> strengthened </w:t>
            </w:r>
            <w:proofErr w:type="spellStart"/>
            <w:r w:rsidRPr="00815DF6">
              <w:rPr>
                <w:rFonts w:eastAsia="Times New Roman" w:cs="Times New Roman"/>
                <w:bCs/>
                <w:color w:val="000000"/>
                <w:szCs w:val="24"/>
              </w:rPr>
              <w:t>Tdh</w:t>
            </w:r>
            <w:proofErr w:type="spellEnd"/>
            <w:r w:rsidRPr="00815DF6">
              <w:rPr>
                <w:rFonts w:eastAsia="Times New Roman" w:cs="Times New Roman"/>
                <w:bCs/>
                <w:color w:val="000000"/>
                <w:szCs w:val="24"/>
              </w:rPr>
              <w:t xml:space="preserve"> and MOH capacity to maintain and modify the app.</w:t>
            </w:r>
          </w:p>
        </w:tc>
        <w:tc>
          <w:tcPr>
            <w:tcW w:w="1296" w:type="pct"/>
            <w:gridSpan w:val="3"/>
            <w:tcBorders>
              <w:top w:val="nil"/>
              <w:left w:val="nil"/>
              <w:bottom w:val="single" w:sz="4" w:space="0" w:color="auto"/>
              <w:right w:val="single" w:sz="4" w:space="0" w:color="auto"/>
            </w:tcBorders>
            <w:shd w:val="clear" w:color="auto" w:fill="auto"/>
            <w:vAlign w:val="center"/>
            <w:hideMark/>
          </w:tcPr>
          <w:p w14:paraId="0BF47B17" w14:textId="75E72CAB"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The app facilitates the tasks of overburdened health workers</w:t>
            </w:r>
            <w:r w:rsidR="00E3719A">
              <w:rPr>
                <w:rFonts w:eastAsia="Times New Roman" w:cs="Times New Roman"/>
                <w:bCs/>
                <w:color w:val="000000"/>
                <w:szCs w:val="24"/>
              </w:rPr>
              <w:t>,</w:t>
            </w:r>
            <w:r w:rsidRPr="00815DF6">
              <w:rPr>
                <w:rFonts w:eastAsia="Times New Roman" w:cs="Times New Roman"/>
                <w:bCs/>
                <w:color w:val="000000"/>
                <w:szCs w:val="24"/>
              </w:rPr>
              <w:t xml:space="preserve"> and most are unwilling to return to paper-based protocols. There also appears to be demand from parents, guardians, and districts outside </w:t>
            </w:r>
            <w:proofErr w:type="spellStart"/>
            <w:r w:rsidRPr="00815DF6">
              <w:rPr>
                <w:rFonts w:eastAsia="Times New Roman" w:cs="Times New Roman"/>
                <w:bCs/>
                <w:color w:val="000000"/>
                <w:szCs w:val="24"/>
              </w:rPr>
              <w:t>Tdh</w:t>
            </w:r>
            <w:proofErr w:type="spellEnd"/>
            <w:r w:rsidRPr="00815DF6">
              <w:rPr>
                <w:rFonts w:eastAsia="Times New Roman" w:cs="Times New Roman"/>
                <w:bCs/>
                <w:color w:val="000000"/>
                <w:szCs w:val="24"/>
              </w:rPr>
              <w:t xml:space="preserve"> zones offering to self-fund the project.</w:t>
            </w:r>
          </w:p>
        </w:tc>
        <w:tc>
          <w:tcPr>
            <w:tcW w:w="1252" w:type="pct"/>
            <w:tcBorders>
              <w:top w:val="nil"/>
              <w:left w:val="nil"/>
              <w:bottom w:val="single" w:sz="4" w:space="0" w:color="auto"/>
              <w:right w:val="single" w:sz="4" w:space="0" w:color="auto"/>
            </w:tcBorders>
            <w:shd w:val="clear" w:color="auto" w:fill="auto"/>
            <w:vAlign w:val="center"/>
            <w:hideMark/>
          </w:tcPr>
          <w:p w14:paraId="3D22E7DD" w14:textId="3FA4D82A"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The app</w:t>
            </w:r>
            <w:r w:rsidR="005870AD">
              <w:rPr>
                <w:rFonts w:eastAsia="Times New Roman" w:cs="Times New Roman"/>
                <w:bCs/>
                <w:color w:val="000000"/>
                <w:szCs w:val="24"/>
              </w:rPr>
              <w:t>’</w:t>
            </w:r>
            <w:r w:rsidRPr="00815DF6">
              <w:rPr>
                <w:rFonts w:eastAsia="Times New Roman" w:cs="Times New Roman"/>
                <w:bCs/>
                <w:color w:val="000000"/>
                <w:szCs w:val="24"/>
              </w:rPr>
              <w:t>s ability to be used offline is instrumental in regions with connectivity challenges. All PHC facilities have solar panels, and a robust troubleshooting hierarchy and regional repair teams address bugs and broken equipment.</w:t>
            </w:r>
          </w:p>
        </w:tc>
      </w:tr>
      <w:tr w:rsidR="00166291" w:rsidRPr="00815DF6" w14:paraId="6E90CC2D" w14:textId="77777777" w:rsidTr="008F4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D465A" w14:textId="25804B30"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Area 6: Monitoring</w:t>
            </w:r>
            <w:r w:rsidR="00330AF1">
              <w:rPr>
                <w:rFonts w:eastAsia="Times New Roman" w:cs="Times New Roman"/>
                <w:bCs/>
                <w:color w:val="000000"/>
                <w:szCs w:val="24"/>
              </w:rPr>
              <w:t xml:space="preserve"> and e</w:t>
            </w:r>
            <w:r w:rsidRPr="00815DF6">
              <w:rPr>
                <w:rFonts w:eastAsia="Times New Roman" w:cs="Times New Roman"/>
                <w:color w:val="000000"/>
                <w:szCs w:val="24"/>
              </w:rPr>
              <w:t>valuation</w:t>
            </w:r>
          </w:p>
        </w:tc>
      </w:tr>
      <w:tr w:rsidR="00166291" w:rsidRPr="00815DF6" w14:paraId="51DF0EF5" w14:textId="77777777" w:rsidTr="00FA5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52" w:type="pct"/>
            <w:gridSpan w:val="7"/>
            <w:tcBorders>
              <w:top w:val="nil"/>
              <w:left w:val="single" w:sz="4" w:space="0" w:color="auto"/>
              <w:bottom w:val="single" w:sz="4" w:space="0" w:color="auto"/>
              <w:right w:val="single" w:sz="4" w:space="0" w:color="auto"/>
            </w:tcBorders>
            <w:shd w:val="clear" w:color="auto" w:fill="auto"/>
            <w:vAlign w:val="center"/>
            <w:hideMark/>
          </w:tcPr>
          <w:p w14:paraId="43F5C040" w14:textId="77777777" w:rsidR="00166291" w:rsidRPr="00815DF6" w:rsidRDefault="00166291"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Process monitoring</w:t>
            </w:r>
          </w:p>
        </w:tc>
        <w:tc>
          <w:tcPr>
            <w:tcW w:w="2548" w:type="pct"/>
            <w:gridSpan w:val="4"/>
            <w:tcBorders>
              <w:top w:val="nil"/>
              <w:left w:val="nil"/>
              <w:bottom w:val="single" w:sz="4" w:space="0" w:color="auto"/>
              <w:right w:val="single" w:sz="4" w:space="0" w:color="auto"/>
            </w:tcBorders>
            <w:shd w:val="clear" w:color="auto" w:fill="auto"/>
            <w:vAlign w:val="center"/>
            <w:hideMark/>
          </w:tcPr>
          <w:p w14:paraId="45DD324A" w14:textId="77777777" w:rsidR="00166291" w:rsidRPr="00815DF6" w:rsidRDefault="00166291" w:rsidP="00595343">
            <w:pPr>
              <w:spacing w:before="60" w:after="60" w:line="276" w:lineRule="auto"/>
              <w:rPr>
                <w:rFonts w:eastAsia="Times New Roman" w:cs="Times New Roman"/>
                <w:i/>
                <w:iCs/>
                <w:color w:val="000000"/>
                <w:szCs w:val="24"/>
              </w:rPr>
            </w:pPr>
            <w:r w:rsidRPr="00815DF6">
              <w:rPr>
                <w:rFonts w:eastAsia="Times New Roman" w:cs="Times New Roman"/>
                <w:bCs/>
                <w:i/>
                <w:iCs/>
                <w:color w:val="000000"/>
                <w:szCs w:val="24"/>
              </w:rPr>
              <w:t xml:space="preserve">Evaluation </w:t>
            </w:r>
          </w:p>
        </w:tc>
      </w:tr>
      <w:tr w:rsidR="00166291" w:rsidRPr="00815DF6" w14:paraId="69171960" w14:textId="77777777" w:rsidTr="00FA5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2452" w:type="pct"/>
            <w:gridSpan w:val="7"/>
            <w:tcBorders>
              <w:top w:val="nil"/>
              <w:left w:val="single" w:sz="4" w:space="0" w:color="auto"/>
              <w:bottom w:val="single" w:sz="4" w:space="0" w:color="auto"/>
              <w:right w:val="single" w:sz="4" w:space="0" w:color="auto"/>
            </w:tcBorders>
            <w:shd w:val="clear" w:color="auto" w:fill="auto"/>
            <w:vAlign w:val="center"/>
            <w:hideMark/>
          </w:tcPr>
          <w:p w14:paraId="754DB12E" w14:textId="77777777"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The app gradually scaled up district by district over a decade, introducing new modules via pilots across Burkina Faso. Evidence shows clear impact since the outset of the project.</w:t>
            </w:r>
          </w:p>
        </w:tc>
        <w:tc>
          <w:tcPr>
            <w:tcW w:w="2548" w:type="pct"/>
            <w:gridSpan w:val="4"/>
            <w:tcBorders>
              <w:top w:val="nil"/>
              <w:left w:val="nil"/>
              <w:bottom w:val="single" w:sz="4" w:space="0" w:color="auto"/>
              <w:right w:val="single" w:sz="4" w:space="0" w:color="auto"/>
            </w:tcBorders>
            <w:shd w:val="clear" w:color="auto" w:fill="auto"/>
            <w:vAlign w:val="center"/>
            <w:hideMark/>
          </w:tcPr>
          <w:p w14:paraId="40932C4B" w14:textId="77777777" w:rsidR="00166291" w:rsidRPr="00815DF6" w:rsidRDefault="00166291"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 xml:space="preserve">Multiple independent evaluations have been conducted on health impact, quality of care, and cost savings. </w:t>
            </w:r>
            <w:proofErr w:type="spellStart"/>
            <w:r w:rsidRPr="00815DF6">
              <w:rPr>
                <w:rFonts w:eastAsia="Times New Roman" w:cs="Times New Roman"/>
                <w:bCs/>
                <w:color w:val="000000"/>
                <w:szCs w:val="24"/>
              </w:rPr>
              <w:t>CommCare</w:t>
            </w:r>
            <w:proofErr w:type="spellEnd"/>
            <w:r w:rsidRPr="00815DF6">
              <w:rPr>
                <w:rFonts w:eastAsia="Times New Roman" w:cs="Times New Roman"/>
                <w:bCs/>
                <w:color w:val="000000"/>
                <w:szCs w:val="24"/>
              </w:rPr>
              <w:t xml:space="preserve"> users receive nearly real-time feedback on their performance. The impact in the context of COVID-19 has yet to be evaluated.</w:t>
            </w:r>
          </w:p>
        </w:tc>
      </w:tr>
      <w:tr w:rsidR="00F52CE2" w:rsidRPr="00815DF6" w14:paraId="5DCD26D0" w14:textId="77777777" w:rsidTr="00F52CE2">
        <w:trPr>
          <w:trHeight w:val="310"/>
        </w:trPr>
        <w:tc>
          <w:tcPr>
            <w:tcW w:w="5000" w:type="pct"/>
            <w:gridSpan w:val="11"/>
            <w:shd w:val="clear" w:color="auto" w:fill="auto"/>
          </w:tcPr>
          <w:p w14:paraId="014561FF" w14:textId="74D4FD40" w:rsidR="00F52CE2" w:rsidRPr="00815DF6" w:rsidRDefault="00B7643A" w:rsidP="00595343">
            <w:pPr>
              <w:spacing w:before="60" w:after="60" w:line="276" w:lineRule="auto"/>
              <w:jc w:val="center"/>
              <w:rPr>
                <w:rFonts w:eastAsia="Times New Roman" w:cs="Times New Roman"/>
                <w:b/>
                <w:color w:val="000000"/>
                <w:szCs w:val="24"/>
              </w:rPr>
            </w:pPr>
            <w:proofErr w:type="spellStart"/>
            <w:r w:rsidRPr="00815DF6">
              <w:rPr>
                <w:rFonts w:eastAsia="Times New Roman" w:cs="Times New Roman"/>
                <w:b/>
                <w:color w:val="000000"/>
                <w:szCs w:val="24"/>
              </w:rPr>
              <w:t>CoWIN</w:t>
            </w:r>
            <w:proofErr w:type="spellEnd"/>
            <w:r w:rsidR="00F52CE2" w:rsidRPr="00815DF6">
              <w:rPr>
                <w:rFonts w:eastAsia="Times New Roman" w:cs="Times New Roman"/>
                <w:b/>
                <w:color w:val="000000"/>
                <w:szCs w:val="24"/>
              </w:rPr>
              <w:t xml:space="preserve"> (</w:t>
            </w:r>
            <w:r w:rsidRPr="00815DF6">
              <w:rPr>
                <w:rFonts w:eastAsia="Times New Roman" w:cs="Times New Roman"/>
                <w:b/>
                <w:color w:val="000000"/>
                <w:szCs w:val="24"/>
              </w:rPr>
              <w:t>India</w:t>
            </w:r>
            <w:r w:rsidR="00F52CE2" w:rsidRPr="00815DF6">
              <w:rPr>
                <w:rFonts w:eastAsia="Times New Roman" w:cs="Times New Roman"/>
                <w:b/>
                <w:color w:val="000000"/>
                <w:szCs w:val="24"/>
              </w:rPr>
              <w:t>)</w:t>
            </w:r>
          </w:p>
        </w:tc>
      </w:tr>
      <w:tr w:rsidR="008F4D18" w:rsidRPr="00815DF6" w14:paraId="717DDC22" w14:textId="77777777" w:rsidTr="00521D3C">
        <w:trPr>
          <w:trHeight w:val="310"/>
        </w:trPr>
        <w:tc>
          <w:tcPr>
            <w:tcW w:w="5000" w:type="pct"/>
            <w:gridSpan w:val="11"/>
            <w:shd w:val="clear" w:color="auto" w:fill="D9D9D9" w:themeFill="background1" w:themeFillShade="D9"/>
            <w:hideMark/>
          </w:tcPr>
          <w:p w14:paraId="07A21EA2" w14:textId="77777777" w:rsidR="008F4D18" w:rsidRPr="00815DF6" w:rsidRDefault="008F4D18" w:rsidP="00595343">
            <w:pPr>
              <w:spacing w:before="60" w:after="60" w:line="276" w:lineRule="auto"/>
              <w:rPr>
                <w:rFonts w:eastAsia="Times New Roman" w:cs="Times New Roman"/>
                <w:color w:val="000000"/>
                <w:szCs w:val="24"/>
              </w:rPr>
            </w:pPr>
            <w:r w:rsidRPr="00815DF6">
              <w:rPr>
                <w:rFonts w:eastAsia="Times New Roman" w:cs="Times New Roman"/>
                <w:bCs/>
                <w:color w:val="000000"/>
                <w:szCs w:val="24"/>
              </w:rPr>
              <w:t>Area 1: Groundwork</w:t>
            </w:r>
          </w:p>
        </w:tc>
      </w:tr>
      <w:tr w:rsidR="003A13C9" w:rsidRPr="003A13C9" w14:paraId="37691D12" w14:textId="77777777" w:rsidTr="000D17BA">
        <w:trPr>
          <w:trHeight w:val="50"/>
        </w:trPr>
        <w:tc>
          <w:tcPr>
            <w:tcW w:w="1804" w:type="pct"/>
            <w:gridSpan w:val="5"/>
            <w:shd w:val="clear" w:color="auto" w:fill="auto"/>
            <w:hideMark/>
          </w:tcPr>
          <w:p w14:paraId="539143D5" w14:textId="77777777" w:rsidR="003A13C9" w:rsidRPr="004D4B51" w:rsidRDefault="003A13C9" w:rsidP="00595343">
            <w:pPr>
              <w:spacing w:before="60" w:after="60" w:line="276" w:lineRule="auto"/>
              <w:rPr>
                <w:rFonts w:eastAsia="Times New Roman" w:cs="Times New Roman"/>
                <w:bCs/>
                <w:i/>
                <w:iCs/>
                <w:szCs w:val="24"/>
              </w:rPr>
            </w:pPr>
            <w:r w:rsidRPr="004D4B51">
              <w:rPr>
                <w:rFonts w:eastAsia="Times New Roman" w:cs="Times New Roman"/>
                <w:bCs/>
                <w:i/>
                <w:iCs/>
                <w:szCs w:val="24"/>
              </w:rPr>
              <w:t>Parameters of scale</w:t>
            </w:r>
          </w:p>
        </w:tc>
        <w:tc>
          <w:tcPr>
            <w:tcW w:w="1530" w:type="pct"/>
            <w:gridSpan w:val="4"/>
            <w:shd w:val="clear" w:color="auto" w:fill="auto"/>
            <w:hideMark/>
          </w:tcPr>
          <w:p w14:paraId="06E42F41" w14:textId="77777777" w:rsidR="003A13C9" w:rsidRPr="004D4B51" w:rsidRDefault="003A13C9" w:rsidP="00595343">
            <w:pPr>
              <w:spacing w:before="60" w:after="60" w:line="276" w:lineRule="auto"/>
              <w:rPr>
                <w:rFonts w:eastAsia="Times New Roman" w:cs="Times New Roman"/>
                <w:bCs/>
                <w:i/>
                <w:iCs/>
                <w:szCs w:val="24"/>
              </w:rPr>
            </w:pPr>
            <w:r w:rsidRPr="004D4B51">
              <w:rPr>
                <w:rFonts w:eastAsia="Times New Roman" w:cs="Times New Roman"/>
                <w:bCs/>
                <w:i/>
                <w:iCs/>
                <w:szCs w:val="24"/>
              </w:rPr>
              <w:t>Contextual environment</w:t>
            </w:r>
          </w:p>
        </w:tc>
        <w:tc>
          <w:tcPr>
            <w:tcW w:w="1666" w:type="pct"/>
            <w:gridSpan w:val="2"/>
            <w:shd w:val="clear" w:color="auto" w:fill="auto"/>
            <w:hideMark/>
          </w:tcPr>
          <w:p w14:paraId="7AF5812A" w14:textId="77777777" w:rsidR="003A13C9" w:rsidRPr="004D4B51" w:rsidRDefault="003A13C9" w:rsidP="00595343">
            <w:pPr>
              <w:spacing w:before="60" w:after="60" w:line="276" w:lineRule="auto"/>
              <w:rPr>
                <w:rFonts w:eastAsia="Times New Roman" w:cs="Times New Roman"/>
                <w:bCs/>
                <w:i/>
                <w:iCs/>
                <w:szCs w:val="24"/>
              </w:rPr>
            </w:pPr>
            <w:r w:rsidRPr="004D4B51">
              <w:rPr>
                <w:rFonts w:eastAsia="Times New Roman" w:cs="Times New Roman"/>
                <w:bCs/>
                <w:i/>
                <w:iCs/>
                <w:szCs w:val="24"/>
              </w:rPr>
              <w:t>Scientific basis</w:t>
            </w:r>
          </w:p>
        </w:tc>
      </w:tr>
      <w:tr w:rsidR="008F4D18" w:rsidRPr="00815DF6" w14:paraId="57CCC805" w14:textId="77777777" w:rsidTr="00521D3C">
        <w:trPr>
          <w:trHeight w:val="50"/>
        </w:trPr>
        <w:tc>
          <w:tcPr>
            <w:tcW w:w="1804" w:type="pct"/>
            <w:gridSpan w:val="5"/>
            <w:shd w:val="clear" w:color="auto" w:fill="auto"/>
          </w:tcPr>
          <w:p w14:paraId="43E35092" w14:textId="77777777" w:rsidR="00CE515A" w:rsidRPr="004D4B51" w:rsidRDefault="00CE515A" w:rsidP="00CE515A">
            <w:pPr>
              <w:rPr>
                <w:rFonts w:eastAsia="Times New Roman" w:cs="Times New Roman"/>
                <w:bCs/>
                <w:szCs w:val="24"/>
              </w:rPr>
            </w:pPr>
            <w:proofErr w:type="spellStart"/>
            <w:r w:rsidRPr="004D4B51">
              <w:rPr>
                <w:rFonts w:eastAsia="Times New Roman" w:cs="Times New Roman"/>
                <w:bCs/>
                <w:szCs w:val="24"/>
              </w:rPr>
              <w:t>CoWIN</w:t>
            </w:r>
            <w:proofErr w:type="spellEnd"/>
            <w:r w:rsidRPr="004D4B51">
              <w:rPr>
                <w:rFonts w:eastAsia="Times New Roman" w:cs="Times New Roman"/>
                <w:bCs/>
                <w:szCs w:val="24"/>
              </w:rPr>
              <w:t xml:space="preserve"> was built with a clear mandate to vaccinate the 1.4 </w:t>
            </w:r>
            <w:r w:rsidRPr="004D4B51">
              <w:rPr>
                <w:rFonts w:eastAsia="Times New Roman" w:cs="Times New Roman"/>
                <w:bCs/>
                <w:szCs w:val="24"/>
              </w:rPr>
              <w:lastRenderedPageBreak/>
              <w:t>billion population and scale quickly. The platform is an open source, digital public good, designed for widescale adoption by countries around the world.</w:t>
            </w:r>
          </w:p>
          <w:p w14:paraId="384761C3" w14:textId="1BCA8880" w:rsidR="008F4D18" w:rsidRPr="004D4B51" w:rsidRDefault="008F4D18" w:rsidP="00595343">
            <w:pPr>
              <w:spacing w:before="60" w:after="60" w:line="276" w:lineRule="auto"/>
              <w:rPr>
                <w:rFonts w:eastAsia="Times New Roman" w:cs="Times New Roman"/>
                <w:bCs/>
                <w:szCs w:val="24"/>
              </w:rPr>
            </w:pPr>
          </w:p>
        </w:tc>
        <w:tc>
          <w:tcPr>
            <w:tcW w:w="1530" w:type="pct"/>
            <w:gridSpan w:val="4"/>
            <w:shd w:val="clear" w:color="auto" w:fill="auto"/>
          </w:tcPr>
          <w:p w14:paraId="4145560A" w14:textId="77777777" w:rsidR="00271AB9" w:rsidRPr="004D4B51" w:rsidRDefault="00271AB9" w:rsidP="00271AB9">
            <w:pPr>
              <w:rPr>
                <w:rFonts w:eastAsia="Times New Roman" w:cs="Times New Roman"/>
                <w:bCs/>
                <w:szCs w:val="24"/>
              </w:rPr>
            </w:pPr>
            <w:r w:rsidRPr="004D4B51">
              <w:rPr>
                <w:rFonts w:eastAsia="Times New Roman" w:cs="Times New Roman"/>
                <w:bCs/>
                <w:szCs w:val="24"/>
              </w:rPr>
              <w:lastRenderedPageBreak/>
              <w:t xml:space="preserve">Existing digital infrastructure and solutions </w:t>
            </w:r>
            <w:r w:rsidRPr="004D4B51">
              <w:rPr>
                <w:rFonts w:eastAsia="Times New Roman" w:cs="Times New Roman"/>
                <w:bCs/>
                <w:szCs w:val="24"/>
              </w:rPr>
              <w:lastRenderedPageBreak/>
              <w:t xml:space="preserve">such as </w:t>
            </w:r>
            <w:proofErr w:type="spellStart"/>
            <w:r w:rsidRPr="004D4B51">
              <w:rPr>
                <w:rFonts w:eastAsia="Times New Roman" w:cs="Times New Roman"/>
                <w:bCs/>
                <w:szCs w:val="24"/>
              </w:rPr>
              <w:t>Digilocker</w:t>
            </w:r>
            <w:proofErr w:type="spellEnd"/>
            <w:r w:rsidRPr="004D4B51">
              <w:rPr>
                <w:rFonts w:eastAsia="Times New Roman" w:cs="Times New Roman"/>
                <w:bCs/>
                <w:szCs w:val="24"/>
              </w:rPr>
              <w:t xml:space="preserve">, DIVOC, UMANG were leveraged for the development of </w:t>
            </w:r>
            <w:proofErr w:type="spellStart"/>
            <w:r w:rsidRPr="004D4B51">
              <w:rPr>
                <w:rFonts w:eastAsia="Times New Roman" w:cs="Times New Roman"/>
                <w:bCs/>
                <w:szCs w:val="24"/>
              </w:rPr>
              <w:t>CoWIN</w:t>
            </w:r>
            <w:proofErr w:type="spellEnd"/>
            <w:r w:rsidRPr="004D4B51">
              <w:rPr>
                <w:rFonts w:eastAsia="Times New Roman" w:cs="Times New Roman"/>
                <w:bCs/>
                <w:szCs w:val="24"/>
              </w:rPr>
              <w:t>. However, gaps in digital penetration &amp; literacy in India are yet to be bridged.</w:t>
            </w:r>
          </w:p>
          <w:p w14:paraId="257E4EA2" w14:textId="6E6F5CBB" w:rsidR="008F4D18" w:rsidRPr="004D4B51" w:rsidRDefault="008F4D18" w:rsidP="00595343">
            <w:pPr>
              <w:spacing w:before="60" w:after="60" w:line="276" w:lineRule="auto"/>
              <w:rPr>
                <w:rFonts w:eastAsia="Times New Roman" w:cs="Times New Roman"/>
                <w:bCs/>
                <w:szCs w:val="24"/>
              </w:rPr>
            </w:pPr>
          </w:p>
        </w:tc>
        <w:tc>
          <w:tcPr>
            <w:tcW w:w="1666" w:type="pct"/>
            <w:gridSpan w:val="2"/>
            <w:shd w:val="clear" w:color="auto" w:fill="auto"/>
          </w:tcPr>
          <w:p w14:paraId="7043CF2A" w14:textId="77777777" w:rsidR="00271AB9" w:rsidRPr="004D4B51" w:rsidRDefault="00271AB9" w:rsidP="00271AB9">
            <w:pPr>
              <w:rPr>
                <w:rFonts w:eastAsia="Times New Roman" w:cs="Times New Roman"/>
                <w:bCs/>
                <w:szCs w:val="24"/>
              </w:rPr>
            </w:pPr>
            <w:r w:rsidRPr="004D4B51">
              <w:rPr>
                <w:rFonts w:eastAsia="Times New Roman" w:cs="Times New Roman"/>
                <w:bCs/>
                <w:szCs w:val="24"/>
              </w:rPr>
              <w:lastRenderedPageBreak/>
              <w:t xml:space="preserve">Pilots were conducted before rolling out the platform for </w:t>
            </w:r>
            <w:r w:rsidRPr="004D4B51">
              <w:rPr>
                <w:rFonts w:eastAsia="Times New Roman" w:cs="Times New Roman"/>
                <w:bCs/>
                <w:szCs w:val="24"/>
              </w:rPr>
              <w:lastRenderedPageBreak/>
              <w:t>public use. The platform was rolled out in a phased manner for priority beneficiaries, which allowed for iteration and troubleshooting.</w:t>
            </w:r>
          </w:p>
          <w:p w14:paraId="799B59B1" w14:textId="20D04069" w:rsidR="008F4D18" w:rsidRPr="004D4B51" w:rsidRDefault="008F4D18" w:rsidP="00595343">
            <w:pPr>
              <w:spacing w:before="60" w:after="60" w:line="276" w:lineRule="auto"/>
              <w:rPr>
                <w:rFonts w:eastAsia="Times New Roman" w:cs="Times New Roman"/>
                <w:bCs/>
                <w:szCs w:val="24"/>
              </w:rPr>
            </w:pPr>
          </w:p>
        </w:tc>
      </w:tr>
      <w:tr w:rsidR="008F4D18" w:rsidRPr="00815DF6" w14:paraId="49D32F43"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4C0BE" w14:textId="77777777" w:rsidR="008F4D18" w:rsidRPr="004D4B51" w:rsidRDefault="008F4D18" w:rsidP="00595343">
            <w:pPr>
              <w:spacing w:before="60" w:after="60" w:line="276" w:lineRule="auto"/>
              <w:rPr>
                <w:rFonts w:eastAsia="Times New Roman" w:cs="Times New Roman"/>
                <w:szCs w:val="24"/>
              </w:rPr>
            </w:pPr>
            <w:r w:rsidRPr="004D4B51">
              <w:rPr>
                <w:rFonts w:eastAsia="Times New Roman" w:cs="Times New Roman"/>
                <w:bCs/>
                <w:szCs w:val="24"/>
              </w:rPr>
              <w:lastRenderedPageBreak/>
              <w:t>Area 2: Partnerships</w:t>
            </w:r>
          </w:p>
        </w:tc>
      </w:tr>
      <w:tr w:rsidR="008F4D18" w:rsidRPr="00815DF6" w14:paraId="2887574D"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52" w:type="pct"/>
            <w:gridSpan w:val="7"/>
            <w:tcBorders>
              <w:top w:val="nil"/>
              <w:left w:val="single" w:sz="4" w:space="0" w:color="auto"/>
              <w:bottom w:val="single" w:sz="4" w:space="0" w:color="auto"/>
              <w:right w:val="single" w:sz="4" w:space="0" w:color="auto"/>
            </w:tcBorders>
            <w:shd w:val="clear" w:color="auto" w:fill="auto"/>
            <w:hideMark/>
          </w:tcPr>
          <w:p w14:paraId="136989C7" w14:textId="77777777" w:rsidR="008F4D18" w:rsidRPr="004D4B51" w:rsidRDefault="008F4D18" w:rsidP="00595343">
            <w:pPr>
              <w:spacing w:before="60" w:after="60" w:line="276" w:lineRule="auto"/>
              <w:rPr>
                <w:rFonts w:eastAsia="Times New Roman" w:cs="Times New Roman"/>
                <w:i/>
                <w:iCs/>
                <w:szCs w:val="24"/>
              </w:rPr>
            </w:pPr>
            <w:r w:rsidRPr="004D4B51">
              <w:rPr>
                <w:rFonts w:eastAsia="Times New Roman" w:cs="Times New Roman"/>
                <w:bCs/>
                <w:i/>
                <w:iCs/>
                <w:szCs w:val="24"/>
              </w:rPr>
              <w:t>Strategic engagement</w:t>
            </w:r>
          </w:p>
        </w:tc>
        <w:tc>
          <w:tcPr>
            <w:tcW w:w="2548" w:type="pct"/>
            <w:gridSpan w:val="4"/>
            <w:tcBorders>
              <w:top w:val="nil"/>
              <w:left w:val="nil"/>
              <w:bottom w:val="single" w:sz="4" w:space="0" w:color="auto"/>
              <w:right w:val="single" w:sz="4" w:space="0" w:color="auto"/>
            </w:tcBorders>
            <w:shd w:val="clear" w:color="auto" w:fill="auto"/>
            <w:hideMark/>
          </w:tcPr>
          <w:p w14:paraId="52D74BE4" w14:textId="77777777" w:rsidR="008F4D18" w:rsidRPr="004D4B51" w:rsidRDefault="008F4D18" w:rsidP="00595343">
            <w:pPr>
              <w:spacing w:before="60" w:after="60" w:line="276" w:lineRule="auto"/>
              <w:rPr>
                <w:rFonts w:eastAsia="Times New Roman" w:cs="Times New Roman"/>
                <w:i/>
                <w:iCs/>
                <w:szCs w:val="24"/>
              </w:rPr>
            </w:pPr>
            <w:r w:rsidRPr="004D4B51">
              <w:rPr>
                <w:rFonts w:eastAsia="Times New Roman" w:cs="Times New Roman"/>
                <w:bCs/>
                <w:i/>
                <w:iCs/>
                <w:szCs w:val="24"/>
              </w:rPr>
              <w:t xml:space="preserve">Partnership sustainability </w:t>
            </w:r>
          </w:p>
        </w:tc>
      </w:tr>
      <w:tr w:rsidR="008F4D18" w:rsidRPr="00815DF6" w14:paraId="72BC893A"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52" w:type="pct"/>
            <w:gridSpan w:val="7"/>
            <w:tcBorders>
              <w:top w:val="nil"/>
              <w:left w:val="single" w:sz="4" w:space="0" w:color="auto"/>
              <w:bottom w:val="single" w:sz="4" w:space="0" w:color="auto"/>
              <w:right w:val="single" w:sz="4" w:space="0" w:color="auto"/>
            </w:tcBorders>
            <w:shd w:val="clear" w:color="auto" w:fill="auto"/>
          </w:tcPr>
          <w:p w14:paraId="737A2A97" w14:textId="543B61F9" w:rsidR="008F4D18" w:rsidRPr="004D4B51" w:rsidRDefault="006C7BB3" w:rsidP="00595343">
            <w:pPr>
              <w:spacing w:before="60" w:after="60" w:line="276" w:lineRule="auto"/>
              <w:rPr>
                <w:rFonts w:eastAsia="Times New Roman" w:cs="Times New Roman"/>
                <w:bCs/>
                <w:szCs w:val="24"/>
              </w:rPr>
            </w:pPr>
            <w:proofErr w:type="spellStart"/>
            <w:r w:rsidRPr="004D4B51">
              <w:rPr>
                <w:rFonts w:eastAsia="Times New Roman" w:cs="Times New Roman"/>
                <w:bCs/>
                <w:szCs w:val="24"/>
              </w:rPr>
              <w:t>CoWIN</w:t>
            </w:r>
            <w:proofErr w:type="spellEnd"/>
            <w:r w:rsidRPr="004D4B51">
              <w:rPr>
                <w:rFonts w:eastAsia="Times New Roman" w:cs="Times New Roman"/>
                <w:bCs/>
                <w:szCs w:val="24"/>
              </w:rPr>
              <w:t xml:space="preserve"> is managed by the Ministry of Health and Family Welfare (</w:t>
            </w:r>
            <w:proofErr w:type="spellStart"/>
            <w:r w:rsidRPr="004D4B51">
              <w:rPr>
                <w:rFonts w:eastAsia="Times New Roman" w:cs="Times New Roman"/>
                <w:bCs/>
                <w:szCs w:val="24"/>
              </w:rPr>
              <w:t>MoHFW</w:t>
            </w:r>
            <w:proofErr w:type="spellEnd"/>
            <w:r w:rsidRPr="004D4B51">
              <w:rPr>
                <w:rFonts w:eastAsia="Times New Roman" w:cs="Times New Roman"/>
                <w:bCs/>
                <w:szCs w:val="24"/>
              </w:rPr>
              <w:t xml:space="preserve">). Partnerships amongst ministries were coordinated by the National Expert Group on Vaccine Administration for COVID-19 (NEGVAC). Experts involved in building other digital public goods in India were also leveraged to implement and scale </w:t>
            </w:r>
            <w:proofErr w:type="spellStart"/>
            <w:r w:rsidRPr="004D4B51">
              <w:rPr>
                <w:rFonts w:eastAsia="Times New Roman" w:cs="Times New Roman"/>
                <w:bCs/>
                <w:szCs w:val="24"/>
              </w:rPr>
              <w:t>CoWIN</w:t>
            </w:r>
            <w:proofErr w:type="spellEnd"/>
            <w:r w:rsidRPr="004D4B51">
              <w:rPr>
                <w:rFonts w:eastAsia="Times New Roman" w:cs="Times New Roman"/>
                <w:bCs/>
                <w:szCs w:val="24"/>
              </w:rPr>
              <w:t>.</w:t>
            </w:r>
          </w:p>
        </w:tc>
        <w:tc>
          <w:tcPr>
            <w:tcW w:w="2548" w:type="pct"/>
            <w:gridSpan w:val="4"/>
            <w:tcBorders>
              <w:top w:val="nil"/>
              <w:left w:val="nil"/>
              <w:bottom w:val="single" w:sz="4" w:space="0" w:color="auto"/>
              <w:right w:val="single" w:sz="4" w:space="0" w:color="auto"/>
            </w:tcBorders>
            <w:shd w:val="clear" w:color="auto" w:fill="auto"/>
          </w:tcPr>
          <w:p w14:paraId="3F2DCE9D" w14:textId="77777777" w:rsidR="00CE515A" w:rsidRPr="004D4B51" w:rsidRDefault="00CE515A" w:rsidP="00CE515A">
            <w:pPr>
              <w:rPr>
                <w:rFonts w:eastAsia="Times New Roman" w:cs="Times New Roman"/>
                <w:bCs/>
                <w:szCs w:val="24"/>
              </w:rPr>
            </w:pPr>
            <w:r w:rsidRPr="004D4B51">
              <w:rPr>
                <w:rFonts w:eastAsia="Times New Roman" w:cs="Times New Roman"/>
                <w:bCs/>
                <w:szCs w:val="24"/>
              </w:rPr>
              <w:t>The Government of India (</w:t>
            </w:r>
            <w:proofErr w:type="spellStart"/>
            <w:r w:rsidRPr="004D4B51">
              <w:rPr>
                <w:rFonts w:eastAsia="Times New Roman" w:cs="Times New Roman"/>
                <w:bCs/>
                <w:szCs w:val="24"/>
              </w:rPr>
              <w:t>GoI</w:t>
            </w:r>
            <w:proofErr w:type="spellEnd"/>
            <w:r w:rsidRPr="004D4B51">
              <w:rPr>
                <w:rFonts w:eastAsia="Times New Roman" w:cs="Times New Roman"/>
                <w:bCs/>
                <w:szCs w:val="24"/>
              </w:rPr>
              <w:t>), through the National Health Authority (NHA)–with strong support from international partners like the BMGF are in the process of scaling up of the platform. Information on governance of partnerships is limited.</w:t>
            </w:r>
          </w:p>
          <w:p w14:paraId="30C0E276" w14:textId="2417C6AE" w:rsidR="008F4D18" w:rsidRPr="004D4B51" w:rsidRDefault="008F4D18" w:rsidP="00595343">
            <w:pPr>
              <w:spacing w:before="60" w:after="60" w:line="276" w:lineRule="auto"/>
              <w:rPr>
                <w:rFonts w:eastAsia="Times New Roman" w:cs="Times New Roman"/>
                <w:bCs/>
                <w:szCs w:val="24"/>
              </w:rPr>
            </w:pPr>
          </w:p>
        </w:tc>
      </w:tr>
      <w:tr w:rsidR="008F4D18" w:rsidRPr="00815DF6" w14:paraId="6D30A8A2"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16EB2" w14:textId="39466FAD" w:rsidR="008F4D18" w:rsidRPr="004D4B51" w:rsidRDefault="008F4D18" w:rsidP="00595343">
            <w:pPr>
              <w:spacing w:before="60" w:after="60" w:line="276" w:lineRule="auto"/>
              <w:rPr>
                <w:rFonts w:eastAsia="Times New Roman" w:cs="Times New Roman"/>
                <w:szCs w:val="24"/>
              </w:rPr>
            </w:pPr>
            <w:r w:rsidRPr="004D4B51">
              <w:rPr>
                <w:rFonts w:eastAsia="Times New Roman" w:cs="Times New Roman"/>
                <w:bCs/>
                <w:szCs w:val="24"/>
              </w:rPr>
              <w:t xml:space="preserve">Area 3: </w:t>
            </w:r>
            <w:r w:rsidR="00330AF1" w:rsidRPr="004D4B51">
              <w:rPr>
                <w:rFonts w:eastAsia="Times New Roman" w:cs="Times New Roman"/>
                <w:bCs/>
                <w:szCs w:val="24"/>
              </w:rPr>
              <w:t>Financial health</w:t>
            </w:r>
          </w:p>
        </w:tc>
      </w:tr>
      <w:tr w:rsidR="000C126A" w:rsidRPr="00633600" w14:paraId="783ECB52"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52" w:type="pct"/>
            <w:gridSpan w:val="7"/>
            <w:tcBorders>
              <w:top w:val="single" w:sz="4" w:space="0" w:color="auto"/>
              <w:left w:val="single" w:sz="4" w:space="0" w:color="auto"/>
              <w:bottom w:val="single" w:sz="4" w:space="0" w:color="auto"/>
              <w:right w:val="single" w:sz="4" w:space="0" w:color="auto"/>
            </w:tcBorders>
            <w:shd w:val="clear" w:color="auto" w:fill="auto"/>
          </w:tcPr>
          <w:p w14:paraId="057EEE40" w14:textId="2B9FFCCE" w:rsidR="000C126A" w:rsidRPr="004D4B51" w:rsidRDefault="000C126A" w:rsidP="00595343">
            <w:pPr>
              <w:spacing w:before="60" w:after="60" w:line="276" w:lineRule="auto"/>
              <w:rPr>
                <w:rFonts w:eastAsia="Times New Roman" w:cs="Times New Roman"/>
                <w:bCs/>
                <w:i/>
                <w:iCs/>
                <w:szCs w:val="24"/>
              </w:rPr>
            </w:pPr>
            <w:r w:rsidRPr="004D4B51">
              <w:rPr>
                <w:rFonts w:eastAsia="Times New Roman" w:cs="Times New Roman"/>
                <w:bCs/>
                <w:i/>
                <w:iCs/>
                <w:szCs w:val="24"/>
              </w:rPr>
              <w:t>Financial management</w:t>
            </w:r>
          </w:p>
        </w:tc>
        <w:tc>
          <w:tcPr>
            <w:tcW w:w="2548" w:type="pct"/>
            <w:gridSpan w:val="4"/>
            <w:tcBorders>
              <w:top w:val="single" w:sz="4" w:space="0" w:color="auto"/>
              <w:left w:val="single" w:sz="4" w:space="0" w:color="auto"/>
              <w:bottom w:val="single" w:sz="4" w:space="0" w:color="auto"/>
              <w:right w:val="single" w:sz="4" w:space="0" w:color="auto"/>
            </w:tcBorders>
            <w:shd w:val="clear" w:color="auto" w:fill="auto"/>
          </w:tcPr>
          <w:p w14:paraId="7E149FAE" w14:textId="2CCD80FD" w:rsidR="000C126A" w:rsidRPr="004D4B51" w:rsidRDefault="000C126A" w:rsidP="00595343">
            <w:pPr>
              <w:spacing w:before="60" w:after="60" w:line="276" w:lineRule="auto"/>
              <w:rPr>
                <w:rFonts w:eastAsia="Times New Roman" w:cs="Times New Roman"/>
                <w:bCs/>
                <w:i/>
                <w:iCs/>
                <w:szCs w:val="24"/>
              </w:rPr>
            </w:pPr>
            <w:r w:rsidRPr="004D4B51">
              <w:rPr>
                <w:rFonts w:eastAsia="Times New Roman" w:cs="Times New Roman"/>
                <w:bCs/>
                <w:i/>
                <w:iCs/>
                <w:szCs w:val="24"/>
              </w:rPr>
              <w:t>Financial model</w:t>
            </w:r>
          </w:p>
        </w:tc>
      </w:tr>
      <w:tr w:rsidR="000C126A" w:rsidRPr="00815DF6" w14:paraId="4D60AE0C"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52" w:type="pct"/>
            <w:gridSpan w:val="7"/>
            <w:tcBorders>
              <w:top w:val="single" w:sz="4" w:space="0" w:color="auto"/>
              <w:left w:val="single" w:sz="4" w:space="0" w:color="auto"/>
              <w:bottom w:val="single" w:sz="4" w:space="0" w:color="auto"/>
              <w:right w:val="single" w:sz="4" w:space="0" w:color="auto"/>
            </w:tcBorders>
            <w:shd w:val="clear" w:color="auto" w:fill="auto"/>
          </w:tcPr>
          <w:p w14:paraId="2206FB43" w14:textId="77777777" w:rsidR="00203AAD" w:rsidRPr="004D4B51" w:rsidRDefault="00203AAD" w:rsidP="00203AAD">
            <w:pPr>
              <w:rPr>
                <w:rFonts w:eastAsia="Times New Roman" w:cs="Times New Roman"/>
                <w:bCs/>
                <w:szCs w:val="24"/>
              </w:rPr>
            </w:pPr>
            <w:r w:rsidRPr="004D4B51">
              <w:rPr>
                <w:rFonts w:eastAsia="Times New Roman" w:cs="Times New Roman"/>
                <w:bCs/>
                <w:szCs w:val="24"/>
              </w:rPr>
              <w:t xml:space="preserve">Though the </w:t>
            </w:r>
            <w:proofErr w:type="spellStart"/>
            <w:r w:rsidRPr="004D4B51">
              <w:rPr>
                <w:rFonts w:eastAsia="Times New Roman" w:cs="Times New Roman"/>
                <w:bCs/>
                <w:szCs w:val="24"/>
              </w:rPr>
              <w:t>CoWIN</w:t>
            </w:r>
            <w:proofErr w:type="spellEnd"/>
            <w:r w:rsidRPr="004D4B51">
              <w:rPr>
                <w:rFonts w:eastAsia="Times New Roman" w:cs="Times New Roman"/>
                <w:bCs/>
                <w:szCs w:val="24"/>
              </w:rPr>
              <w:t xml:space="preserve"> technology is freely available, there is limited information on the total cost of owning and managing </w:t>
            </w:r>
            <w:proofErr w:type="spellStart"/>
            <w:r w:rsidRPr="004D4B51">
              <w:rPr>
                <w:rFonts w:eastAsia="Times New Roman" w:cs="Times New Roman"/>
                <w:bCs/>
                <w:szCs w:val="24"/>
              </w:rPr>
              <w:t>CoWIN</w:t>
            </w:r>
            <w:proofErr w:type="spellEnd"/>
            <w:r w:rsidRPr="004D4B51">
              <w:rPr>
                <w:rFonts w:eastAsia="Times New Roman" w:cs="Times New Roman"/>
                <w:bCs/>
                <w:szCs w:val="24"/>
              </w:rPr>
              <w:t>. Due to the complexities of urgent outbreak response, total expenses have been difficult to define.</w:t>
            </w:r>
          </w:p>
          <w:p w14:paraId="7EF33C82" w14:textId="3F6F0B08" w:rsidR="000C126A" w:rsidRPr="004D4B51" w:rsidRDefault="000C126A" w:rsidP="00595343">
            <w:pPr>
              <w:spacing w:before="60" w:after="60" w:line="276" w:lineRule="auto"/>
              <w:rPr>
                <w:rFonts w:eastAsia="Times New Roman" w:cs="Times New Roman"/>
                <w:bCs/>
                <w:szCs w:val="24"/>
              </w:rPr>
            </w:pPr>
          </w:p>
        </w:tc>
        <w:tc>
          <w:tcPr>
            <w:tcW w:w="2548" w:type="pct"/>
            <w:gridSpan w:val="4"/>
            <w:tcBorders>
              <w:top w:val="single" w:sz="4" w:space="0" w:color="auto"/>
              <w:left w:val="single" w:sz="4" w:space="0" w:color="auto"/>
              <w:bottom w:val="single" w:sz="4" w:space="0" w:color="auto"/>
              <w:right w:val="single" w:sz="4" w:space="0" w:color="auto"/>
            </w:tcBorders>
            <w:shd w:val="clear" w:color="auto" w:fill="auto"/>
          </w:tcPr>
          <w:p w14:paraId="54654DA6" w14:textId="2D13C318" w:rsidR="000C126A" w:rsidRPr="004D4B51" w:rsidRDefault="000C126A" w:rsidP="00595343">
            <w:pPr>
              <w:spacing w:before="60" w:after="60" w:line="276" w:lineRule="auto"/>
              <w:rPr>
                <w:rFonts w:eastAsia="Times New Roman" w:cs="Times New Roman"/>
                <w:bCs/>
                <w:szCs w:val="24"/>
              </w:rPr>
            </w:pPr>
            <w:r w:rsidRPr="004D4B51">
              <w:rPr>
                <w:rFonts w:eastAsia="Times New Roman" w:cs="Times New Roman"/>
                <w:bCs/>
                <w:szCs w:val="24"/>
              </w:rPr>
              <w:t>Limited information and under development.</w:t>
            </w:r>
          </w:p>
        </w:tc>
      </w:tr>
      <w:tr w:rsidR="000C126A" w:rsidRPr="000C126A" w14:paraId="30DF0048"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DCFEF" w14:textId="40FB9E1E" w:rsidR="000C126A" w:rsidRPr="004D4B51" w:rsidRDefault="000C126A" w:rsidP="00595343">
            <w:pPr>
              <w:spacing w:before="60" w:after="60" w:line="276" w:lineRule="auto"/>
              <w:rPr>
                <w:rFonts w:cs="Times New Roman"/>
                <w:szCs w:val="24"/>
              </w:rPr>
            </w:pPr>
            <w:r w:rsidRPr="004D4B51">
              <w:rPr>
                <w:rFonts w:cs="Times New Roman"/>
                <w:bCs/>
                <w:szCs w:val="24"/>
              </w:rPr>
              <w:t xml:space="preserve">Area 4: </w:t>
            </w:r>
            <w:r w:rsidR="00330AF1" w:rsidRPr="004D4B51">
              <w:rPr>
                <w:rFonts w:cs="Times New Roman"/>
                <w:bCs/>
                <w:szCs w:val="24"/>
              </w:rPr>
              <w:t>Technology and architecture</w:t>
            </w:r>
          </w:p>
        </w:tc>
      </w:tr>
      <w:tr w:rsidR="000C126A" w:rsidRPr="000C126A" w14:paraId="2547A93E" w14:textId="77777777" w:rsidTr="00330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665" w:type="pct"/>
            <w:gridSpan w:val="3"/>
            <w:tcBorders>
              <w:top w:val="nil"/>
              <w:left w:val="single" w:sz="4" w:space="0" w:color="auto"/>
              <w:bottom w:val="single" w:sz="4" w:space="0" w:color="auto"/>
              <w:right w:val="single" w:sz="4" w:space="0" w:color="auto"/>
            </w:tcBorders>
            <w:shd w:val="clear" w:color="auto" w:fill="auto"/>
            <w:hideMark/>
          </w:tcPr>
          <w:p w14:paraId="761A98C1"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Data</w:t>
            </w:r>
          </w:p>
        </w:tc>
        <w:tc>
          <w:tcPr>
            <w:tcW w:w="1669" w:type="pct"/>
            <w:gridSpan w:val="6"/>
            <w:tcBorders>
              <w:top w:val="nil"/>
              <w:left w:val="nil"/>
              <w:bottom w:val="single" w:sz="4" w:space="0" w:color="auto"/>
              <w:right w:val="single" w:sz="4" w:space="0" w:color="auto"/>
            </w:tcBorders>
            <w:shd w:val="clear" w:color="auto" w:fill="auto"/>
            <w:hideMark/>
          </w:tcPr>
          <w:p w14:paraId="756312B4"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hideMark/>
          </w:tcPr>
          <w:p w14:paraId="74D1877C"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 xml:space="preserve">Adaptability </w:t>
            </w:r>
          </w:p>
        </w:tc>
      </w:tr>
      <w:tr w:rsidR="000C126A" w:rsidRPr="000C126A" w14:paraId="27F92782"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0"/>
        </w:trPr>
        <w:tc>
          <w:tcPr>
            <w:tcW w:w="1665" w:type="pct"/>
            <w:gridSpan w:val="3"/>
            <w:tcBorders>
              <w:top w:val="nil"/>
              <w:left w:val="single" w:sz="4" w:space="0" w:color="auto"/>
              <w:bottom w:val="single" w:sz="4" w:space="0" w:color="auto"/>
              <w:right w:val="single" w:sz="4" w:space="0" w:color="auto"/>
            </w:tcBorders>
            <w:shd w:val="clear" w:color="auto" w:fill="auto"/>
            <w:hideMark/>
          </w:tcPr>
          <w:p w14:paraId="5F729F9C" w14:textId="77777777" w:rsidR="00203AAD" w:rsidRPr="004D4B51" w:rsidRDefault="00203AAD" w:rsidP="00203AAD">
            <w:pPr>
              <w:rPr>
                <w:rFonts w:cs="Times New Roman"/>
                <w:bCs/>
                <w:szCs w:val="24"/>
              </w:rPr>
            </w:pPr>
            <w:r w:rsidRPr="004D4B51">
              <w:rPr>
                <w:rFonts w:cs="Times New Roman"/>
                <w:bCs/>
                <w:szCs w:val="24"/>
              </w:rPr>
              <w:t xml:space="preserve">Data generated by </w:t>
            </w:r>
            <w:proofErr w:type="spellStart"/>
            <w:r w:rsidRPr="004D4B51">
              <w:rPr>
                <w:rFonts w:cs="Times New Roman"/>
                <w:bCs/>
                <w:szCs w:val="24"/>
              </w:rPr>
              <w:t>CoWIN</w:t>
            </w:r>
            <w:proofErr w:type="spellEnd"/>
            <w:r w:rsidRPr="004D4B51">
              <w:rPr>
                <w:rFonts w:cs="Times New Roman"/>
                <w:bCs/>
                <w:szCs w:val="24"/>
              </w:rPr>
              <w:t xml:space="preserve"> is stored by Amazon Web Services, accessed via real time dashboard and its quality ensured by disallowing offline data entry. However, data privacy is a concern due to evolving data protection laws in India.</w:t>
            </w:r>
          </w:p>
          <w:p w14:paraId="4934797A" w14:textId="4DC025B0" w:rsidR="000C126A" w:rsidRPr="004D4B51" w:rsidRDefault="000C126A" w:rsidP="00595343">
            <w:pPr>
              <w:spacing w:before="60" w:after="60" w:line="276" w:lineRule="auto"/>
              <w:rPr>
                <w:rFonts w:cs="Times New Roman"/>
                <w:bCs/>
                <w:szCs w:val="24"/>
              </w:rPr>
            </w:pPr>
          </w:p>
        </w:tc>
        <w:tc>
          <w:tcPr>
            <w:tcW w:w="1669" w:type="pct"/>
            <w:gridSpan w:val="6"/>
            <w:tcBorders>
              <w:top w:val="nil"/>
              <w:left w:val="nil"/>
              <w:bottom w:val="single" w:sz="4" w:space="0" w:color="auto"/>
              <w:right w:val="single" w:sz="4" w:space="0" w:color="auto"/>
            </w:tcBorders>
            <w:shd w:val="clear" w:color="auto" w:fill="auto"/>
            <w:hideMark/>
          </w:tcPr>
          <w:p w14:paraId="2B162ACE" w14:textId="77777777" w:rsidR="00763E46" w:rsidRPr="004D4B51" w:rsidRDefault="00763E46" w:rsidP="00763E46">
            <w:pPr>
              <w:shd w:val="clear" w:color="auto" w:fill="FEFEFF"/>
              <w:spacing w:before="0" w:after="0" w:line="300" w:lineRule="atLeast"/>
              <w:rPr>
                <w:rFonts w:eastAsia="Times New Roman" w:cs="Times New Roman"/>
                <w:sz w:val="21"/>
                <w:szCs w:val="21"/>
              </w:rPr>
            </w:pPr>
            <w:proofErr w:type="spellStart"/>
            <w:r w:rsidRPr="004D4B51">
              <w:rPr>
                <w:rFonts w:eastAsia="Times New Roman" w:cs="Times New Roman"/>
                <w:sz w:val="21"/>
                <w:szCs w:val="21"/>
              </w:rPr>
              <w:t>CoWIN</w:t>
            </w:r>
            <w:proofErr w:type="spellEnd"/>
            <w:r w:rsidRPr="004D4B51">
              <w:rPr>
                <w:rFonts w:eastAsia="Times New Roman" w:cs="Times New Roman"/>
                <w:sz w:val="21"/>
                <w:szCs w:val="21"/>
              </w:rPr>
              <w:t xml:space="preserve"> is interoperable with other apps including </w:t>
            </w:r>
            <w:proofErr w:type="spellStart"/>
            <w:r w:rsidRPr="004D4B51">
              <w:rPr>
                <w:rFonts w:eastAsia="Times New Roman" w:cs="Times New Roman"/>
                <w:sz w:val="21"/>
                <w:szCs w:val="21"/>
              </w:rPr>
              <w:t>Aarogya</w:t>
            </w:r>
            <w:proofErr w:type="spellEnd"/>
            <w:r w:rsidRPr="004D4B51">
              <w:rPr>
                <w:rFonts w:eastAsia="Times New Roman" w:cs="Times New Roman"/>
                <w:sz w:val="21"/>
                <w:szCs w:val="21"/>
              </w:rPr>
              <w:t xml:space="preserve"> </w:t>
            </w:r>
            <w:proofErr w:type="spellStart"/>
            <w:r w:rsidRPr="004D4B51">
              <w:rPr>
                <w:rFonts w:eastAsia="Times New Roman" w:cs="Times New Roman"/>
                <w:sz w:val="21"/>
                <w:szCs w:val="21"/>
              </w:rPr>
              <w:t>Setu</w:t>
            </w:r>
            <w:proofErr w:type="spellEnd"/>
            <w:r w:rsidRPr="004D4B51">
              <w:rPr>
                <w:rFonts w:eastAsia="Times New Roman" w:cs="Times New Roman"/>
                <w:sz w:val="21"/>
                <w:szCs w:val="21"/>
              </w:rPr>
              <w:t xml:space="preserve">/UMANG for registration, DIVOC for certification generation, and SAFEVAC for AEFI reporting and with </w:t>
            </w:r>
            <w:proofErr w:type="spellStart"/>
            <w:r w:rsidRPr="004D4B51">
              <w:rPr>
                <w:rFonts w:eastAsia="Times New Roman" w:cs="Times New Roman"/>
                <w:sz w:val="21"/>
                <w:szCs w:val="21"/>
              </w:rPr>
              <w:t>Digilocker</w:t>
            </w:r>
            <w:proofErr w:type="spellEnd"/>
            <w:r w:rsidRPr="004D4B51">
              <w:rPr>
                <w:rFonts w:eastAsia="Times New Roman" w:cs="Times New Roman"/>
                <w:sz w:val="21"/>
                <w:szCs w:val="21"/>
              </w:rPr>
              <w:t xml:space="preserve"> for accessing and storing certificates. It is compatible with national databases owned by NHA and </w:t>
            </w:r>
            <w:proofErr w:type="spellStart"/>
            <w:r w:rsidRPr="004D4B51">
              <w:rPr>
                <w:rFonts w:eastAsia="Times New Roman" w:cs="Times New Roman"/>
                <w:sz w:val="21"/>
                <w:szCs w:val="21"/>
              </w:rPr>
              <w:t>MoHFW</w:t>
            </w:r>
            <w:proofErr w:type="spellEnd"/>
            <w:r w:rsidRPr="004D4B51">
              <w:rPr>
                <w:rFonts w:eastAsia="Times New Roman" w:cs="Times New Roman"/>
                <w:sz w:val="21"/>
                <w:szCs w:val="21"/>
              </w:rPr>
              <w:t>.</w:t>
            </w:r>
          </w:p>
          <w:p w14:paraId="7D2521DF" w14:textId="11BE32C1" w:rsidR="000C126A" w:rsidRPr="004D4B51" w:rsidRDefault="000C126A" w:rsidP="00595343">
            <w:pPr>
              <w:spacing w:before="60" w:after="60" w:line="276" w:lineRule="auto"/>
              <w:rPr>
                <w:rFonts w:cs="Times New Roman"/>
                <w:bCs/>
                <w:szCs w:val="24"/>
              </w:rPr>
            </w:pPr>
          </w:p>
        </w:tc>
        <w:tc>
          <w:tcPr>
            <w:tcW w:w="1666" w:type="pct"/>
            <w:gridSpan w:val="2"/>
            <w:tcBorders>
              <w:top w:val="nil"/>
              <w:left w:val="nil"/>
              <w:bottom w:val="single" w:sz="4" w:space="0" w:color="auto"/>
              <w:right w:val="single" w:sz="4" w:space="0" w:color="auto"/>
            </w:tcBorders>
            <w:shd w:val="clear" w:color="auto" w:fill="auto"/>
            <w:hideMark/>
          </w:tcPr>
          <w:p w14:paraId="3EFE5094" w14:textId="77777777" w:rsidR="00F85D59" w:rsidRPr="004D4B51" w:rsidRDefault="00F85D59" w:rsidP="00F85D59">
            <w:pPr>
              <w:rPr>
                <w:rFonts w:cs="Times New Roman"/>
                <w:bCs/>
                <w:szCs w:val="24"/>
              </w:rPr>
            </w:pPr>
            <w:proofErr w:type="spellStart"/>
            <w:r w:rsidRPr="004D4B51">
              <w:rPr>
                <w:rFonts w:cs="Times New Roman"/>
                <w:bCs/>
                <w:szCs w:val="24"/>
              </w:rPr>
              <w:t>CoWIN’s</w:t>
            </w:r>
            <w:proofErr w:type="spellEnd"/>
            <w:r w:rsidRPr="004D4B51">
              <w:rPr>
                <w:rFonts w:cs="Times New Roman"/>
                <w:bCs/>
                <w:szCs w:val="24"/>
              </w:rPr>
              <w:t xml:space="preserve"> modular design enables the rapid adaptation of content and technology. This has helped India offer </w:t>
            </w:r>
            <w:proofErr w:type="spellStart"/>
            <w:r w:rsidRPr="004D4B51">
              <w:rPr>
                <w:rFonts w:cs="Times New Roman"/>
                <w:bCs/>
                <w:szCs w:val="24"/>
              </w:rPr>
              <w:t>CoWIN</w:t>
            </w:r>
            <w:proofErr w:type="spellEnd"/>
            <w:r w:rsidRPr="004D4B51">
              <w:rPr>
                <w:rFonts w:cs="Times New Roman"/>
                <w:bCs/>
                <w:szCs w:val="24"/>
              </w:rPr>
              <w:t xml:space="preserve"> as a digital global good for other countries to adopt.</w:t>
            </w:r>
          </w:p>
          <w:p w14:paraId="14915F13" w14:textId="60808F17" w:rsidR="000C126A" w:rsidRPr="004D4B51" w:rsidRDefault="000C126A" w:rsidP="00595343">
            <w:pPr>
              <w:spacing w:before="60" w:after="60" w:line="276" w:lineRule="auto"/>
              <w:rPr>
                <w:rFonts w:cs="Times New Roman"/>
                <w:bCs/>
                <w:szCs w:val="24"/>
              </w:rPr>
            </w:pPr>
          </w:p>
        </w:tc>
      </w:tr>
      <w:tr w:rsidR="000C126A" w:rsidRPr="000C126A" w14:paraId="2BAC6DD4"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D6445" w14:textId="77777777" w:rsidR="000C126A" w:rsidRPr="004D4B51" w:rsidRDefault="000C126A" w:rsidP="00595343">
            <w:pPr>
              <w:spacing w:before="60" w:after="60" w:line="276" w:lineRule="auto"/>
              <w:rPr>
                <w:rFonts w:cs="Times New Roman"/>
                <w:szCs w:val="24"/>
              </w:rPr>
            </w:pPr>
            <w:r w:rsidRPr="004D4B51">
              <w:rPr>
                <w:rFonts w:cs="Times New Roman"/>
                <w:bCs/>
                <w:szCs w:val="24"/>
              </w:rPr>
              <w:t>Area 5: Operations</w:t>
            </w:r>
          </w:p>
        </w:tc>
      </w:tr>
      <w:tr w:rsidR="00815DF6" w:rsidRPr="00815DF6" w14:paraId="2054F79B"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187" w:type="pct"/>
            <w:tcBorders>
              <w:top w:val="nil"/>
              <w:left w:val="single" w:sz="4" w:space="0" w:color="auto"/>
              <w:bottom w:val="single" w:sz="4" w:space="0" w:color="auto"/>
              <w:right w:val="single" w:sz="4" w:space="0" w:color="auto"/>
            </w:tcBorders>
            <w:shd w:val="clear" w:color="auto" w:fill="auto"/>
            <w:hideMark/>
          </w:tcPr>
          <w:p w14:paraId="10FE31CA"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lastRenderedPageBreak/>
              <w:t>Personnel</w:t>
            </w:r>
          </w:p>
        </w:tc>
        <w:tc>
          <w:tcPr>
            <w:tcW w:w="1265" w:type="pct"/>
            <w:gridSpan w:val="6"/>
            <w:tcBorders>
              <w:top w:val="nil"/>
              <w:left w:val="nil"/>
              <w:bottom w:val="single" w:sz="4" w:space="0" w:color="auto"/>
              <w:right w:val="single" w:sz="4" w:space="0" w:color="auto"/>
            </w:tcBorders>
            <w:shd w:val="clear" w:color="auto" w:fill="auto"/>
            <w:hideMark/>
          </w:tcPr>
          <w:p w14:paraId="02C8C8B6" w14:textId="0CDB99D1" w:rsidR="000C126A" w:rsidRPr="004D4B51" w:rsidRDefault="000C126A" w:rsidP="00595343">
            <w:pPr>
              <w:spacing w:before="60" w:after="60" w:line="276" w:lineRule="auto"/>
              <w:rPr>
                <w:rFonts w:cs="Times New Roman"/>
                <w:i/>
                <w:iCs/>
                <w:szCs w:val="24"/>
              </w:rPr>
            </w:pPr>
            <w:r w:rsidRPr="004D4B51">
              <w:rPr>
                <w:rFonts w:cs="Times New Roman"/>
                <w:bCs/>
                <w:i/>
                <w:iCs/>
                <w:szCs w:val="24"/>
              </w:rPr>
              <w:t xml:space="preserve">Training </w:t>
            </w:r>
            <w:r w:rsidR="005C1E06" w:rsidRPr="004D4B51">
              <w:rPr>
                <w:rFonts w:cs="Times New Roman"/>
                <w:i/>
                <w:iCs/>
                <w:szCs w:val="24"/>
              </w:rPr>
              <w:t>and s</w:t>
            </w:r>
            <w:r w:rsidRPr="004D4B51">
              <w:rPr>
                <w:rFonts w:cs="Times New Roman"/>
                <w:i/>
                <w:iCs/>
                <w:szCs w:val="24"/>
              </w:rPr>
              <w:t>upport</w:t>
            </w:r>
          </w:p>
        </w:tc>
        <w:tc>
          <w:tcPr>
            <w:tcW w:w="1296" w:type="pct"/>
            <w:gridSpan w:val="3"/>
            <w:tcBorders>
              <w:top w:val="nil"/>
              <w:left w:val="nil"/>
              <w:bottom w:val="single" w:sz="4" w:space="0" w:color="auto"/>
              <w:right w:val="single" w:sz="4" w:space="0" w:color="auto"/>
            </w:tcBorders>
            <w:shd w:val="clear" w:color="auto" w:fill="auto"/>
            <w:hideMark/>
          </w:tcPr>
          <w:p w14:paraId="6BC895AD" w14:textId="59CF6BCA" w:rsidR="000C126A" w:rsidRPr="004D4B51" w:rsidRDefault="000C126A" w:rsidP="00595343">
            <w:pPr>
              <w:spacing w:before="60" w:after="60" w:line="276" w:lineRule="auto"/>
              <w:rPr>
                <w:rFonts w:cs="Times New Roman"/>
                <w:i/>
                <w:iCs/>
                <w:szCs w:val="24"/>
              </w:rPr>
            </w:pPr>
            <w:r w:rsidRPr="004D4B51">
              <w:rPr>
                <w:rFonts w:cs="Times New Roman"/>
                <w:bCs/>
                <w:i/>
                <w:iCs/>
                <w:szCs w:val="24"/>
              </w:rPr>
              <w:t xml:space="preserve">Outreach </w:t>
            </w:r>
            <w:r w:rsidR="005C1E06" w:rsidRPr="004D4B51">
              <w:rPr>
                <w:rFonts w:cs="Times New Roman"/>
                <w:i/>
                <w:iCs/>
                <w:szCs w:val="24"/>
              </w:rPr>
              <w:t>and s</w:t>
            </w:r>
            <w:r w:rsidRPr="004D4B51">
              <w:rPr>
                <w:rFonts w:cs="Times New Roman"/>
                <w:i/>
                <w:iCs/>
                <w:szCs w:val="24"/>
              </w:rPr>
              <w:t>ensitization</w:t>
            </w:r>
          </w:p>
        </w:tc>
        <w:tc>
          <w:tcPr>
            <w:tcW w:w="1252" w:type="pct"/>
            <w:tcBorders>
              <w:top w:val="nil"/>
              <w:left w:val="nil"/>
              <w:bottom w:val="single" w:sz="4" w:space="0" w:color="auto"/>
              <w:right w:val="single" w:sz="4" w:space="0" w:color="auto"/>
            </w:tcBorders>
            <w:shd w:val="clear" w:color="auto" w:fill="auto"/>
            <w:hideMark/>
          </w:tcPr>
          <w:p w14:paraId="09230A76" w14:textId="384F251E" w:rsidR="000C126A" w:rsidRPr="004D4B51" w:rsidRDefault="000C126A" w:rsidP="00595343">
            <w:pPr>
              <w:spacing w:before="60" w:after="60" w:line="276" w:lineRule="auto"/>
              <w:rPr>
                <w:rFonts w:cs="Times New Roman"/>
                <w:i/>
                <w:iCs/>
                <w:szCs w:val="24"/>
              </w:rPr>
            </w:pPr>
            <w:r w:rsidRPr="004D4B51">
              <w:rPr>
                <w:rFonts w:cs="Times New Roman"/>
                <w:bCs/>
                <w:i/>
                <w:iCs/>
                <w:szCs w:val="24"/>
              </w:rPr>
              <w:t xml:space="preserve">Contingency </w:t>
            </w:r>
            <w:r w:rsidR="005C1E06" w:rsidRPr="004D4B51">
              <w:rPr>
                <w:rFonts w:cs="Times New Roman"/>
                <w:bCs/>
                <w:i/>
                <w:iCs/>
                <w:szCs w:val="24"/>
              </w:rPr>
              <w:t>p</w:t>
            </w:r>
            <w:r w:rsidRPr="004D4B51">
              <w:rPr>
                <w:rFonts w:cs="Times New Roman"/>
                <w:bCs/>
                <w:i/>
                <w:iCs/>
                <w:szCs w:val="24"/>
              </w:rPr>
              <w:t>lanning</w:t>
            </w:r>
          </w:p>
        </w:tc>
      </w:tr>
      <w:tr w:rsidR="00815DF6" w:rsidRPr="00815DF6" w14:paraId="616F9644"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6"/>
        </w:trPr>
        <w:tc>
          <w:tcPr>
            <w:tcW w:w="1187" w:type="pct"/>
            <w:tcBorders>
              <w:top w:val="nil"/>
              <w:left w:val="single" w:sz="4" w:space="0" w:color="auto"/>
              <w:bottom w:val="single" w:sz="4" w:space="0" w:color="auto"/>
              <w:right w:val="single" w:sz="4" w:space="0" w:color="auto"/>
            </w:tcBorders>
            <w:shd w:val="clear" w:color="auto" w:fill="auto"/>
            <w:hideMark/>
          </w:tcPr>
          <w:p w14:paraId="12B75862" w14:textId="77777777" w:rsidR="00F85D59" w:rsidRPr="004D4B51" w:rsidRDefault="00F85D59" w:rsidP="00F85D59">
            <w:pPr>
              <w:rPr>
                <w:rFonts w:cs="Times New Roman"/>
                <w:szCs w:val="24"/>
              </w:rPr>
            </w:pPr>
            <w:proofErr w:type="spellStart"/>
            <w:r w:rsidRPr="004D4B51">
              <w:rPr>
                <w:rFonts w:cs="Times New Roman"/>
                <w:szCs w:val="24"/>
              </w:rPr>
              <w:t>CoWIN</w:t>
            </w:r>
            <w:proofErr w:type="spellEnd"/>
            <w:r w:rsidRPr="004D4B51">
              <w:rPr>
                <w:rFonts w:cs="Times New Roman"/>
                <w:szCs w:val="24"/>
              </w:rPr>
              <w:t xml:space="preserve"> leveraged existing healthcare personnel such as ASHA workers, whose roles &amp; responsibilities were delineated by NEGVAC. Each district also had a single point of contact.</w:t>
            </w:r>
          </w:p>
          <w:p w14:paraId="76ABCB9F" w14:textId="2BF5E0A1" w:rsidR="000C126A" w:rsidRPr="004D4B51" w:rsidRDefault="000C126A" w:rsidP="00595343">
            <w:pPr>
              <w:spacing w:before="60" w:after="60" w:line="276" w:lineRule="auto"/>
              <w:rPr>
                <w:rFonts w:cs="Times New Roman"/>
                <w:szCs w:val="24"/>
              </w:rPr>
            </w:pPr>
          </w:p>
        </w:tc>
        <w:tc>
          <w:tcPr>
            <w:tcW w:w="1265" w:type="pct"/>
            <w:gridSpan w:val="6"/>
            <w:tcBorders>
              <w:top w:val="nil"/>
              <w:left w:val="nil"/>
              <w:bottom w:val="single" w:sz="4" w:space="0" w:color="auto"/>
              <w:right w:val="single" w:sz="4" w:space="0" w:color="auto"/>
            </w:tcBorders>
            <w:shd w:val="clear" w:color="auto" w:fill="auto"/>
            <w:hideMark/>
          </w:tcPr>
          <w:p w14:paraId="7B83832C" w14:textId="77777777" w:rsidR="005F0C82" w:rsidRPr="004D4B51" w:rsidRDefault="005F0C82" w:rsidP="005F0C82">
            <w:pPr>
              <w:rPr>
                <w:rFonts w:cs="Times New Roman"/>
                <w:szCs w:val="24"/>
              </w:rPr>
            </w:pPr>
            <w:r w:rsidRPr="004D4B51">
              <w:rPr>
                <w:rFonts w:cs="Times New Roman"/>
                <w:szCs w:val="24"/>
              </w:rPr>
              <w:t>Staff working on COVID-19 vaccination were provided with online and onsite training. User Helplines for troubleshooting were also introduced for users &amp; staff members working on implementation of the vaccination drive.</w:t>
            </w:r>
          </w:p>
          <w:p w14:paraId="37AF9C8E" w14:textId="04B6FFE4" w:rsidR="000C126A" w:rsidRPr="004D4B51" w:rsidRDefault="000C126A" w:rsidP="00595343">
            <w:pPr>
              <w:spacing w:before="60" w:after="60" w:line="276" w:lineRule="auto"/>
              <w:rPr>
                <w:rFonts w:cs="Times New Roman"/>
                <w:szCs w:val="24"/>
              </w:rPr>
            </w:pPr>
          </w:p>
        </w:tc>
        <w:tc>
          <w:tcPr>
            <w:tcW w:w="1296" w:type="pct"/>
            <w:gridSpan w:val="3"/>
            <w:tcBorders>
              <w:top w:val="nil"/>
              <w:left w:val="nil"/>
              <w:bottom w:val="single" w:sz="4" w:space="0" w:color="auto"/>
              <w:right w:val="single" w:sz="4" w:space="0" w:color="auto"/>
            </w:tcBorders>
            <w:shd w:val="clear" w:color="auto" w:fill="auto"/>
            <w:hideMark/>
          </w:tcPr>
          <w:p w14:paraId="6715CEEC" w14:textId="1DA7C82C" w:rsidR="000C126A" w:rsidRPr="004D4B51" w:rsidRDefault="00A64491" w:rsidP="00595343">
            <w:pPr>
              <w:spacing w:before="60" w:after="60" w:line="276" w:lineRule="auto"/>
              <w:rPr>
                <w:rFonts w:cs="Times New Roman"/>
                <w:szCs w:val="24"/>
              </w:rPr>
            </w:pPr>
            <w:r w:rsidRPr="004D4B51">
              <w:rPr>
                <w:rFonts w:cs="Times New Roman"/>
                <w:szCs w:val="24"/>
              </w:rPr>
              <w:t xml:space="preserve">Stakeholder outreach and community mobilization was carried out by </w:t>
            </w:r>
            <w:proofErr w:type="spellStart"/>
            <w:r w:rsidRPr="004D4B51">
              <w:rPr>
                <w:rFonts w:cs="Times New Roman"/>
                <w:szCs w:val="24"/>
              </w:rPr>
              <w:t>GoI</w:t>
            </w:r>
            <w:proofErr w:type="spellEnd"/>
            <w:r w:rsidRPr="004D4B51">
              <w:rPr>
                <w:rFonts w:cs="Times New Roman"/>
                <w:szCs w:val="24"/>
              </w:rPr>
              <w:t>, international partners</w:t>
            </w:r>
            <w:r w:rsidR="0031510E" w:rsidRPr="004D4B51">
              <w:rPr>
                <w:rFonts w:cs="Times New Roman"/>
                <w:szCs w:val="24"/>
              </w:rPr>
              <w:t>,</w:t>
            </w:r>
            <w:r w:rsidRPr="004D4B51">
              <w:rPr>
                <w:rFonts w:cs="Times New Roman"/>
                <w:szCs w:val="24"/>
              </w:rPr>
              <w:t xml:space="preserve"> and other nongovernmental bodies.</w:t>
            </w:r>
          </w:p>
        </w:tc>
        <w:tc>
          <w:tcPr>
            <w:tcW w:w="1252" w:type="pct"/>
            <w:tcBorders>
              <w:top w:val="nil"/>
              <w:left w:val="nil"/>
              <w:bottom w:val="single" w:sz="4" w:space="0" w:color="auto"/>
              <w:right w:val="single" w:sz="4" w:space="0" w:color="auto"/>
            </w:tcBorders>
            <w:shd w:val="clear" w:color="auto" w:fill="auto"/>
            <w:hideMark/>
          </w:tcPr>
          <w:p w14:paraId="222110C8" w14:textId="77777777" w:rsidR="0004193B" w:rsidRPr="004D4B51" w:rsidRDefault="0004193B" w:rsidP="0004193B">
            <w:pPr>
              <w:rPr>
                <w:rFonts w:cs="Times New Roman"/>
                <w:szCs w:val="24"/>
              </w:rPr>
            </w:pPr>
            <w:r w:rsidRPr="004D4B51">
              <w:rPr>
                <w:rFonts w:cs="Times New Roman"/>
                <w:szCs w:val="24"/>
              </w:rPr>
              <w:t xml:space="preserve">As per operational guidelines, there are provisions for contingency </w:t>
            </w:r>
            <w:proofErr w:type="gramStart"/>
            <w:r w:rsidRPr="004D4B51">
              <w:rPr>
                <w:rFonts w:cs="Times New Roman"/>
                <w:szCs w:val="24"/>
              </w:rPr>
              <w:t>plans</w:t>
            </w:r>
            <w:proofErr w:type="gramEnd"/>
            <w:r w:rsidRPr="004D4B51">
              <w:rPr>
                <w:rFonts w:cs="Times New Roman"/>
                <w:szCs w:val="24"/>
              </w:rPr>
              <w:t xml:space="preserve"> but information is limited.</w:t>
            </w:r>
          </w:p>
          <w:p w14:paraId="4AB01DAF" w14:textId="7820EC95" w:rsidR="000C126A" w:rsidRPr="004D4B51" w:rsidRDefault="000C126A" w:rsidP="00595343">
            <w:pPr>
              <w:spacing w:before="60" w:after="60" w:line="276" w:lineRule="auto"/>
              <w:rPr>
                <w:rFonts w:cs="Times New Roman"/>
                <w:szCs w:val="24"/>
              </w:rPr>
            </w:pPr>
          </w:p>
        </w:tc>
      </w:tr>
      <w:tr w:rsidR="000C126A" w:rsidRPr="000C126A" w14:paraId="2F78B311"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4AACA" w14:textId="6DA76604" w:rsidR="000C126A" w:rsidRPr="004D4B51" w:rsidRDefault="000C126A" w:rsidP="00595343">
            <w:pPr>
              <w:spacing w:before="60" w:after="60" w:line="276" w:lineRule="auto"/>
              <w:rPr>
                <w:rFonts w:cs="Times New Roman"/>
                <w:szCs w:val="24"/>
              </w:rPr>
            </w:pPr>
            <w:r w:rsidRPr="004D4B51">
              <w:rPr>
                <w:rFonts w:cs="Times New Roman"/>
                <w:bCs/>
                <w:szCs w:val="24"/>
              </w:rPr>
              <w:t xml:space="preserve">Area 6: </w:t>
            </w:r>
            <w:r w:rsidR="00330AF1" w:rsidRPr="004D4B51">
              <w:rPr>
                <w:rFonts w:cs="Times New Roman"/>
                <w:bCs/>
                <w:szCs w:val="24"/>
              </w:rPr>
              <w:t>Monitoring and evaluation</w:t>
            </w:r>
          </w:p>
        </w:tc>
      </w:tr>
      <w:tr w:rsidR="000C126A" w:rsidRPr="000C126A" w14:paraId="11D82CD0"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52" w:type="pct"/>
            <w:gridSpan w:val="7"/>
            <w:tcBorders>
              <w:top w:val="nil"/>
              <w:left w:val="single" w:sz="4" w:space="0" w:color="auto"/>
              <w:bottom w:val="single" w:sz="4" w:space="0" w:color="auto"/>
              <w:right w:val="single" w:sz="4" w:space="0" w:color="auto"/>
            </w:tcBorders>
            <w:shd w:val="clear" w:color="auto" w:fill="auto"/>
            <w:hideMark/>
          </w:tcPr>
          <w:p w14:paraId="447A690B"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Process monitoring</w:t>
            </w:r>
          </w:p>
        </w:tc>
        <w:tc>
          <w:tcPr>
            <w:tcW w:w="2548" w:type="pct"/>
            <w:gridSpan w:val="4"/>
            <w:tcBorders>
              <w:top w:val="nil"/>
              <w:left w:val="nil"/>
              <w:bottom w:val="single" w:sz="4" w:space="0" w:color="auto"/>
              <w:right w:val="single" w:sz="4" w:space="0" w:color="auto"/>
            </w:tcBorders>
            <w:shd w:val="clear" w:color="auto" w:fill="auto"/>
            <w:hideMark/>
          </w:tcPr>
          <w:p w14:paraId="271CAAFB"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 xml:space="preserve">Evaluation </w:t>
            </w:r>
          </w:p>
        </w:tc>
      </w:tr>
      <w:tr w:rsidR="000C126A" w:rsidRPr="000C126A" w14:paraId="4A4DF7AB" w14:textId="77777777" w:rsidTr="0052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8"/>
        </w:trPr>
        <w:tc>
          <w:tcPr>
            <w:tcW w:w="2452" w:type="pct"/>
            <w:gridSpan w:val="7"/>
            <w:tcBorders>
              <w:top w:val="nil"/>
              <w:left w:val="single" w:sz="4" w:space="0" w:color="auto"/>
              <w:bottom w:val="single" w:sz="4" w:space="0" w:color="auto"/>
              <w:right w:val="single" w:sz="4" w:space="0" w:color="auto"/>
            </w:tcBorders>
            <w:shd w:val="clear" w:color="auto" w:fill="auto"/>
            <w:hideMark/>
          </w:tcPr>
          <w:p w14:paraId="55507529" w14:textId="77777777" w:rsidR="0004193B" w:rsidRPr="004D4B51" w:rsidRDefault="0004193B" w:rsidP="0004193B">
            <w:pPr>
              <w:rPr>
                <w:rFonts w:cs="Times New Roman"/>
                <w:szCs w:val="24"/>
              </w:rPr>
            </w:pPr>
            <w:r w:rsidRPr="004D4B51">
              <w:rPr>
                <w:rFonts w:cs="Times New Roman"/>
                <w:szCs w:val="24"/>
              </w:rPr>
              <w:t xml:space="preserve">Performance monitoring of </w:t>
            </w:r>
            <w:proofErr w:type="spellStart"/>
            <w:r w:rsidRPr="004D4B51">
              <w:rPr>
                <w:rFonts w:cs="Times New Roman"/>
                <w:szCs w:val="24"/>
              </w:rPr>
              <w:t>CoWIN</w:t>
            </w:r>
            <w:proofErr w:type="spellEnd"/>
            <w:r w:rsidRPr="004D4B51">
              <w:rPr>
                <w:rFonts w:cs="Times New Roman"/>
                <w:szCs w:val="24"/>
              </w:rPr>
              <w:t xml:space="preserve"> is conducted daily using established monitoring formats as per the operational guidelines for COVID-19 management. The workflows for management of administrative staff are clearly defined and data entry is monitored at the backend to minimize errors.</w:t>
            </w:r>
          </w:p>
          <w:p w14:paraId="2D3BE1EF" w14:textId="72878D9B" w:rsidR="000C126A" w:rsidRPr="004D4B51" w:rsidRDefault="000C126A" w:rsidP="00595343">
            <w:pPr>
              <w:spacing w:before="60" w:after="60" w:line="276" w:lineRule="auto"/>
              <w:rPr>
                <w:rFonts w:cs="Times New Roman"/>
                <w:szCs w:val="24"/>
              </w:rPr>
            </w:pPr>
          </w:p>
        </w:tc>
        <w:tc>
          <w:tcPr>
            <w:tcW w:w="2548" w:type="pct"/>
            <w:gridSpan w:val="4"/>
            <w:tcBorders>
              <w:top w:val="nil"/>
              <w:left w:val="nil"/>
              <w:bottom w:val="single" w:sz="4" w:space="0" w:color="auto"/>
              <w:right w:val="single" w:sz="4" w:space="0" w:color="auto"/>
            </w:tcBorders>
            <w:shd w:val="clear" w:color="auto" w:fill="auto"/>
            <w:hideMark/>
          </w:tcPr>
          <w:p w14:paraId="7AE87E2A" w14:textId="77777777" w:rsidR="00F12909" w:rsidRPr="004D4B51" w:rsidRDefault="00F12909" w:rsidP="00F12909">
            <w:pPr>
              <w:rPr>
                <w:rFonts w:cs="Times New Roman"/>
                <w:szCs w:val="24"/>
              </w:rPr>
            </w:pPr>
            <w:r w:rsidRPr="004D4B51">
              <w:rPr>
                <w:rFonts w:cs="Times New Roman"/>
                <w:szCs w:val="24"/>
              </w:rPr>
              <w:t xml:space="preserve">No evaluation of </w:t>
            </w:r>
            <w:proofErr w:type="spellStart"/>
            <w:r w:rsidRPr="004D4B51">
              <w:rPr>
                <w:rFonts w:cs="Times New Roman"/>
                <w:szCs w:val="24"/>
              </w:rPr>
              <w:t>CoWIN</w:t>
            </w:r>
            <w:proofErr w:type="spellEnd"/>
            <w:r w:rsidRPr="004D4B51">
              <w:rPr>
                <w:rFonts w:cs="Times New Roman"/>
                <w:szCs w:val="24"/>
              </w:rPr>
              <w:t xml:space="preserve"> has been conducted as of January 2022.</w:t>
            </w:r>
          </w:p>
          <w:p w14:paraId="6D575467" w14:textId="3AAC3134" w:rsidR="000C126A" w:rsidRPr="004D4B51" w:rsidRDefault="000C126A" w:rsidP="00595343">
            <w:pPr>
              <w:spacing w:before="60" w:after="60" w:line="276" w:lineRule="auto"/>
              <w:rPr>
                <w:rFonts w:cs="Times New Roman"/>
                <w:szCs w:val="24"/>
              </w:rPr>
            </w:pPr>
          </w:p>
        </w:tc>
      </w:tr>
      <w:tr w:rsidR="000C126A" w:rsidRPr="000C126A" w14:paraId="5A73E087" w14:textId="77777777" w:rsidTr="000C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A3AEC1" w14:textId="639D5347" w:rsidR="000C126A" w:rsidRPr="004D4B51" w:rsidRDefault="00603B48" w:rsidP="00595343">
            <w:pPr>
              <w:spacing w:before="60" w:after="60" w:line="276" w:lineRule="auto"/>
              <w:jc w:val="center"/>
              <w:rPr>
                <w:rFonts w:cs="Times New Roman"/>
                <w:b/>
                <w:szCs w:val="24"/>
              </w:rPr>
            </w:pPr>
            <w:r w:rsidRPr="004D4B51">
              <w:rPr>
                <w:rFonts w:cs="Times New Roman"/>
                <w:b/>
                <w:szCs w:val="24"/>
              </w:rPr>
              <w:t>Unified COVID-19 Data Platform (Uttar Pradesh, India)</w:t>
            </w:r>
          </w:p>
        </w:tc>
      </w:tr>
      <w:tr w:rsidR="000C126A" w:rsidRPr="000C126A" w14:paraId="12491F79"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980A6" w14:textId="77777777" w:rsidR="000C126A" w:rsidRPr="004D4B51" w:rsidRDefault="000C126A" w:rsidP="00595343">
            <w:pPr>
              <w:spacing w:before="60" w:after="60" w:line="276" w:lineRule="auto"/>
              <w:rPr>
                <w:rFonts w:cs="Times New Roman"/>
                <w:bCs/>
                <w:szCs w:val="24"/>
              </w:rPr>
            </w:pPr>
            <w:r w:rsidRPr="004D4B51">
              <w:rPr>
                <w:rFonts w:cs="Times New Roman"/>
                <w:bCs/>
                <w:szCs w:val="24"/>
              </w:rPr>
              <w:t>Area 1: Groundwork</w:t>
            </w:r>
          </w:p>
        </w:tc>
      </w:tr>
      <w:tr w:rsidR="00595343" w:rsidRPr="000C126A" w14:paraId="1BF62A8C" w14:textId="77777777" w:rsidTr="003A13C9">
        <w:trPr>
          <w:trHeight w:val="50"/>
        </w:trPr>
        <w:tc>
          <w:tcPr>
            <w:tcW w:w="1804" w:type="pct"/>
            <w:gridSpan w:val="5"/>
            <w:shd w:val="clear" w:color="auto" w:fill="auto"/>
            <w:hideMark/>
          </w:tcPr>
          <w:p w14:paraId="1A491D28" w14:textId="38E28A56" w:rsidR="000C126A" w:rsidRPr="004D4B51" w:rsidRDefault="000C126A" w:rsidP="00595343">
            <w:pPr>
              <w:spacing w:before="60" w:after="60" w:line="276" w:lineRule="auto"/>
              <w:rPr>
                <w:rFonts w:cs="Times New Roman"/>
                <w:i/>
                <w:iCs/>
                <w:szCs w:val="24"/>
              </w:rPr>
            </w:pPr>
            <w:r w:rsidRPr="004D4B51">
              <w:rPr>
                <w:rFonts w:cs="Times New Roman"/>
                <w:bCs/>
                <w:i/>
                <w:iCs/>
                <w:szCs w:val="24"/>
              </w:rPr>
              <w:t>Parameters of</w:t>
            </w:r>
            <w:r w:rsidR="00393E22" w:rsidRPr="004D4B51">
              <w:rPr>
                <w:rFonts w:cs="Times New Roman"/>
                <w:bCs/>
                <w:i/>
                <w:iCs/>
                <w:szCs w:val="24"/>
              </w:rPr>
              <w:t xml:space="preserve"> s</w:t>
            </w:r>
            <w:r w:rsidRPr="004D4B51">
              <w:rPr>
                <w:rFonts w:cs="Times New Roman"/>
                <w:i/>
                <w:iCs/>
                <w:szCs w:val="24"/>
              </w:rPr>
              <w:t>cale</w:t>
            </w:r>
          </w:p>
        </w:tc>
        <w:tc>
          <w:tcPr>
            <w:tcW w:w="1530" w:type="pct"/>
            <w:gridSpan w:val="4"/>
            <w:shd w:val="clear" w:color="auto" w:fill="auto"/>
            <w:hideMark/>
          </w:tcPr>
          <w:p w14:paraId="01F043DA"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Contextual environment</w:t>
            </w:r>
          </w:p>
        </w:tc>
        <w:tc>
          <w:tcPr>
            <w:tcW w:w="1666" w:type="pct"/>
            <w:gridSpan w:val="2"/>
            <w:shd w:val="clear" w:color="auto" w:fill="auto"/>
            <w:hideMark/>
          </w:tcPr>
          <w:p w14:paraId="7967BE23"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Scientific basis</w:t>
            </w:r>
          </w:p>
        </w:tc>
      </w:tr>
      <w:tr w:rsidR="00595343" w:rsidRPr="000C126A" w14:paraId="7C592BEA" w14:textId="77777777" w:rsidTr="003A13C9">
        <w:trPr>
          <w:trHeight w:val="50"/>
        </w:trPr>
        <w:tc>
          <w:tcPr>
            <w:tcW w:w="1804" w:type="pct"/>
            <w:gridSpan w:val="5"/>
            <w:shd w:val="clear" w:color="auto" w:fill="auto"/>
          </w:tcPr>
          <w:p w14:paraId="4DCB0191" w14:textId="6D9E45BB" w:rsidR="000C126A" w:rsidRPr="004D4B51" w:rsidRDefault="00603B48" w:rsidP="00595343">
            <w:pPr>
              <w:spacing w:before="60" w:after="60" w:line="276" w:lineRule="auto"/>
              <w:rPr>
                <w:rFonts w:cs="Times New Roman"/>
                <w:bCs/>
                <w:szCs w:val="24"/>
              </w:rPr>
            </w:pPr>
            <w:r w:rsidRPr="004D4B51">
              <w:rPr>
                <w:rFonts w:cs="Times New Roman"/>
                <w:bCs/>
                <w:szCs w:val="24"/>
              </w:rPr>
              <w:t>Initially, developers chose a local tech vendor for development before realizing that this wouldn</w:t>
            </w:r>
            <w:r w:rsidR="005870AD" w:rsidRPr="004D4B51">
              <w:rPr>
                <w:rFonts w:cs="Times New Roman"/>
                <w:bCs/>
                <w:szCs w:val="24"/>
              </w:rPr>
              <w:t>’</w:t>
            </w:r>
            <w:r w:rsidRPr="004D4B51">
              <w:rPr>
                <w:rFonts w:cs="Times New Roman"/>
                <w:bCs/>
                <w:szCs w:val="24"/>
              </w:rPr>
              <w:t>t achieve the desired scope and scale.</w:t>
            </w:r>
          </w:p>
        </w:tc>
        <w:tc>
          <w:tcPr>
            <w:tcW w:w="1530" w:type="pct"/>
            <w:gridSpan w:val="4"/>
            <w:shd w:val="clear" w:color="auto" w:fill="auto"/>
          </w:tcPr>
          <w:p w14:paraId="0008072C" w14:textId="746E0206" w:rsidR="000C126A" w:rsidRPr="004D4B51" w:rsidRDefault="00603B48" w:rsidP="00595343">
            <w:pPr>
              <w:spacing w:before="60" w:after="60" w:line="276" w:lineRule="auto"/>
              <w:rPr>
                <w:rFonts w:cs="Times New Roman"/>
                <w:bCs/>
                <w:szCs w:val="24"/>
              </w:rPr>
            </w:pPr>
            <w:r w:rsidRPr="004D4B51">
              <w:rPr>
                <w:rFonts w:cs="Times New Roman"/>
                <w:bCs/>
                <w:szCs w:val="24"/>
              </w:rPr>
              <w:t>The developers had a strong understanding of the available resources, user workflows, and the continuum of care across departments.</w:t>
            </w:r>
          </w:p>
        </w:tc>
        <w:tc>
          <w:tcPr>
            <w:tcW w:w="1666" w:type="pct"/>
            <w:gridSpan w:val="2"/>
            <w:shd w:val="clear" w:color="auto" w:fill="auto"/>
          </w:tcPr>
          <w:p w14:paraId="4F07E140" w14:textId="10B14A5D" w:rsidR="000C126A" w:rsidRPr="004D4B51" w:rsidRDefault="00603B48" w:rsidP="00595343">
            <w:pPr>
              <w:spacing w:before="60" w:after="60" w:line="276" w:lineRule="auto"/>
              <w:rPr>
                <w:rFonts w:cs="Times New Roman"/>
                <w:bCs/>
                <w:szCs w:val="24"/>
              </w:rPr>
            </w:pPr>
            <w:proofErr w:type="gramStart"/>
            <w:r w:rsidRPr="004D4B51">
              <w:rPr>
                <w:rFonts w:cs="Times New Roman"/>
                <w:bCs/>
                <w:szCs w:val="24"/>
              </w:rPr>
              <w:t>Early on in the</w:t>
            </w:r>
            <w:proofErr w:type="gramEnd"/>
            <w:r w:rsidRPr="004D4B51">
              <w:rPr>
                <w:rFonts w:cs="Times New Roman"/>
                <w:bCs/>
                <w:szCs w:val="24"/>
              </w:rPr>
              <w:t xml:space="preserve"> development, officials included stakeholders (e.g.</w:t>
            </w:r>
            <w:r w:rsidR="008D4A6E" w:rsidRPr="004D4B51">
              <w:rPr>
                <w:rFonts w:cs="Times New Roman"/>
                <w:bCs/>
                <w:szCs w:val="24"/>
              </w:rPr>
              <w:t>,</w:t>
            </w:r>
            <w:r w:rsidRPr="004D4B51">
              <w:rPr>
                <w:rFonts w:cs="Times New Roman"/>
                <w:bCs/>
                <w:szCs w:val="24"/>
              </w:rPr>
              <w:t xml:space="preserve"> laboratory, surveillance and facility teams) in the design process to ensure the system met their needs and added value.</w:t>
            </w:r>
          </w:p>
        </w:tc>
      </w:tr>
      <w:tr w:rsidR="000C126A" w:rsidRPr="000C126A" w14:paraId="291AE1A4"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6AB6B" w14:textId="77777777" w:rsidR="000C126A" w:rsidRPr="004D4B51" w:rsidRDefault="000C126A" w:rsidP="00595343">
            <w:pPr>
              <w:spacing w:before="60" w:after="60" w:line="276" w:lineRule="auto"/>
              <w:rPr>
                <w:rFonts w:cs="Times New Roman"/>
                <w:szCs w:val="24"/>
              </w:rPr>
            </w:pPr>
            <w:r w:rsidRPr="004D4B51">
              <w:rPr>
                <w:rFonts w:cs="Times New Roman"/>
                <w:bCs/>
                <w:szCs w:val="24"/>
              </w:rPr>
              <w:t>Area 2: Partnerships</w:t>
            </w:r>
          </w:p>
        </w:tc>
      </w:tr>
      <w:tr w:rsidR="000C126A" w:rsidRPr="000C126A" w14:paraId="2A765D5F"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98" w:type="pct"/>
            <w:gridSpan w:val="8"/>
            <w:tcBorders>
              <w:top w:val="nil"/>
              <w:left w:val="single" w:sz="4" w:space="0" w:color="auto"/>
              <w:bottom w:val="single" w:sz="4" w:space="0" w:color="auto"/>
              <w:right w:val="single" w:sz="4" w:space="0" w:color="auto"/>
            </w:tcBorders>
            <w:shd w:val="clear" w:color="auto" w:fill="auto"/>
            <w:hideMark/>
          </w:tcPr>
          <w:p w14:paraId="074F2C25"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Strategic engagement</w:t>
            </w:r>
          </w:p>
        </w:tc>
        <w:tc>
          <w:tcPr>
            <w:tcW w:w="2502" w:type="pct"/>
            <w:gridSpan w:val="3"/>
            <w:tcBorders>
              <w:top w:val="nil"/>
              <w:left w:val="nil"/>
              <w:bottom w:val="single" w:sz="4" w:space="0" w:color="auto"/>
              <w:right w:val="single" w:sz="4" w:space="0" w:color="auto"/>
            </w:tcBorders>
            <w:shd w:val="clear" w:color="auto" w:fill="auto"/>
            <w:hideMark/>
          </w:tcPr>
          <w:p w14:paraId="035D3993" w14:textId="77777777" w:rsidR="000C126A" w:rsidRPr="004D4B51" w:rsidRDefault="000C126A" w:rsidP="00595343">
            <w:pPr>
              <w:spacing w:before="60" w:after="60" w:line="276" w:lineRule="auto"/>
              <w:rPr>
                <w:rFonts w:cs="Times New Roman"/>
                <w:i/>
                <w:iCs/>
                <w:szCs w:val="24"/>
              </w:rPr>
            </w:pPr>
            <w:r w:rsidRPr="004D4B51">
              <w:rPr>
                <w:rFonts w:cs="Times New Roman"/>
                <w:bCs/>
                <w:i/>
                <w:iCs/>
                <w:szCs w:val="24"/>
              </w:rPr>
              <w:t xml:space="preserve">Partnership sustainability </w:t>
            </w:r>
          </w:p>
        </w:tc>
      </w:tr>
      <w:tr w:rsidR="000C126A" w:rsidRPr="000C126A" w14:paraId="45B6D0E9"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98" w:type="pct"/>
            <w:gridSpan w:val="8"/>
            <w:tcBorders>
              <w:top w:val="nil"/>
              <w:left w:val="single" w:sz="4" w:space="0" w:color="auto"/>
              <w:bottom w:val="single" w:sz="4" w:space="0" w:color="auto"/>
              <w:right w:val="single" w:sz="4" w:space="0" w:color="auto"/>
            </w:tcBorders>
            <w:shd w:val="clear" w:color="auto" w:fill="auto"/>
          </w:tcPr>
          <w:p w14:paraId="19E8DC5B" w14:textId="743AD515" w:rsidR="000C126A" w:rsidRPr="004D4B51" w:rsidRDefault="00603B48" w:rsidP="00595343">
            <w:pPr>
              <w:spacing w:before="60" w:after="60" w:line="276" w:lineRule="auto"/>
              <w:rPr>
                <w:rFonts w:cs="Times New Roman"/>
                <w:bCs/>
                <w:szCs w:val="24"/>
              </w:rPr>
            </w:pPr>
            <w:r w:rsidRPr="004D4B51">
              <w:rPr>
                <w:rFonts w:cs="Times New Roman"/>
                <w:bCs/>
                <w:szCs w:val="24"/>
              </w:rPr>
              <w:t xml:space="preserve">There was strong and coordinated support from state government leaders from the Department of Health and Department of Medical </w:t>
            </w:r>
            <w:r w:rsidRPr="004D4B51">
              <w:rPr>
                <w:rFonts w:cs="Times New Roman"/>
                <w:bCs/>
                <w:szCs w:val="24"/>
              </w:rPr>
              <w:lastRenderedPageBreak/>
              <w:t>Education under the guidance of the Honorable Chief Minister</w:t>
            </w:r>
            <w:r w:rsidR="005870AD" w:rsidRPr="004D4B51">
              <w:rPr>
                <w:rFonts w:cs="Times New Roman"/>
                <w:bCs/>
                <w:szCs w:val="24"/>
              </w:rPr>
              <w:t>’</w:t>
            </w:r>
            <w:r w:rsidRPr="004D4B51">
              <w:rPr>
                <w:rFonts w:cs="Times New Roman"/>
                <w:bCs/>
                <w:szCs w:val="24"/>
              </w:rPr>
              <w:t>s office.</w:t>
            </w:r>
          </w:p>
        </w:tc>
        <w:tc>
          <w:tcPr>
            <w:tcW w:w="2502" w:type="pct"/>
            <w:gridSpan w:val="3"/>
            <w:tcBorders>
              <w:top w:val="nil"/>
              <w:left w:val="nil"/>
              <w:bottom w:val="single" w:sz="4" w:space="0" w:color="auto"/>
              <w:right w:val="single" w:sz="4" w:space="0" w:color="auto"/>
            </w:tcBorders>
            <w:shd w:val="clear" w:color="auto" w:fill="auto"/>
          </w:tcPr>
          <w:p w14:paraId="155A568B" w14:textId="55AC18B5" w:rsidR="000C126A" w:rsidRPr="004D4B51" w:rsidRDefault="00603B48" w:rsidP="00595343">
            <w:pPr>
              <w:spacing w:before="60" w:after="60" w:line="276" w:lineRule="auto"/>
              <w:rPr>
                <w:rFonts w:cs="Times New Roman"/>
                <w:bCs/>
                <w:szCs w:val="24"/>
              </w:rPr>
            </w:pPr>
            <w:r w:rsidRPr="004D4B51">
              <w:rPr>
                <w:rFonts w:cs="Times New Roman"/>
                <w:bCs/>
                <w:szCs w:val="24"/>
              </w:rPr>
              <w:lastRenderedPageBreak/>
              <w:t>Collaboration between the government and partner organizations drove quick statewide development and adoption of the platform.</w:t>
            </w:r>
          </w:p>
        </w:tc>
      </w:tr>
      <w:tr w:rsidR="000C126A" w:rsidRPr="000C126A" w14:paraId="786E3669"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96040" w14:textId="022D3CD4" w:rsidR="000C126A" w:rsidRPr="000C126A" w:rsidRDefault="000C126A" w:rsidP="00595343">
            <w:pPr>
              <w:spacing w:before="60" w:after="60" w:line="276" w:lineRule="auto"/>
              <w:rPr>
                <w:rFonts w:cs="Times New Roman"/>
                <w:szCs w:val="24"/>
              </w:rPr>
            </w:pPr>
            <w:r w:rsidRPr="000C126A">
              <w:rPr>
                <w:rFonts w:cs="Times New Roman"/>
                <w:bCs/>
                <w:szCs w:val="24"/>
              </w:rPr>
              <w:t xml:space="preserve">Area 3: </w:t>
            </w:r>
            <w:r w:rsidR="00330AF1" w:rsidRPr="00603B48">
              <w:rPr>
                <w:rFonts w:cs="Times New Roman"/>
                <w:bCs/>
                <w:szCs w:val="24"/>
              </w:rPr>
              <w:t xml:space="preserve">Financial </w:t>
            </w:r>
            <w:r w:rsidR="00330AF1" w:rsidRPr="00330AF1">
              <w:rPr>
                <w:rFonts w:cs="Times New Roman"/>
                <w:bCs/>
                <w:szCs w:val="24"/>
              </w:rPr>
              <w:t>h</w:t>
            </w:r>
            <w:r w:rsidR="00330AF1" w:rsidRPr="00603B48">
              <w:rPr>
                <w:rFonts w:cs="Times New Roman"/>
                <w:bCs/>
                <w:szCs w:val="24"/>
              </w:rPr>
              <w:t>ealth</w:t>
            </w:r>
          </w:p>
        </w:tc>
      </w:tr>
      <w:tr w:rsidR="000C126A" w:rsidRPr="000C126A" w14:paraId="338A009B"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98" w:type="pct"/>
            <w:gridSpan w:val="8"/>
            <w:tcBorders>
              <w:top w:val="single" w:sz="4" w:space="0" w:color="auto"/>
              <w:left w:val="single" w:sz="4" w:space="0" w:color="auto"/>
              <w:bottom w:val="single" w:sz="4" w:space="0" w:color="auto"/>
              <w:right w:val="single" w:sz="4" w:space="0" w:color="auto"/>
            </w:tcBorders>
            <w:shd w:val="clear" w:color="auto" w:fill="auto"/>
          </w:tcPr>
          <w:p w14:paraId="372A5F11" w14:textId="77777777" w:rsidR="000C126A" w:rsidRPr="000C126A" w:rsidRDefault="000C126A" w:rsidP="00595343">
            <w:pPr>
              <w:spacing w:before="60" w:after="60" w:line="276" w:lineRule="auto"/>
              <w:rPr>
                <w:rFonts w:cs="Times New Roman"/>
                <w:bCs/>
                <w:i/>
                <w:iCs/>
                <w:szCs w:val="24"/>
              </w:rPr>
            </w:pPr>
            <w:r w:rsidRPr="000C126A">
              <w:rPr>
                <w:rFonts w:cs="Times New Roman"/>
                <w:bCs/>
                <w:i/>
                <w:iCs/>
                <w:szCs w:val="24"/>
              </w:rPr>
              <w:t>Financial management</w:t>
            </w:r>
          </w:p>
        </w:tc>
        <w:tc>
          <w:tcPr>
            <w:tcW w:w="2502" w:type="pct"/>
            <w:gridSpan w:val="3"/>
            <w:tcBorders>
              <w:top w:val="single" w:sz="4" w:space="0" w:color="auto"/>
              <w:left w:val="single" w:sz="4" w:space="0" w:color="auto"/>
              <w:bottom w:val="single" w:sz="4" w:space="0" w:color="auto"/>
              <w:right w:val="single" w:sz="4" w:space="0" w:color="auto"/>
            </w:tcBorders>
            <w:shd w:val="clear" w:color="auto" w:fill="auto"/>
          </w:tcPr>
          <w:p w14:paraId="6F8DF201" w14:textId="77777777" w:rsidR="000C126A" w:rsidRPr="000C126A" w:rsidRDefault="000C126A" w:rsidP="00595343">
            <w:pPr>
              <w:spacing w:before="60" w:after="60" w:line="276" w:lineRule="auto"/>
              <w:rPr>
                <w:rFonts w:cs="Times New Roman"/>
                <w:bCs/>
                <w:i/>
                <w:iCs/>
                <w:szCs w:val="24"/>
              </w:rPr>
            </w:pPr>
            <w:r w:rsidRPr="000C126A">
              <w:rPr>
                <w:rFonts w:cs="Times New Roman"/>
                <w:bCs/>
                <w:i/>
                <w:iCs/>
                <w:szCs w:val="24"/>
              </w:rPr>
              <w:t>Financial model</w:t>
            </w:r>
          </w:p>
        </w:tc>
      </w:tr>
      <w:tr w:rsidR="000C126A" w:rsidRPr="000C126A" w14:paraId="4661EF06"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98" w:type="pct"/>
            <w:gridSpan w:val="8"/>
            <w:tcBorders>
              <w:top w:val="single" w:sz="4" w:space="0" w:color="auto"/>
              <w:left w:val="single" w:sz="4" w:space="0" w:color="auto"/>
              <w:bottom w:val="single" w:sz="4" w:space="0" w:color="auto"/>
              <w:right w:val="single" w:sz="4" w:space="0" w:color="auto"/>
            </w:tcBorders>
            <w:shd w:val="clear" w:color="auto" w:fill="auto"/>
          </w:tcPr>
          <w:p w14:paraId="5046180B" w14:textId="1125C698" w:rsidR="000C126A" w:rsidRPr="000C126A" w:rsidRDefault="00603B48" w:rsidP="00595343">
            <w:pPr>
              <w:spacing w:before="60" w:after="60" w:line="276" w:lineRule="auto"/>
              <w:rPr>
                <w:rFonts w:cs="Times New Roman"/>
                <w:bCs/>
                <w:szCs w:val="24"/>
              </w:rPr>
            </w:pPr>
            <w:r w:rsidRPr="00815DF6">
              <w:rPr>
                <w:rFonts w:cs="Times New Roman"/>
                <w:bCs/>
                <w:szCs w:val="24"/>
              </w:rPr>
              <w:t xml:space="preserve">There was a </w:t>
            </w:r>
            <w:r w:rsidR="008D4A6E">
              <w:rPr>
                <w:rFonts w:cs="Times New Roman"/>
                <w:bCs/>
                <w:szCs w:val="24"/>
              </w:rPr>
              <w:t>m</w:t>
            </w:r>
            <w:r w:rsidRPr="00815DF6">
              <w:rPr>
                <w:rFonts w:cs="Times New Roman"/>
                <w:bCs/>
                <w:szCs w:val="24"/>
              </w:rPr>
              <w:t xml:space="preserve">emorandum of </w:t>
            </w:r>
            <w:r w:rsidR="008D4A6E">
              <w:rPr>
                <w:rFonts w:cs="Times New Roman"/>
                <w:bCs/>
                <w:szCs w:val="24"/>
              </w:rPr>
              <w:t>u</w:t>
            </w:r>
            <w:r w:rsidRPr="00815DF6">
              <w:rPr>
                <w:rFonts w:cs="Times New Roman"/>
                <w:bCs/>
                <w:szCs w:val="24"/>
              </w:rPr>
              <w:t xml:space="preserve">nderstanding between the </w:t>
            </w:r>
            <w:r w:rsidR="008D4A6E">
              <w:rPr>
                <w:rFonts w:cs="Times New Roman"/>
                <w:bCs/>
                <w:szCs w:val="24"/>
              </w:rPr>
              <w:t>g</w:t>
            </w:r>
            <w:r w:rsidRPr="00815DF6">
              <w:rPr>
                <w:rFonts w:cs="Times New Roman"/>
                <w:bCs/>
                <w:szCs w:val="24"/>
              </w:rPr>
              <w:t>overnment of Uttar Pradesh and the Bill &amp; Melinda Gates Foundation.</w:t>
            </w:r>
          </w:p>
        </w:tc>
        <w:tc>
          <w:tcPr>
            <w:tcW w:w="2502" w:type="pct"/>
            <w:gridSpan w:val="3"/>
            <w:tcBorders>
              <w:top w:val="single" w:sz="4" w:space="0" w:color="auto"/>
              <w:left w:val="single" w:sz="4" w:space="0" w:color="auto"/>
              <w:bottom w:val="single" w:sz="4" w:space="0" w:color="auto"/>
              <w:right w:val="single" w:sz="4" w:space="0" w:color="auto"/>
            </w:tcBorders>
            <w:shd w:val="clear" w:color="auto" w:fill="auto"/>
          </w:tcPr>
          <w:p w14:paraId="2C1540C1" w14:textId="417A16B8" w:rsidR="000C126A" w:rsidRPr="000C126A" w:rsidRDefault="00603B48" w:rsidP="00595343">
            <w:pPr>
              <w:spacing w:before="60" w:after="60" w:line="276" w:lineRule="auto"/>
              <w:rPr>
                <w:rFonts w:cs="Times New Roman"/>
                <w:bCs/>
                <w:szCs w:val="24"/>
              </w:rPr>
            </w:pPr>
            <w:r w:rsidRPr="00815DF6">
              <w:rPr>
                <w:rFonts w:cs="Times New Roman"/>
                <w:bCs/>
                <w:szCs w:val="24"/>
              </w:rPr>
              <w:t>Limited information and under development.</w:t>
            </w:r>
          </w:p>
        </w:tc>
      </w:tr>
      <w:tr w:rsidR="000C126A" w:rsidRPr="000C126A" w14:paraId="1AAE64BA"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B6BAB" w14:textId="11CA3B55" w:rsidR="000C126A" w:rsidRPr="000C126A" w:rsidRDefault="000C126A" w:rsidP="00595343">
            <w:pPr>
              <w:spacing w:before="60" w:after="60" w:line="276" w:lineRule="auto"/>
              <w:rPr>
                <w:rFonts w:cs="Times New Roman"/>
                <w:szCs w:val="24"/>
              </w:rPr>
            </w:pPr>
            <w:r w:rsidRPr="000C126A">
              <w:rPr>
                <w:rFonts w:cs="Times New Roman"/>
                <w:bCs/>
                <w:szCs w:val="24"/>
              </w:rPr>
              <w:t xml:space="preserve">Area 4: Technology </w:t>
            </w:r>
            <w:r w:rsidR="00393E22">
              <w:rPr>
                <w:rFonts w:cs="Times New Roman"/>
                <w:szCs w:val="24"/>
              </w:rPr>
              <w:t>and a</w:t>
            </w:r>
            <w:r w:rsidRPr="000C126A">
              <w:rPr>
                <w:rFonts w:cs="Times New Roman"/>
                <w:szCs w:val="24"/>
              </w:rPr>
              <w:t>rchitecture</w:t>
            </w:r>
          </w:p>
        </w:tc>
      </w:tr>
      <w:tr w:rsidR="000C126A" w:rsidRPr="000C126A" w14:paraId="48D9FE77"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757" w:type="pct"/>
            <w:gridSpan w:val="4"/>
            <w:tcBorders>
              <w:top w:val="nil"/>
              <w:left w:val="single" w:sz="4" w:space="0" w:color="auto"/>
              <w:bottom w:val="single" w:sz="4" w:space="0" w:color="auto"/>
              <w:right w:val="single" w:sz="4" w:space="0" w:color="auto"/>
            </w:tcBorders>
            <w:shd w:val="clear" w:color="auto" w:fill="auto"/>
            <w:hideMark/>
          </w:tcPr>
          <w:p w14:paraId="2F5AF2BC" w14:textId="77777777" w:rsidR="000C126A" w:rsidRPr="000C126A" w:rsidRDefault="000C126A" w:rsidP="00595343">
            <w:pPr>
              <w:spacing w:before="60" w:after="60" w:line="276" w:lineRule="auto"/>
              <w:rPr>
                <w:rFonts w:cs="Times New Roman"/>
                <w:i/>
                <w:iCs/>
                <w:szCs w:val="24"/>
              </w:rPr>
            </w:pPr>
            <w:r w:rsidRPr="000C126A">
              <w:rPr>
                <w:rFonts w:cs="Times New Roman"/>
                <w:bCs/>
                <w:i/>
                <w:iCs/>
                <w:szCs w:val="24"/>
              </w:rPr>
              <w:t>Data</w:t>
            </w:r>
          </w:p>
        </w:tc>
        <w:tc>
          <w:tcPr>
            <w:tcW w:w="1577" w:type="pct"/>
            <w:gridSpan w:val="5"/>
            <w:tcBorders>
              <w:top w:val="nil"/>
              <w:left w:val="nil"/>
              <w:bottom w:val="single" w:sz="4" w:space="0" w:color="auto"/>
              <w:right w:val="single" w:sz="4" w:space="0" w:color="auto"/>
            </w:tcBorders>
            <w:shd w:val="clear" w:color="auto" w:fill="auto"/>
            <w:hideMark/>
          </w:tcPr>
          <w:p w14:paraId="4F1EF4DB" w14:textId="77777777" w:rsidR="000C126A" w:rsidRPr="000C126A" w:rsidRDefault="000C126A" w:rsidP="00595343">
            <w:pPr>
              <w:spacing w:before="60" w:after="60" w:line="276" w:lineRule="auto"/>
              <w:rPr>
                <w:rFonts w:cs="Times New Roman"/>
                <w:i/>
                <w:iCs/>
                <w:szCs w:val="24"/>
              </w:rPr>
            </w:pPr>
            <w:r w:rsidRPr="000C126A">
              <w:rPr>
                <w:rFonts w:cs="Times New Roman"/>
                <w:bCs/>
                <w:i/>
                <w:iCs/>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hideMark/>
          </w:tcPr>
          <w:p w14:paraId="71A4583D" w14:textId="77777777" w:rsidR="000C126A" w:rsidRPr="000C126A" w:rsidRDefault="000C126A" w:rsidP="00595343">
            <w:pPr>
              <w:spacing w:before="60" w:after="60" w:line="276" w:lineRule="auto"/>
              <w:rPr>
                <w:rFonts w:cs="Times New Roman"/>
                <w:i/>
                <w:iCs/>
                <w:szCs w:val="24"/>
              </w:rPr>
            </w:pPr>
            <w:r w:rsidRPr="000C126A">
              <w:rPr>
                <w:rFonts w:cs="Times New Roman"/>
                <w:bCs/>
                <w:i/>
                <w:iCs/>
                <w:szCs w:val="24"/>
              </w:rPr>
              <w:t xml:space="preserve">Adaptability </w:t>
            </w:r>
          </w:p>
        </w:tc>
      </w:tr>
      <w:tr w:rsidR="000C126A" w:rsidRPr="000C126A" w14:paraId="7944F522"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757" w:type="pct"/>
            <w:gridSpan w:val="4"/>
            <w:tcBorders>
              <w:top w:val="nil"/>
              <w:left w:val="single" w:sz="4" w:space="0" w:color="auto"/>
              <w:bottom w:val="single" w:sz="4" w:space="0" w:color="auto"/>
              <w:right w:val="single" w:sz="4" w:space="0" w:color="auto"/>
            </w:tcBorders>
            <w:shd w:val="clear" w:color="auto" w:fill="auto"/>
            <w:hideMark/>
          </w:tcPr>
          <w:p w14:paraId="6E04010E" w14:textId="4ECF4868" w:rsidR="000C126A" w:rsidRPr="000C126A" w:rsidRDefault="00603B48" w:rsidP="00595343">
            <w:pPr>
              <w:spacing w:before="60" w:after="60" w:line="276" w:lineRule="auto"/>
              <w:rPr>
                <w:rFonts w:cs="Times New Roman"/>
                <w:bCs/>
                <w:szCs w:val="24"/>
              </w:rPr>
            </w:pPr>
            <w:r w:rsidRPr="00815DF6">
              <w:rPr>
                <w:rFonts w:cs="Times New Roman"/>
                <w:bCs/>
                <w:szCs w:val="24"/>
              </w:rPr>
              <w:t>The ability to view and analyze case trends in real</w:t>
            </w:r>
            <w:r w:rsidR="008D4A6E">
              <w:rPr>
                <w:rFonts w:cs="Times New Roman"/>
                <w:bCs/>
                <w:szCs w:val="24"/>
              </w:rPr>
              <w:t xml:space="preserve"> </w:t>
            </w:r>
            <w:r w:rsidRPr="00815DF6">
              <w:rPr>
                <w:rFonts w:cs="Times New Roman"/>
                <w:bCs/>
                <w:szCs w:val="24"/>
              </w:rPr>
              <w:t>time is an important contribution of the platform. Policymakers are equipped to make data-driven decisions (e.g., increasing beds).</w:t>
            </w:r>
          </w:p>
        </w:tc>
        <w:tc>
          <w:tcPr>
            <w:tcW w:w="1577" w:type="pct"/>
            <w:gridSpan w:val="5"/>
            <w:tcBorders>
              <w:top w:val="nil"/>
              <w:left w:val="nil"/>
              <w:bottom w:val="single" w:sz="4" w:space="0" w:color="auto"/>
              <w:right w:val="single" w:sz="4" w:space="0" w:color="auto"/>
            </w:tcBorders>
            <w:shd w:val="clear" w:color="auto" w:fill="auto"/>
            <w:hideMark/>
          </w:tcPr>
          <w:p w14:paraId="2AA97085" w14:textId="4C311393" w:rsidR="000C126A" w:rsidRPr="000C126A" w:rsidRDefault="00603B48" w:rsidP="00595343">
            <w:pPr>
              <w:spacing w:before="60" w:after="60" w:line="276" w:lineRule="auto"/>
              <w:rPr>
                <w:rFonts w:cs="Times New Roman"/>
                <w:bCs/>
                <w:szCs w:val="24"/>
              </w:rPr>
            </w:pPr>
            <w:r w:rsidRPr="00815DF6">
              <w:rPr>
                <w:rFonts w:cs="Times New Roman"/>
                <w:bCs/>
                <w:szCs w:val="24"/>
              </w:rPr>
              <w:t xml:space="preserve">The platform integrates central/state platforms and provides an end-to-end solution </w:t>
            </w:r>
            <w:r w:rsidR="008D4A6E">
              <w:rPr>
                <w:rFonts w:cs="Times New Roman"/>
                <w:bCs/>
                <w:szCs w:val="24"/>
              </w:rPr>
              <w:t>that</w:t>
            </w:r>
            <w:r w:rsidR="008D4A6E" w:rsidRPr="00815DF6">
              <w:rPr>
                <w:rFonts w:cs="Times New Roman"/>
                <w:bCs/>
                <w:szCs w:val="24"/>
              </w:rPr>
              <w:t xml:space="preserve"> </w:t>
            </w:r>
            <w:r w:rsidRPr="00815DF6">
              <w:rPr>
                <w:rFonts w:cs="Times New Roman"/>
                <w:bCs/>
                <w:szCs w:val="24"/>
              </w:rPr>
              <w:t>became the single source of truth across the state for COVID-19 management.</w:t>
            </w:r>
          </w:p>
        </w:tc>
        <w:tc>
          <w:tcPr>
            <w:tcW w:w="1666" w:type="pct"/>
            <w:gridSpan w:val="2"/>
            <w:tcBorders>
              <w:top w:val="nil"/>
              <w:left w:val="nil"/>
              <w:bottom w:val="single" w:sz="4" w:space="0" w:color="auto"/>
              <w:right w:val="single" w:sz="4" w:space="0" w:color="auto"/>
            </w:tcBorders>
            <w:shd w:val="clear" w:color="auto" w:fill="auto"/>
            <w:hideMark/>
          </w:tcPr>
          <w:p w14:paraId="414E70AA" w14:textId="6D484185" w:rsidR="000C126A" w:rsidRPr="000C126A" w:rsidRDefault="00603B48" w:rsidP="00595343">
            <w:pPr>
              <w:spacing w:before="60" w:after="60" w:line="276" w:lineRule="auto"/>
              <w:rPr>
                <w:rFonts w:cs="Times New Roman"/>
                <w:bCs/>
                <w:szCs w:val="24"/>
              </w:rPr>
            </w:pPr>
            <w:r w:rsidRPr="00815DF6">
              <w:rPr>
                <w:rFonts w:cs="Times New Roman"/>
                <w:bCs/>
                <w:szCs w:val="24"/>
              </w:rPr>
              <w:t>The platform</w:t>
            </w:r>
            <w:r w:rsidR="005870AD">
              <w:rPr>
                <w:rFonts w:cs="Times New Roman"/>
                <w:bCs/>
                <w:szCs w:val="24"/>
              </w:rPr>
              <w:t>’</w:t>
            </w:r>
            <w:r w:rsidRPr="00815DF6">
              <w:rPr>
                <w:rFonts w:cs="Times New Roman"/>
                <w:bCs/>
                <w:szCs w:val="24"/>
              </w:rPr>
              <w:t>s modular design integrates the needs of various stakeholders, from tracking teams to testing labs to patients in quarantine. This design enabled the platform to adapt to a variety of use cases, emerging health priorities</w:t>
            </w:r>
            <w:r w:rsidR="00A35ACB">
              <w:rPr>
                <w:rFonts w:cs="Times New Roman"/>
                <w:bCs/>
                <w:szCs w:val="24"/>
              </w:rPr>
              <w:t>,</w:t>
            </w:r>
            <w:r w:rsidRPr="00815DF6">
              <w:rPr>
                <w:rFonts w:cs="Times New Roman"/>
                <w:bCs/>
                <w:szCs w:val="24"/>
              </w:rPr>
              <w:t xml:space="preserve"> and system needs.</w:t>
            </w:r>
          </w:p>
        </w:tc>
      </w:tr>
      <w:tr w:rsidR="000C126A" w:rsidRPr="000C126A" w14:paraId="09BD802F"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D0F36" w14:textId="77777777" w:rsidR="000C126A" w:rsidRPr="000C126A" w:rsidRDefault="000C126A" w:rsidP="00595343">
            <w:pPr>
              <w:spacing w:before="60" w:after="60" w:line="276" w:lineRule="auto"/>
              <w:rPr>
                <w:rFonts w:cs="Times New Roman"/>
                <w:szCs w:val="24"/>
              </w:rPr>
            </w:pPr>
            <w:r w:rsidRPr="000C126A">
              <w:rPr>
                <w:rFonts w:cs="Times New Roman"/>
                <w:bCs/>
                <w:szCs w:val="24"/>
              </w:rPr>
              <w:t>Area 5: Operations</w:t>
            </w:r>
          </w:p>
        </w:tc>
      </w:tr>
      <w:tr w:rsidR="00393E22" w:rsidRPr="000C126A" w14:paraId="17D05473" w14:textId="77777777" w:rsidTr="00130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202" w:type="pct"/>
            <w:gridSpan w:val="2"/>
            <w:tcBorders>
              <w:top w:val="nil"/>
              <w:left w:val="single" w:sz="4" w:space="0" w:color="auto"/>
              <w:bottom w:val="single" w:sz="4" w:space="0" w:color="auto"/>
              <w:right w:val="single" w:sz="4" w:space="0" w:color="auto"/>
            </w:tcBorders>
            <w:shd w:val="clear" w:color="auto" w:fill="auto"/>
            <w:hideMark/>
          </w:tcPr>
          <w:p w14:paraId="45EB3E53" w14:textId="77777777" w:rsidR="000C126A" w:rsidRPr="000C126A" w:rsidRDefault="000C126A" w:rsidP="00595343">
            <w:pPr>
              <w:spacing w:before="60" w:after="60" w:line="276" w:lineRule="auto"/>
              <w:rPr>
                <w:rFonts w:cs="Times New Roman"/>
                <w:i/>
                <w:iCs/>
                <w:szCs w:val="24"/>
              </w:rPr>
            </w:pPr>
            <w:r w:rsidRPr="000C126A">
              <w:rPr>
                <w:rFonts w:cs="Times New Roman"/>
                <w:bCs/>
                <w:i/>
                <w:iCs/>
                <w:szCs w:val="24"/>
              </w:rPr>
              <w:t>Personnel</w:t>
            </w:r>
          </w:p>
        </w:tc>
        <w:tc>
          <w:tcPr>
            <w:tcW w:w="1296" w:type="pct"/>
            <w:gridSpan w:val="6"/>
            <w:tcBorders>
              <w:top w:val="nil"/>
              <w:left w:val="nil"/>
              <w:bottom w:val="single" w:sz="4" w:space="0" w:color="auto"/>
              <w:right w:val="single" w:sz="4" w:space="0" w:color="auto"/>
            </w:tcBorders>
            <w:shd w:val="clear" w:color="auto" w:fill="auto"/>
            <w:hideMark/>
          </w:tcPr>
          <w:p w14:paraId="6CC2D948" w14:textId="1D71C54C" w:rsidR="000C126A" w:rsidRPr="000C126A" w:rsidRDefault="000C126A" w:rsidP="00595343">
            <w:pPr>
              <w:spacing w:before="60" w:after="60" w:line="276" w:lineRule="auto"/>
              <w:rPr>
                <w:rFonts w:cs="Times New Roman"/>
                <w:i/>
                <w:iCs/>
                <w:szCs w:val="24"/>
              </w:rPr>
            </w:pPr>
            <w:r w:rsidRPr="000C126A">
              <w:rPr>
                <w:rFonts w:cs="Times New Roman"/>
                <w:bCs/>
                <w:i/>
                <w:iCs/>
                <w:szCs w:val="24"/>
              </w:rPr>
              <w:t xml:space="preserve">Training </w:t>
            </w:r>
            <w:r w:rsidR="00393E22">
              <w:rPr>
                <w:rFonts w:cs="Times New Roman"/>
                <w:i/>
                <w:iCs/>
                <w:szCs w:val="24"/>
              </w:rPr>
              <w:t>and s</w:t>
            </w:r>
            <w:r w:rsidRPr="000C126A">
              <w:rPr>
                <w:rFonts w:cs="Times New Roman"/>
                <w:i/>
                <w:iCs/>
                <w:szCs w:val="24"/>
              </w:rPr>
              <w:t>upport</w:t>
            </w:r>
          </w:p>
        </w:tc>
        <w:tc>
          <w:tcPr>
            <w:tcW w:w="1250" w:type="pct"/>
            <w:gridSpan w:val="2"/>
            <w:tcBorders>
              <w:top w:val="nil"/>
              <w:left w:val="nil"/>
              <w:bottom w:val="single" w:sz="4" w:space="0" w:color="auto"/>
              <w:right w:val="single" w:sz="4" w:space="0" w:color="auto"/>
            </w:tcBorders>
            <w:shd w:val="clear" w:color="auto" w:fill="auto"/>
            <w:hideMark/>
          </w:tcPr>
          <w:p w14:paraId="0A1684EA" w14:textId="197EEE0D" w:rsidR="000C126A" w:rsidRPr="000C126A" w:rsidRDefault="000C126A" w:rsidP="00595343">
            <w:pPr>
              <w:spacing w:before="60" w:after="60" w:line="276" w:lineRule="auto"/>
              <w:rPr>
                <w:rFonts w:cs="Times New Roman"/>
                <w:i/>
                <w:iCs/>
                <w:szCs w:val="24"/>
              </w:rPr>
            </w:pPr>
            <w:r w:rsidRPr="000C126A">
              <w:rPr>
                <w:rFonts w:cs="Times New Roman"/>
                <w:bCs/>
                <w:i/>
                <w:iCs/>
                <w:szCs w:val="24"/>
              </w:rPr>
              <w:t>Outreach</w:t>
            </w:r>
            <w:r w:rsidR="00393E22">
              <w:rPr>
                <w:rFonts w:cs="Times New Roman"/>
                <w:bCs/>
                <w:i/>
                <w:iCs/>
                <w:szCs w:val="24"/>
              </w:rPr>
              <w:t xml:space="preserve"> and s</w:t>
            </w:r>
            <w:r w:rsidRPr="000C126A">
              <w:rPr>
                <w:rFonts w:cs="Times New Roman"/>
                <w:i/>
                <w:iCs/>
                <w:szCs w:val="24"/>
              </w:rPr>
              <w:t>ensitization</w:t>
            </w:r>
          </w:p>
        </w:tc>
        <w:tc>
          <w:tcPr>
            <w:tcW w:w="1252" w:type="pct"/>
            <w:tcBorders>
              <w:top w:val="nil"/>
              <w:left w:val="nil"/>
              <w:bottom w:val="single" w:sz="4" w:space="0" w:color="auto"/>
              <w:right w:val="single" w:sz="4" w:space="0" w:color="auto"/>
            </w:tcBorders>
            <w:shd w:val="clear" w:color="auto" w:fill="auto"/>
            <w:hideMark/>
          </w:tcPr>
          <w:p w14:paraId="1CF5ABE6" w14:textId="037B2111" w:rsidR="000C126A" w:rsidRPr="000C126A" w:rsidRDefault="000C126A" w:rsidP="00595343">
            <w:pPr>
              <w:spacing w:before="60" w:after="60" w:line="276" w:lineRule="auto"/>
              <w:rPr>
                <w:rFonts w:cs="Times New Roman"/>
                <w:i/>
                <w:iCs/>
                <w:szCs w:val="24"/>
              </w:rPr>
            </w:pPr>
            <w:r w:rsidRPr="000C126A">
              <w:rPr>
                <w:rFonts w:cs="Times New Roman"/>
                <w:bCs/>
                <w:i/>
                <w:iCs/>
                <w:szCs w:val="24"/>
              </w:rPr>
              <w:t xml:space="preserve">Contingency </w:t>
            </w:r>
            <w:r w:rsidR="00393E22">
              <w:rPr>
                <w:rFonts w:cs="Times New Roman"/>
                <w:bCs/>
                <w:i/>
                <w:iCs/>
                <w:szCs w:val="24"/>
              </w:rPr>
              <w:t>p</w:t>
            </w:r>
            <w:r w:rsidRPr="000C126A">
              <w:rPr>
                <w:rFonts w:cs="Times New Roman"/>
                <w:bCs/>
                <w:i/>
                <w:iCs/>
                <w:szCs w:val="24"/>
              </w:rPr>
              <w:t>lanning</w:t>
            </w:r>
          </w:p>
        </w:tc>
      </w:tr>
      <w:tr w:rsidR="00815DF6" w:rsidRPr="000C126A" w14:paraId="0884B269" w14:textId="77777777" w:rsidTr="00130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202" w:type="pct"/>
            <w:gridSpan w:val="2"/>
            <w:tcBorders>
              <w:top w:val="nil"/>
              <w:left w:val="single" w:sz="4" w:space="0" w:color="auto"/>
              <w:bottom w:val="single" w:sz="4" w:space="0" w:color="auto"/>
              <w:right w:val="single" w:sz="4" w:space="0" w:color="auto"/>
            </w:tcBorders>
            <w:shd w:val="clear" w:color="auto" w:fill="auto"/>
            <w:hideMark/>
          </w:tcPr>
          <w:p w14:paraId="2E44749A" w14:textId="6F7AF5E4" w:rsidR="000C126A" w:rsidRPr="000C126A" w:rsidRDefault="00603B48" w:rsidP="00595343">
            <w:pPr>
              <w:spacing w:before="60" w:after="60" w:line="276" w:lineRule="auto"/>
              <w:rPr>
                <w:rFonts w:cs="Times New Roman"/>
                <w:szCs w:val="24"/>
              </w:rPr>
            </w:pPr>
            <w:r w:rsidRPr="00815DF6">
              <w:rPr>
                <w:rFonts w:cs="Times New Roman"/>
                <w:szCs w:val="24"/>
              </w:rPr>
              <w:t>Sustaining capacity of a digital team to lead, manage, and support the development of systems and platforms has been a challenge.</w:t>
            </w:r>
          </w:p>
        </w:tc>
        <w:tc>
          <w:tcPr>
            <w:tcW w:w="1296" w:type="pct"/>
            <w:gridSpan w:val="6"/>
            <w:tcBorders>
              <w:top w:val="nil"/>
              <w:left w:val="nil"/>
              <w:bottom w:val="single" w:sz="4" w:space="0" w:color="auto"/>
              <w:right w:val="single" w:sz="4" w:space="0" w:color="auto"/>
            </w:tcBorders>
            <w:shd w:val="clear" w:color="auto" w:fill="auto"/>
            <w:hideMark/>
          </w:tcPr>
          <w:p w14:paraId="133A13F6" w14:textId="11C8C3E6" w:rsidR="000C126A" w:rsidRPr="000C126A" w:rsidRDefault="00603B48" w:rsidP="00595343">
            <w:pPr>
              <w:spacing w:before="60" w:after="60" w:line="276" w:lineRule="auto"/>
              <w:rPr>
                <w:rFonts w:cs="Times New Roman"/>
                <w:szCs w:val="24"/>
              </w:rPr>
            </w:pPr>
            <w:r w:rsidRPr="00815DF6">
              <w:rPr>
                <w:rFonts w:cs="Times New Roman"/>
                <w:szCs w:val="24"/>
              </w:rPr>
              <w:t>Remote trainings for health</w:t>
            </w:r>
            <w:r w:rsidR="00A35ACB">
              <w:rPr>
                <w:rFonts w:cs="Times New Roman"/>
                <w:szCs w:val="24"/>
              </w:rPr>
              <w:t xml:space="preserve"> </w:t>
            </w:r>
            <w:r w:rsidRPr="00815DF6">
              <w:rPr>
                <w:rFonts w:cs="Times New Roman"/>
                <w:szCs w:val="24"/>
              </w:rPr>
              <w:t xml:space="preserve">care workers can be adapted for future disease outbreaks and </w:t>
            </w:r>
            <w:r w:rsidR="00A35ACB">
              <w:rPr>
                <w:rFonts w:cs="Times New Roman"/>
                <w:szCs w:val="24"/>
              </w:rPr>
              <w:t>community health workers</w:t>
            </w:r>
            <w:r w:rsidRPr="00815DF6">
              <w:rPr>
                <w:rFonts w:cs="Times New Roman"/>
                <w:szCs w:val="24"/>
              </w:rPr>
              <w:t>. Videos were posted to YouTube and WhatsApp.</w:t>
            </w:r>
          </w:p>
        </w:tc>
        <w:tc>
          <w:tcPr>
            <w:tcW w:w="1250" w:type="pct"/>
            <w:gridSpan w:val="2"/>
            <w:tcBorders>
              <w:top w:val="nil"/>
              <w:left w:val="nil"/>
              <w:bottom w:val="single" w:sz="4" w:space="0" w:color="auto"/>
              <w:right w:val="single" w:sz="4" w:space="0" w:color="auto"/>
            </w:tcBorders>
            <w:shd w:val="clear" w:color="auto" w:fill="auto"/>
            <w:hideMark/>
          </w:tcPr>
          <w:p w14:paraId="361C79F1" w14:textId="564E9C13" w:rsidR="000C126A" w:rsidRPr="000C126A" w:rsidRDefault="00603B48" w:rsidP="00595343">
            <w:pPr>
              <w:spacing w:before="60" w:after="60" w:line="276" w:lineRule="auto"/>
              <w:rPr>
                <w:rFonts w:cs="Times New Roman"/>
                <w:szCs w:val="24"/>
              </w:rPr>
            </w:pPr>
            <w:r w:rsidRPr="00815DF6">
              <w:rPr>
                <w:rFonts w:cs="Times New Roman"/>
                <w:szCs w:val="24"/>
              </w:rPr>
              <w:t>Uptake enhanced by establishing a user-friendly, comprehensive service delivery and reporting process. There is a need for more direct-to-citizen communication to drive user engagement.</w:t>
            </w:r>
          </w:p>
        </w:tc>
        <w:tc>
          <w:tcPr>
            <w:tcW w:w="1252" w:type="pct"/>
            <w:tcBorders>
              <w:top w:val="nil"/>
              <w:left w:val="nil"/>
              <w:bottom w:val="single" w:sz="4" w:space="0" w:color="auto"/>
              <w:right w:val="single" w:sz="4" w:space="0" w:color="auto"/>
            </w:tcBorders>
            <w:shd w:val="clear" w:color="auto" w:fill="auto"/>
            <w:hideMark/>
          </w:tcPr>
          <w:p w14:paraId="7D7EE784" w14:textId="3767C641" w:rsidR="000C126A" w:rsidRPr="000C126A" w:rsidRDefault="00603B48" w:rsidP="00595343">
            <w:pPr>
              <w:spacing w:before="60" w:after="60" w:line="276" w:lineRule="auto"/>
              <w:rPr>
                <w:rFonts w:cs="Times New Roman"/>
                <w:szCs w:val="24"/>
              </w:rPr>
            </w:pPr>
            <w:r w:rsidRPr="00815DF6">
              <w:rPr>
                <w:rFonts w:cs="Times New Roman"/>
                <w:szCs w:val="24"/>
              </w:rPr>
              <w:t>Initially, the platform faced system performance issues. Plans to handle broken devices and offline requirements are evolving.</w:t>
            </w:r>
          </w:p>
        </w:tc>
      </w:tr>
      <w:tr w:rsidR="000C126A" w:rsidRPr="000C126A" w14:paraId="22647C3F"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D1892" w14:textId="2151902E" w:rsidR="000C126A" w:rsidRPr="000C126A" w:rsidRDefault="000C126A" w:rsidP="00595343">
            <w:pPr>
              <w:spacing w:before="60" w:after="60" w:line="276" w:lineRule="auto"/>
              <w:rPr>
                <w:rFonts w:cs="Times New Roman"/>
                <w:szCs w:val="24"/>
              </w:rPr>
            </w:pPr>
            <w:r w:rsidRPr="000C126A">
              <w:rPr>
                <w:rFonts w:cs="Times New Roman"/>
                <w:bCs/>
                <w:szCs w:val="24"/>
              </w:rPr>
              <w:t xml:space="preserve">Area 6: </w:t>
            </w:r>
            <w:r w:rsidR="00330AF1" w:rsidRPr="00330AF1">
              <w:rPr>
                <w:rFonts w:cs="Times New Roman"/>
                <w:bCs/>
                <w:szCs w:val="24"/>
              </w:rPr>
              <w:t>Monitoring and evaluation</w:t>
            </w:r>
          </w:p>
        </w:tc>
      </w:tr>
      <w:tr w:rsidR="000C126A" w:rsidRPr="000C126A" w14:paraId="53996B57"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98" w:type="pct"/>
            <w:gridSpan w:val="8"/>
            <w:tcBorders>
              <w:top w:val="nil"/>
              <w:left w:val="single" w:sz="4" w:space="0" w:color="auto"/>
              <w:bottom w:val="single" w:sz="4" w:space="0" w:color="auto"/>
              <w:right w:val="single" w:sz="4" w:space="0" w:color="auto"/>
            </w:tcBorders>
            <w:shd w:val="clear" w:color="auto" w:fill="auto"/>
            <w:hideMark/>
          </w:tcPr>
          <w:p w14:paraId="03FF4340" w14:textId="77777777" w:rsidR="000C126A" w:rsidRPr="000C126A" w:rsidRDefault="000C126A" w:rsidP="00595343">
            <w:pPr>
              <w:spacing w:before="60" w:after="60" w:line="276" w:lineRule="auto"/>
              <w:rPr>
                <w:rFonts w:cs="Times New Roman"/>
                <w:i/>
                <w:iCs/>
                <w:szCs w:val="24"/>
              </w:rPr>
            </w:pPr>
            <w:r w:rsidRPr="000C126A">
              <w:rPr>
                <w:rFonts w:cs="Times New Roman"/>
                <w:bCs/>
                <w:i/>
                <w:iCs/>
                <w:szCs w:val="24"/>
              </w:rPr>
              <w:t>Process monitoring</w:t>
            </w:r>
          </w:p>
        </w:tc>
        <w:tc>
          <w:tcPr>
            <w:tcW w:w="2502" w:type="pct"/>
            <w:gridSpan w:val="3"/>
            <w:tcBorders>
              <w:top w:val="nil"/>
              <w:left w:val="nil"/>
              <w:bottom w:val="single" w:sz="4" w:space="0" w:color="auto"/>
              <w:right w:val="single" w:sz="4" w:space="0" w:color="auto"/>
            </w:tcBorders>
            <w:shd w:val="clear" w:color="auto" w:fill="auto"/>
            <w:hideMark/>
          </w:tcPr>
          <w:p w14:paraId="72C390DD" w14:textId="77777777" w:rsidR="000C126A" w:rsidRPr="000C126A" w:rsidRDefault="000C126A" w:rsidP="00595343">
            <w:pPr>
              <w:spacing w:before="60" w:after="60" w:line="276" w:lineRule="auto"/>
              <w:rPr>
                <w:rFonts w:cs="Times New Roman"/>
                <w:i/>
                <w:iCs/>
                <w:szCs w:val="24"/>
              </w:rPr>
            </w:pPr>
            <w:r w:rsidRPr="000C126A">
              <w:rPr>
                <w:rFonts w:cs="Times New Roman"/>
                <w:bCs/>
                <w:i/>
                <w:iCs/>
                <w:szCs w:val="24"/>
              </w:rPr>
              <w:t xml:space="preserve">Evaluation </w:t>
            </w:r>
          </w:p>
        </w:tc>
      </w:tr>
      <w:tr w:rsidR="000C126A" w:rsidRPr="000C126A" w14:paraId="27464D6B" w14:textId="77777777" w:rsidTr="003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2498" w:type="pct"/>
            <w:gridSpan w:val="8"/>
            <w:tcBorders>
              <w:top w:val="nil"/>
              <w:left w:val="single" w:sz="4" w:space="0" w:color="auto"/>
              <w:bottom w:val="single" w:sz="4" w:space="0" w:color="auto"/>
              <w:right w:val="single" w:sz="4" w:space="0" w:color="auto"/>
            </w:tcBorders>
            <w:shd w:val="clear" w:color="auto" w:fill="auto"/>
            <w:hideMark/>
          </w:tcPr>
          <w:p w14:paraId="3FB7C897" w14:textId="12C434AC" w:rsidR="000C126A" w:rsidRPr="000C126A" w:rsidRDefault="00603B48" w:rsidP="00595343">
            <w:pPr>
              <w:spacing w:before="60" w:after="60" w:line="276" w:lineRule="auto"/>
              <w:rPr>
                <w:rFonts w:cs="Times New Roman"/>
                <w:szCs w:val="24"/>
              </w:rPr>
            </w:pPr>
            <w:r w:rsidRPr="00815DF6">
              <w:rPr>
                <w:rFonts w:cs="Times New Roman"/>
                <w:szCs w:val="24"/>
              </w:rPr>
              <w:t>The platform</w:t>
            </w:r>
            <w:r w:rsidR="005870AD">
              <w:rPr>
                <w:rFonts w:cs="Times New Roman"/>
                <w:szCs w:val="24"/>
              </w:rPr>
              <w:t>’</w:t>
            </w:r>
            <w:r w:rsidRPr="00815DF6">
              <w:rPr>
                <w:rFonts w:cs="Times New Roman"/>
                <w:szCs w:val="24"/>
              </w:rPr>
              <w:t>s built-in validation and data quality checks have been crucial for transparency and continuous improvement.</w:t>
            </w:r>
          </w:p>
        </w:tc>
        <w:tc>
          <w:tcPr>
            <w:tcW w:w="2502" w:type="pct"/>
            <w:gridSpan w:val="3"/>
            <w:tcBorders>
              <w:top w:val="nil"/>
              <w:left w:val="nil"/>
              <w:bottom w:val="single" w:sz="4" w:space="0" w:color="auto"/>
              <w:right w:val="single" w:sz="4" w:space="0" w:color="auto"/>
            </w:tcBorders>
            <w:shd w:val="clear" w:color="auto" w:fill="auto"/>
            <w:hideMark/>
          </w:tcPr>
          <w:p w14:paraId="0897167C" w14:textId="5E101729" w:rsidR="000C126A" w:rsidRPr="000C126A" w:rsidRDefault="00603B48" w:rsidP="00595343">
            <w:pPr>
              <w:spacing w:before="60" w:after="60" w:line="276" w:lineRule="auto"/>
              <w:rPr>
                <w:rFonts w:cs="Times New Roman"/>
                <w:szCs w:val="24"/>
              </w:rPr>
            </w:pPr>
            <w:r w:rsidRPr="00815DF6">
              <w:rPr>
                <w:rFonts w:cs="Times New Roman"/>
                <w:szCs w:val="24"/>
              </w:rPr>
              <w:t>No impact evaluation or cost-effectiveness studies have been conducted as of July 2021.</w:t>
            </w:r>
          </w:p>
        </w:tc>
      </w:tr>
      <w:tr w:rsidR="00603B48" w:rsidRPr="00603B48" w14:paraId="1501A427" w14:textId="77777777" w:rsidTr="000D1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14A2888" w14:textId="6FB786D2" w:rsidR="00603B48" w:rsidRPr="00603B48" w:rsidRDefault="00733939" w:rsidP="00595343">
            <w:pPr>
              <w:spacing w:before="60" w:after="60" w:line="276" w:lineRule="auto"/>
              <w:jc w:val="center"/>
              <w:rPr>
                <w:rFonts w:cs="Times New Roman"/>
                <w:b/>
                <w:szCs w:val="24"/>
              </w:rPr>
            </w:pPr>
            <w:r w:rsidRPr="00815DF6">
              <w:rPr>
                <w:rFonts w:cs="Times New Roman"/>
                <w:b/>
                <w:szCs w:val="24"/>
              </w:rPr>
              <w:lastRenderedPageBreak/>
              <w:t>SORMAS (Nigeria)</w:t>
            </w:r>
          </w:p>
        </w:tc>
      </w:tr>
      <w:tr w:rsidR="00603B48" w:rsidRPr="00603B48" w14:paraId="4437BF37" w14:textId="77777777" w:rsidTr="000D1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32F3A" w14:textId="77777777" w:rsidR="00603B48" w:rsidRPr="00603B48" w:rsidRDefault="00603B48" w:rsidP="00595343">
            <w:pPr>
              <w:spacing w:before="60" w:after="60" w:line="276" w:lineRule="auto"/>
              <w:rPr>
                <w:rFonts w:cs="Times New Roman"/>
                <w:bCs/>
                <w:szCs w:val="24"/>
              </w:rPr>
            </w:pPr>
            <w:r w:rsidRPr="00603B48">
              <w:rPr>
                <w:rFonts w:cs="Times New Roman"/>
                <w:bCs/>
                <w:szCs w:val="24"/>
              </w:rPr>
              <w:t>Area 1: Groundwork</w:t>
            </w:r>
          </w:p>
        </w:tc>
      </w:tr>
      <w:tr w:rsidR="003A13C9" w:rsidRPr="003A13C9" w14:paraId="790ED35C" w14:textId="77777777" w:rsidTr="00C95AF8">
        <w:trPr>
          <w:trHeight w:val="50"/>
        </w:trPr>
        <w:tc>
          <w:tcPr>
            <w:tcW w:w="1804" w:type="pct"/>
            <w:gridSpan w:val="5"/>
            <w:shd w:val="clear" w:color="auto" w:fill="auto"/>
            <w:hideMark/>
          </w:tcPr>
          <w:p w14:paraId="59775716"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Parameters of scale</w:t>
            </w:r>
          </w:p>
        </w:tc>
        <w:tc>
          <w:tcPr>
            <w:tcW w:w="1530" w:type="pct"/>
            <w:gridSpan w:val="4"/>
            <w:shd w:val="clear" w:color="auto" w:fill="auto"/>
            <w:hideMark/>
          </w:tcPr>
          <w:p w14:paraId="5254C207"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Contextual environment</w:t>
            </w:r>
          </w:p>
        </w:tc>
        <w:tc>
          <w:tcPr>
            <w:tcW w:w="1666" w:type="pct"/>
            <w:gridSpan w:val="2"/>
            <w:shd w:val="clear" w:color="auto" w:fill="auto"/>
            <w:hideMark/>
          </w:tcPr>
          <w:p w14:paraId="18A47AFC"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Scientific basis</w:t>
            </w:r>
          </w:p>
        </w:tc>
      </w:tr>
      <w:tr w:rsidR="00595343" w:rsidRPr="00603B48" w14:paraId="005DED73" w14:textId="77777777" w:rsidTr="00C95AF8">
        <w:trPr>
          <w:trHeight w:val="50"/>
        </w:trPr>
        <w:tc>
          <w:tcPr>
            <w:tcW w:w="1804" w:type="pct"/>
            <w:gridSpan w:val="5"/>
            <w:shd w:val="clear" w:color="auto" w:fill="auto"/>
          </w:tcPr>
          <w:p w14:paraId="130DD950" w14:textId="440453C9" w:rsidR="00603B48" w:rsidRPr="00603B48" w:rsidRDefault="00733939" w:rsidP="00595343">
            <w:pPr>
              <w:spacing w:before="60" w:after="60" w:line="276" w:lineRule="auto"/>
              <w:rPr>
                <w:rFonts w:cs="Times New Roman"/>
                <w:bCs/>
                <w:szCs w:val="24"/>
              </w:rPr>
            </w:pPr>
            <w:r w:rsidRPr="00815DF6">
              <w:rPr>
                <w:rFonts w:cs="Times New Roman"/>
                <w:bCs/>
                <w:szCs w:val="24"/>
              </w:rPr>
              <w:t>SORMAS had a clear purpose from the outset: to address challenges uncovered during the 2014 Ebola outbreak. Use of the tool expanded with further outbreaks, in collaboration with partners in real time.</w:t>
            </w:r>
          </w:p>
        </w:tc>
        <w:tc>
          <w:tcPr>
            <w:tcW w:w="1530" w:type="pct"/>
            <w:gridSpan w:val="4"/>
            <w:shd w:val="clear" w:color="auto" w:fill="auto"/>
          </w:tcPr>
          <w:p w14:paraId="15568A30" w14:textId="4D5FF568" w:rsidR="00603B48" w:rsidRPr="00603B48" w:rsidRDefault="00733939" w:rsidP="00595343">
            <w:pPr>
              <w:spacing w:before="60" w:after="60" w:line="276" w:lineRule="auto"/>
              <w:rPr>
                <w:rFonts w:cs="Times New Roman"/>
                <w:bCs/>
                <w:szCs w:val="24"/>
              </w:rPr>
            </w:pPr>
            <w:r w:rsidRPr="00815DF6">
              <w:rPr>
                <w:rFonts w:cs="Times New Roman"/>
                <w:bCs/>
                <w:szCs w:val="24"/>
              </w:rPr>
              <w:t>Through</w:t>
            </w:r>
            <w:r w:rsidR="00C95AF8">
              <w:rPr>
                <w:rFonts w:cs="Times New Roman"/>
                <w:bCs/>
                <w:szCs w:val="24"/>
              </w:rPr>
              <w:t>out</w:t>
            </w:r>
            <w:r w:rsidRPr="00815DF6">
              <w:rPr>
                <w:rFonts w:cs="Times New Roman"/>
                <w:bCs/>
                <w:szCs w:val="24"/>
              </w:rPr>
              <w:t xml:space="preserve"> the design process, many different end users were interviewed to understand tools that had previously been used.</w:t>
            </w:r>
          </w:p>
        </w:tc>
        <w:tc>
          <w:tcPr>
            <w:tcW w:w="1666" w:type="pct"/>
            <w:gridSpan w:val="2"/>
            <w:shd w:val="clear" w:color="auto" w:fill="auto"/>
          </w:tcPr>
          <w:p w14:paraId="340008CA" w14:textId="7D8A306F" w:rsidR="00603B48" w:rsidRPr="00603B48" w:rsidRDefault="00733939" w:rsidP="00595343">
            <w:pPr>
              <w:spacing w:before="60" w:after="60" w:line="276" w:lineRule="auto"/>
              <w:rPr>
                <w:rFonts w:cs="Times New Roman"/>
                <w:bCs/>
                <w:szCs w:val="24"/>
              </w:rPr>
            </w:pPr>
            <w:r w:rsidRPr="00815DF6">
              <w:rPr>
                <w:rFonts w:cs="Times New Roman"/>
                <w:bCs/>
                <w:szCs w:val="24"/>
              </w:rPr>
              <w:t>Multiple rounds of user testing were conducted during the pilot phase and the design process brought in a variety of local perspectives across government, academia, and other entities.</w:t>
            </w:r>
          </w:p>
        </w:tc>
      </w:tr>
      <w:tr w:rsidR="00603B48" w:rsidRPr="00603B48" w14:paraId="5CE6033D"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B13DE" w14:textId="77777777" w:rsidR="00603B48" w:rsidRPr="00603B48" w:rsidRDefault="00603B48" w:rsidP="00595343">
            <w:pPr>
              <w:spacing w:before="60" w:after="60" w:line="276" w:lineRule="auto"/>
              <w:rPr>
                <w:rFonts w:cs="Times New Roman"/>
                <w:szCs w:val="24"/>
              </w:rPr>
            </w:pPr>
            <w:r w:rsidRPr="00603B48">
              <w:rPr>
                <w:rFonts w:cs="Times New Roman"/>
                <w:bCs/>
                <w:szCs w:val="24"/>
              </w:rPr>
              <w:t>Area 2: Partnerships</w:t>
            </w:r>
          </w:p>
        </w:tc>
      </w:tr>
      <w:tr w:rsidR="00603B48" w:rsidRPr="00603B48" w14:paraId="0EDA040B"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98" w:type="pct"/>
            <w:gridSpan w:val="8"/>
            <w:tcBorders>
              <w:top w:val="nil"/>
              <w:left w:val="single" w:sz="4" w:space="0" w:color="auto"/>
              <w:bottom w:val="single" w:sz="4" w:space="0" w:color="auto"/>
              <w:right w:val="single" w:sz="4" w:space="0" w:color="auto"/>
            </w:tcBorders>
            <w:shd w:val="clear" w:color="auto" w:fill="auto"/>
            <w:hideMark/>
          </w:tcPr>
          <w:p w14:paraId="7F173058"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Strategic engagement</w:t>
            </w:r>
          </w:p>
        </w:tc>
        <w:tc>
          <w:tcPr>
            <w:tcW w:w="2502" w:type="pct"/>
            <w:gridSpan w:val="3"/>
            <w:tcBorders>
              <w:top w:val="nil"/>
              <w:left w:val="nil"/>
              <w:bottom w:val="single" w:sz="4" w:space="0" w:color="auto"/>
              <w:right w:val="single" w:sz="4" w:space="0" w:color="auto"/>
            </w:tcBorders>
            <w:shd w:val="clear" w:color="auto" w:fill="auto"/>
            <w:hideMark/>
          </w:tcPr>
          <w:p w14:paraId="37A6A378"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 xml:space="preserve">Partnership sustainability </w:t>
            </w:r>
          </w:p>
        </w:tc>
      </w:tr>
      <w:tr w:rsidR="00603B48" w:rsidRPr="00603B48" w14:paraId="7C401B0E"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98" w:type="pct"/>
            <w:gridSpan w:val="8"/>
            <w:tcBorders>
              <w:top w:val="nil"/>
              <w:left w:val="single" w:sz="4" w:space="0" w:color="auto"/>
              <w:bottom w:val="single" w:sz="4" w:space="0" w:color="auto"/>
              <w:right w:val="single" w:sz="4" w:space="0" w:color="auto"/>
            </w:tcBorders>
            <w:shd w:val="clear" w:color="auto" w:fill="auto"/>
          </w:tcPr>
          <w:p w14:paraId="5CD9DE7B" w14:textId="09C5CDD8" w:rsidR="00603B48" w:rsidRPr="00603B48" w:rsidRDefault="00733939" w:rsidP="00595343">
            <w:pPr>
              <w:spacing w:before="60" w:after="60" w:line="276" w:lineRule="auto"/>
              <w:rPr>
                <w:rFonts w:cs="Times New Roman"/>
                <w:bCs/>
                <w:szCs w:val="24"/>
              </w:rPr>
            </w:pPr>
            <w:r w:rsidRPr="00815DF6">
              <w:rPr>
                <w:rFonts w:cs="Times New Roman"/>
                <w:bCs/>
                <w:szCs w:val="24"/>
              </w:rPr>
              <w:t>SORMAS was co-created with local stakeholders, including the Nigeria Centre for Disease Control (NCDC) and the African Field Epidemiology Network (AFENET) to ensure joint ownership. One challenge is obtaining support from other government agencies to ensure full data sharing.</w:t>
            </w:r>
          </w:p>
        </w:tc>
        <w:tc>
          <w:tcPr>
            <w:tcW w:w="2502" w:type="pct"/>
            <w:gridSpan w:val="3"/>
            <w:tcBorders>
              <w:top w:val="nil"/>
              <w:left w:val="nil"/>
              <w:bottom w:val="single" w:sz="4" w:space="0" w:color="auto"/>
              <w:right w:val="single" w:sz="4" w:space="0" w:color="auto"/>
            </w:tcBorders>
            <w:shd w:val="clear" w:color="auto" w:fill="auto"/>
          </w:tcPr>
          <w:p w14:paraId="2D38EF46" w14:textId="67C17224" w:rsidR="00603B48" w:rsidRPr="00603B48" w:rsidRDefault="00733939" w:rsidP="00595343">
            <w:pPr>
              <w:spacing w:before="60" w:after="60" w:line="276" w:lineRule="auto"/>
              <w:rPr>
                <w:rFonts w:cs="Times New Roman"/>
                <w:bCs/>
                <w:szCs w:val="24"/>
              </w:rPr>
            </w:pPr>
            <w:r w:rsidRPr="00815DF6">
              <w:rPr>
                <w:rFonts w:cs="Times New Roman"/>
                <w:bCs/>
                <w:szCs w:val="24"/>
              </w:rPr>
              <w:t>The Helmholtz Centre for Infection Research (HZI) and German Corporation for International Cooperation (GIZ) support the continued scale-up of the tool. Information on governance procedures is limited, but major decisions are led by the NCDC, with strong support from within the organization.</w:t>
            </w:r>
          </w:p>
        </w:tc>
      </w:tr>
      <w:tr w:rsidR="00603B48" w:rsidRPr="00603B48" w14:paraId="340FB652"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5AE4FE" w14:textId="64E023D5" w:rsidR="00603B48" w:rsidRPr="00603B48" w:rsidRDefault="00603B48" w:rsidP="00595343">
            <w:pPr>
              <w:spacing w:before="60" w:after="60" w:line="276" w:lineRule="auto"/>
              <w:rPr>
                <w:rFonts w:cs="Times New Roman"/>
                <w:szCs w:val="24"/>
              </w:rPr>
            </w:pPr>
            <w:r w:rsidRPr="00603B48">
              <w:rPr>
                <w:rFonts w:cs="Times New Roman"/>
                <w:bCs/>
                <w:szCs w:val="24"/>
              </w:rPr>
              <w:t xml:space="preserve">Area 3: </w:t>
            </w:r>
            <w:r w:rsidR="00330AF1" w:rsidRPr="00603B48">
              <w:rPr>
                <w:rFonts w:cs="Times New Roman"/>
                <w:bCs/>
                <w:szCs w:val="24"/>
              </w:rPr>
              <w:t xml:space="preserve">Financial </w:t>
            </w:r>
            <w:r w:rsidR="00330AF1" w:rsidRPr="00330AF1">
              <w:rPr>
                <w:rFonts w:cs="Times New Roman"/>
                <w:bCs/>
                <w:szCs w:val="24"/>
              </w:rPr>
              <w:t>h</w:t>
            </w:r>
            <w:r w:rsidR="00330AF1" w:rsidRPr="00603B48">
              <w:rPr>
                <w:rFonts w:cs="Times New Roman"/>
                <w:bCs/>
                <w:szCs w:val="24"/>
              </w:rPr>
              <w:t>ealth</w:t>
            </w:r>
          </w:p>
        </w:tc>
      </w:tr>
      <w:tr w:rsidR="00603B48" w:rsidRPr="00603B48" w14:paraId="5DE90514"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98" w:type="pct"/>
            <w:gridSpan w:val="8"/>
            <w:tcBorders>
              <w:top w:val="single" w:sz="4" w:space="0" w:color="auto"/>
              <w:left w:val="single" w:sz="4" w:space="0" w:color="auto"/>
              <w:bottom w:val="single" w:sz="4" w:space="0" w:color="auto"/>
              <w:right w:val="single" w:sz="4" w:space="0" w:color="auto"/>
            </w:tcBorders>
            <w:shd w:val="clear" w:color="auto" w:fill="auto"/>
          </w:tcPr>
          <w:p w14:paraId="59D23DA8" w14:textId="77777777" w:rsidR="00603B48" w:rsidRPr="00603B48" w:rsidRDefault="00603B48" w:rsidP="00595343">
            <w:pPr>
              <w:spacing w:before="60" w:after="60" w:line="276" w:lineRule="auto"/>
              <w:rPr>
                <w:rFonts w:cs="Times New Roman"/>
                <w:bCs/>
                <w:i/>
                <w:iCs/>
                <w:szCs w:val="24"/>
              </w:rPr>
            </w:pPr>
            <w:r w:rsidRPr="00603B48">
              <w:rPr>
                <w:rFonts w:cs="Times New Roman"/>
                <w:bCs/>
                <w:i/>
                <w:iCs/>
                <w:szCs w:val="24"/>
              </w:rPr>
              <w:t>Financial management</w:t>
            </w:r>
          </w:p>
        </w:tc>
        <w:tc>
          <w:tcPr>
            <w:tcW w:w="2502" w:type="pct"/>
            <w:gridSpan w:val="3"/>
            <w:tcBorders>
              <w:top w:val="single" w:sz="4" w:space="0" w:color="auto"/>
              <w:left w:val="single" w:sz="4" w:space="0" w:color="auto"/>
              <w:bottom w:val="single" w:sz="4" w:space="0" w:color="auto"/>
              <w:right w:val="single" w:sz="4" w:space="0" w:color="auto"/>
            </w:tcBorders>
            <w:shd w:val="clear" w:color="auto" w:fill="auto"/>
          </w:tcPr>
          <w:p w14:paraId="71943603" w14:textId="77777777" w:rsidR="00603B48" w:rsidRPr="00603B48" w:rsidRDefault="00603B48" w:rsidP="00595343">
            <w:pPr>
              <w:spacing w:before="60" w:after="60" w:line="276" w:lineRule="auto"/>
              <w:rPr>
                <w:rFonts w:cs="Times New Roman"/>
                <w:bCs/>
                <w:i/>
                <w:iCs/>
                <w:szCs w:val="24"/>
              </w:rPr>
            </w:pPr>
            <w:r w:rsidRPr="00603B48">
              <w:rPr>
                <w:rFonts w:cs="Times New Roman"/>
                <w:bCs/>
                <w:i/>
                <w:iCs/>
                <w:szCs w:val="24"/>
              </w:rPr>
              <w:t>Financial model</w:t>
            </w:r>
          </w:p>
        </w:tc>
      </w:tr>
      <w:tr w:rsidR="00603B48" w:rsidRPr="00603B48" w14:paraId="6C771903"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98" w:type="pct"/>
            <w:gridSpan w:val="8"/>
            <w:tcBorders>
              <w:top w:val="single" w:sz="4" w:space="0" w:color="auto"/>
              <w:left w:val="single" w:sz="4" w:space="0" w:color="auto"/>
              <w:bottom w:val="single" w:sz="4" w:space="0" w:color="auto"/>
              <w:right w:val="single" w:sz="4" w:space="0" w:color="auto"/>
            </w:tcBorders>
            <w:shd w:val="clear" w:color="auto" w:fill="auto"/>
          </w:tcPr>
          <w:p w14:paraId="4F74B0FF" w14:textId="7457C5ED" w:rsidR="00603B48" w:rsidRPr="00603B48" w:rsidRDefault="00733939" w:rsidP="00595343">
            <w:pPr>
              <w:spacing w:before="60" w:after="60" w:line="276" w:lineRule="auto"/>
              <w:rPr>
                <w:rFonts w:cs="Times New Roman"/>
                <w:bCs/>
                <w:szCs w:val="24"/>
              </w:rPr>
            </w:pPr>
            <w:r w:rsidRPr="00815DF6">
              <w:rPr>
                <w:rFonts w:cs="Times New Roman"/>
                <w:bCs/>
                <w:szCs w:val="24"/>
              </w:rPr>
              <w:t>The cost of running SORMAS is unclear and difficult to budget for. This is driven in part by the complexities of managing administrative needs with quick outbreak response.</w:t>
            </w:r>
          </w:p>
        </w:tc>
        <w:tc>
          <w:tcPr>
            <w:tcW w:w="2502" w:type="pct"/>
            <w:gridSpan w:val="3"/>
            <w:tcBorders>
              <w:top w:val="single" w:sz="4" w:space="0" w:color="auto"/>
              <w:left w:val="single" w:sz="4" w:space="0" w:color="auto"/>
              <w:bottom w:val="single" w:sz="4" w:space="0" w:color="auto"/>
              <w:right w:val="single" w:sz="4" w:space="0" w:color="auto"/>
            </w:tcBorders>
            <w:shd w:val="clear" w:color="auto" w:fill="auto"/>
          </w:tcPr>
          <w:p w14:paraId="4AB71395" w14:textId="79D20639" w:rsidR="00603B48" w:rsidRPr="00603B48" w:rsidRDefault="00733939" w:rsidP="00595343">
            <w:pPr>
              <w:spacing w:before="60" w:after="60" w:line="276" w:lineRule="auto"/>
              <w:rPr>
                <w:rFonts w:cs="Times New Roman"/>
                <w:bCs/>
                <w:szCs w:val="24"/>
              </w:rPr>
            </w:pPr>
            <w:r w:rsidRPr="00815DF6">
              <w:rPr>
                <w:rFonts w:cs="Times New Roman"/>
                <w:bCs/>
                <w:szCs w:val="24"/>
              </w:rPr>
              <w:t>SORMAS in Nigeria depends on donor funding, particularly from GIZ, which could pose challenges to long-term stability if donor priorities shift.</w:t>
            </w:r>
          </w:p>
        </w:tc>
      </w:tr>
      <w:tr w:rsidR="00603B48" w:rsidRPr="00603B48" w14:paraId="29B171B1"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778C9" w14:textId="25259D4B" w:rsidR="00603B48" w:rsidRPr="00603B48" w:rsidRDefault="00603B48" w:rsidP="00595343">
            <w:pPr>
              <w:spacing w:before="60" w:after="60" w:line="276" w:lineRule="auto"/>
              <w:rPr>
                <w:rFonts w:cs="Times New Roman"/>
                <w:szCs w:val="24"/>
              </w:rPr>
            </w:pPr>
            <w:r w:rsidRPr="00603B48">
              <w:rPr>
                <w:rFonts w:cs="Times New Roman"/>
                <w:bCs/>
                <w:szCs w:val="24"/>
              </w:rPr>
              <w:t xml:space="preserve">Area 4: </w:t>
            </w:r>
            <w:r w:rsidR="00330AF1" w:rsidRPr="000C126A">
              <w:rPr>
                <w:rFonts w:cs="Times New Roman"/>
                <w:bCs/>
                <w:szCs w:val="24"/>
              </w:rPr>
              <w:t>Technology</w:t>
            </w:r>
            <w:r w:rsidR="00330AF1" w:rsidRPr="00330AF1">
              <w:rPr>
                <w:rFonts w:cs="Times New Roman"/>
                <w:bCs/>
                <w:szCs w:val="24"/>
              </w:rPr>
              <w:t xml:space="preserve"> and</w:t>
            </w:r>
            <w:r w:rsidR="00330AF1" w:rsidRPr="000C126A">
              <w:rPr>
                <w:rFonts w:cs="Times New Roman"/>
                <w:bCs/>
                <w:szCs w:val="24"/>
              </w:rPr>
              <w:t xml:space="preserve"> </w:t>
            </w:r>
            <w:r w:rsidR="00330AF1" w:rsidRPr="00330AF1">
              <w:rPr>
                <w:rFonts w:cs="Times New Roman"/>
                <w:bCs/>
                <w:szCs w:val="24"/>
              </w:rPr>
              <w:t>a</w:t>
            </w:r>
            <w:r w:rsidR="00330AF1" w:rsidRPr="000C126A">
              <w:rPr>
                <w:rFonts w:cs="Times New Roman"/>
                <w:bCs/>
                <w:szCs w:val="24"/>
              </w:rPr>
              <w:t>rchitecture</w:t>
            </w:r>
          </w:p>
        </w:tc>
      </w:tr>
      <w:tr w:rsidR="00603B48" w:rsidRPr="00603B48" w14:paraId="7FB61CCD"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757" w:type="pct"/>
            <w:gridSpan w:val="4"/>
            <w:tcBorders>
              <w:top w:val="nil"/>
              <w:left w:val="single" w:sz="4" w:space="0" w:color="auto"/>
              <w:bottom w:val="single" w:sz="4" w:space="0" w:color="auto"/>
              <w:right w:val="single" w:sz="4" w:space="0" w:color="auto"/>
            </w:tcBorders>
            <w:shd w:val="clear" w:color="auto" w:fill="auto"/>
            <w:hideMark/>
          </w:tcPr>
          <w:p w14:paraId="17634F65"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Data</w:t>
            </w:r>
          </w:p>
        </w:tc>
        <w:tc>
          <w:tcPr>
            <w:tcW w:w="1577" w:type="pct"/>
            <w:gridSpan w:val="5"/>
            <w:tcBorders>
              <w:top w:val="nil"/>
              <w:left w:val="nil"/>
              <w:bottom w:val="single" w:sz="4" w:space="0" w:color="auto"/>
              <w:right w:val="single" w:sz="4" w:space="0" w:color="auto"/>
            </w:tcBorders>
            <w:shd w:val="clear" w:color="auto" w:fill="auto"/>
            <w:hideMark/>
          </w:tcPr>
          <w:p w14:paraId="57E9A317"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hideMark/>
          </w:tcPr>
          <w:p w14:paraId="39229B8C"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 xml:space="preserve">Adaptability </w:t>
            </w:r>
          </w:p>
        </w:tc>
      </w:tr>
      <w:tr w:rsidR="00603B48" w:rsidRPr="00603B48" w14:paraId="3F03E6AB"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1757" w:type="pct"/>
            <w:gridSpan w:val="4"/>
            <w:tcBorders>
              <w:top w:val="nil"/>
              <w:left w:val="single" w:sz="4" w:space="0" w:color="auto"/>
              <w:bottom w:val="single" w:sz="4" w:space="0" w:color="auto"/>
              <w:right w:val="single" w:sz="4" w:space="0" w:color="auto"/>
            </w:tcBorders>
            <w:shd w:val="clear" w:color="auto" w:fill="auto"/>
            <w:hideMark/>
          </w:tcPr>
          <w:p w14:paraId="087BE79A" w14:textId="7A8976CE" w:rsidR="00603B48" w:rsidRPr="00603B48" w:rsidRDefault="00733939" w:rsidP="00595343">
            <w:pPr>
              <w:spacing w:before="60" w:after="60" w:line="276" w:lineRule="auto"/>
              <w:rPr>
                <w:rFonts w:cs="Times New Roman"/>
                <w:bCs/>
                <w:szCs w:val="24"/>
              </w:rPr>
            </w:pPr>
            <w:r w:rsidRPr="00815DF6">
              <w:rPr>
                <w:rFonts w:cs="Times New Roman"/>
                <w:bCs/>
                <w:szCs w:val="24"/>
              </w:rPr>
              <w:t>A nationally owned data store is mandated. Early on, SORMAS lacked high-quality data protections, but this is shifting with the implementation of SORMAS in Europe, driving increased data security for all implementations.</w:t>
            </w:r>
          </w:p>
        </w:tc>
        <w:tc>
          <w:tcPr>
            <w:tcW w:w="1577" w:type="pct"/>
            <w:gridSpan w:val="5"/>
            <w:tcBorders>
              <w:top w:val="nil"/>
              <w:left w:val="nil"/>
              <w:bottom w:val="single" w:sz="4" w:space="0" w:color="auto"/>
              <w:right w:val="single" w:sz="4" w:space="0" w:color="auto"/>
            </w:tcBorders>
            <w:shd w:val="clear" w:color="auto" w:fill="auto"/>
            <w:hideMark/>
          </w:tcPr>
          <w:p w14:paraId="1470ADA1" w14:textId="410F0B26" w:rsidR="00603B48" w:rsidRPr="00603B48" w:rsidRDefault="00733939" w:rsidP="00595343">
            <w:pPr>
              <w:spacing w:before="60" w:after="60" w:line="276" w:lineRule="auto"/>
              <w:rPr>
                <w:rFonts w:cs="Times New Roman"/>
                <w:bCs/>
                <w:szCs w:val="24"/>
              </w:rPr>
            </w:pPr>
            <w:r w:rsidRPr="00815DF6">
              <w:rPr>
                <w:rFonts w:cs="Times New Roman"/>
                <w:bCs/>
                <w:szCs w:val="24"/>
              </w:rPr>
              <w:t xml:space="preserve">SORMAS interacts both with systems at the country level (e.g., District Health Information Software 2 [DHIS2] and Logistics Management Systems [LMIS]) and allows for easier data sharing at the regional level (e.g., West African Health </w:t>
            </w:r>
            <w:r w:rsidRPr="00815DF6">
              <w:rPr>
                <w:rFonts w:cs="Times New Roman"/>
                <w:bCs/>
                <w:szCs w:val="24"/>
              </w:rPr>
              <w:lastRenderedPageBreak/>
              <w:t>Organization). It is compatible with other country epidemiological data systems like the electronic Integrated Disease Surveillance and Response system.</w:t>
            </w:r>
          </w:p>
        </w:tc>
        <w:tc>
          <w:tcPr>
            <w:tcW w:w="1666" w:type="pct"/>
            <w:gridSpan w:val="2"/>
            <w:tcBorders>
              <w:top w:val="nil"/>
              <w:left w:val="nil"/>
              <w:bottom w:val="single" w:sz="4" w:space="0" w:color="auto"/>
              <w:right w:val="single" w:sz="4" w:space="0" w:color="auto"/>
            </w:tcBorders>
            <w:shd w:val="clear" w:color="auto" w:fill="auto"/>
            <w:hideMark/>
          </w:tcPr>
          <w:p w14:paraId="41C1B32F" w14:textId="064A345E" w:rsidR="00603B48" w:rsidRPr="00603B48" w:rsidRDefault="00733939" w:rsidP="00595343">
            <w:pPr>
              <w:spacing w:before="60" w:after="60" w:line="276" w:lineRule="auto"/>
              <w:rPr>
                <w:rFonts w:cs="Times New Roman"/>
                <w:bCs/>
                <w:szCs w:val="24"/>
              </w:rPr>
            </w:pPr>
            <w:r w:rsidRPr="00815DF6">
              <w:rPr>
                <w:rFonts w:cs="Times New Roman"/>
                <w:bCs/>
                <w:szCs w:val="24"/>
              </w:rPr>
              <w:lastRenderedPageBreak/>
              <w:t>SORMAS has demonstrated the ability to quickly include new disease modules as needed (e.g., the COVID-19 module was available in January</w:t>
            </w:r>
            <w:r w:rsidR="009450EE">
              <w:rPr>
                <w:rFonts w:cs="Times New Roman"/>
                <w:bCs/>
                <w:szCs w:val="24"/>
              </w:rPr>
              <w:t xml:space="preserve"> 2020</w:t>
            </w:r>
            <w:r w:rsidRPr="00815DF6">
              <w:rPr>
                <w:rFonts w:cs="Times New Roman"/>
                <w:bCs/>
                <w:szCs w:val="24"/>
              </w:rPr>
              <w:t>) and to function across different devices.</w:t>
            </w:r>
          </w:p>
        </w:tc>
      </w:tr>
      <w:tr w:rsidR="00603B48" w:rsidRPr="00603B48" w14:paraId="23699542"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50ABC" w14:textId="77777777" w:rsidR="00603B48" w:rsidRPr="00603B48" w:rsidRDefault="00603B48" w:rsidP="00595343">
            <w:pPr>
              <w:spacing w:before="60" w:after="60" w:line="276" w:lineRule="auto"/>
              <w:rPr>
                <w:rFonts w:cs="Times New Roman"/>
                <w:szCs w:val="24"/>
              </w:rPr>
            </w:pPr>
            <w:r w:rsidRPr="00603B48">
              <w:rPr>
                <w:rFonts w:cs="Times New Roman"/>
                <w:bCs/>
                <w:szCs w:val="24"/>
              </w:rPr>
              <w:t>Area 5: Operations</w:t>
            </w:r>
          </w:p>
        </w:tc>
      </w:tr>
      <w:tr w:rsidR="00815DF6" w:rsidRPr="00603B48" w14:paraId="23C674FC"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202" w:type="pct"/>
            <w:gridSpan w:val="2"/>
            <w:tcBorders>
              <w:top w:val="nil"/>
              <w:left w:val="single" w:sz="4" w:space="0" w:color="auto"/>
              <w:bottom w:val="single" w:sz="4" w:space="0" w:color="auto"/>
              <w:right w:val="single" w:sz="4" w:space="0" w:color="auto"/>
            </w:tcBorders>
            <w:shd w:val="clear" w:color="auto" w:fill="auto"/>
            <w:hideMark/>
          </w:tcPr>
          <w:p w14:paraId="248FB8FB"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Personnel</w:t>
            </w:r>
          </w:p>
        </w:tc>
        <w:tc>
          <w:tcPr>
            <w:tcW w:w="1296" w:type="pct"/>
            <w:gridSpan w:val="6"/>
            <w:tcBorders>
              <w:top w:val="nil"/>
              <w:left w:val="nil"/>
              <w:bottom w:val="single" w:sz="4" w:space="0" w:color="auto"/>
              <w:right w:val="single" w:sz="4" w:space="0" w:color="auto"/>
            </w:tcBorders>
            <w:shd w:val="clear" w:color="auto" w:fill="auto"/>
            <w:hideMark/>
          </w:tcPr>
          <w:p w14:paraId="38B82AE8" w14:textId="2A5AD271" w:rsidR="00603B48" w:rsidRPr="00603B48" w:rsidRDefault="00130E35" w:rsidP="00595343">
            <w:pPr>
              <w:spacing w:before="60" w:after="60" w:line="276" w:lineRule="auto"/>
              <w:rPr>
                <w:rFonts w:cs="Times New Roman"/>
                <w:i/>
                <w:iCs/>
                <w:szCs w:val="24"/>
              </w:rPr>
            </w:pPr>
            <w:r w:rsidRPr="00130E35">
              <w:rPr>
                <w:rFonts w:cs="Times New Roman"/>
                <w:bCs/>
                <w:i/>
                <w:iCs/>
                <w:szCs w:val="24"/>
              </w:rPr>
              <w:t>Training and support</w:t>
            </w:r>
          </w:p>
        </w:tc>
        <w:tc>
          <w:tcPr>
            <w:tcW w:w="1250" w:type="pct"/>
            <w:gridSpan w:val="2"/>
            <w:tcBorders>
              <w:top w:val="nil"/>
              <w:left w:val="nil"/>
              <w:bottom w:val="single" w:sz="4" w:space="0" w:color="auto"/>
              <w:right w:val="single" w:sz="4" w:space="0" w:color="auto"/>
            </w:tcBorders>
            <w:shd w:val="clear" w:color="auto" w:fill="auto"/>
            <w:hideMark/>
          </w:tcPr>
          <w:p w14:paraId="0C52E931" w14:textId="5F83262C" w:rsidR="00603B48" w:rsidRPr="00603B48" w:rsidRDefault="00130E35" w:rsidP="00595343">
            <w:pPr>
              <w:spacing w:before="60" w:after="60" w:line="276" w:lineRule="auto"/>
              <w:rPr>
                <w:rFonts w:cs="Times New Roman"/>
                <w:i/>
                <w:iCs/>
                <w:szCs w:val="24"/>
              </w:rPr>
            </w:pPr>
            <w:r w:rsidRPr="00232EF6">
              <w:rPr>
                <w:rFonts w:cs="Times New Roman"/>
                <w:bCs/>
                <w:i/>
                <w:iCs/>
                <w:szCs w:val="24"/>
              </w:rPr>
              <w:t>Outreach</w:t>
            </w:r>
            <w:r w:rsidRPr="00130E35">
              <w:rPr>
                <w:rFonts w:cs="Times New Roman"/>
                <w:bCs/>
                <w:i/>
                <w:iCs/>
                <w:szCs w:val="24"/>
              </w:rPr>
              <w:t xml:space="preserve"> and s</w:t>
            </w:r>
            <w:r w:rsidRPr="00232EF6">
              <w:rPr>
                <w:rFonts w:cs="Times New Roman"/>
                <w:bCs/>
                <w:i/>
                <w:iCs/>
                <w:szCs w:val="24"/>
              </w:rPr>
              <w:t>ensitization</w:t>
            </w:r>
          </w:p>
        </w:tc>
        <w:tc>
          <w:tcPr>
            <w:tcW w:w="1252" w:type="pct"/>
            <w:tcBorders>
              <w:top w:val="nil"/>
              <w:left w:val="nil"/>
              <w:bottom w:val="single" w:sz="4" w:space="0" w:color="auto"/>
              <w:right w:val="single" w:sz="4" w:space="0" w:color="auto"/>
            </w:tcBorders>
            <w:shd w:val="clear" w:color="auto" w:fill="auto"/>
            <w:hideMark/>
          </w:tcPr>
          <w:p w14:paraId="63C8A749" w14:textId="47E5CA6E" w:rsidR="00603B48" w:rsidRPr="00603B48" w:rsidRDefault="00130E35" w:rsidP="00595343">
            <w:pPr>
              <w:spacing w:before="60" w:after="60" w:line="276" w:lineRule="auto"/>
              <w:rPr>
                <w:rFonts w:cs="Times New Roman"/>
                <w:i/>
                <w:iCs/>
                <w:szCs w:val="24"/>
              </w:rPr>
            </w:pPr>
            <w:r w:rsidRPr="00130E35">
              <w:rPr>
                <w:rFonts w:cs="Times New Roman"/>
                <w:bCs/>
                <w:i/>
                <w:iCs/>
                <w:szCs w:val="24"/>
              </w:rPr>
              <w:t>Contingency planning</w:t>
            </w:r>
          </w:p>
        </w:tc>
      </w:tr>
      <w:tr w:rsidR="00815DF6" w:rsidRPr="00603B48" w14:paraId="70CEDCA4"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202" w:type="pct"/>
            <w:gridSpan w:val="2"/>
            <w:tcBorders>
              <w:top w:val="nil"/>
              <w:left w:val="single" w:sz="4" w:space="0" w:color="auto"/>
              <w:bottom w:val="single" w:sz="4" w:space="0" w:color="auto"/>
              <w:right w:val="single" w:sz="4" w:space="0" w:color="auto"/>
            </w:tcBorders>
            <w:shd w:val="clear" w:color="auto" w:fill="auto"/>
            <w:hideMark/>
          </w:tcPr>
          <w:p w14:paraId="0F82BCBE" w14:textId="4AF10A71" w:rsidR="00603B48" w:rsidRPr="00603B48" w:rsidRDefault="00733939" w:rsidP="00595343">
            <w:pPr>
              <w:spacing w:before="60" w:after="60" w:line="276" w:lineRule="auto"/>
              <w:rPr>
                <w:rFonts w:cs="Times New Roman"/>
                <w:szCs w:val="24"/>
              </w:rPr>
            </w:pPr>
            <w:r w:rsidRPr="00815DF6">
              <w:rPr>
                <w:rFonts w:cs="Times New Roman"/>
                <w:szCs w:val="24"/>
              </w:rPr>
              <w:t>The NCDC primarily runs SORMAS, with support from HZI. In times of major outbreaks, gaps in staffing lead to challenges in managing national-level surveillance.</w:t>
            </w:r>
          </w:p>
        </w:tc>
        <w:tc>
          <w:tcPr>
            <w:tcW w:w="1296" w:type="pct"/>
            <w:gridSpan w:val="6"/>
            <w:tcBorders>
              <w:top w:val="nil"/>
              <w:left w:val="nil"/>
              <w:bottom w:val="single" w:sz="4" w:space="0" w:color="auto"/>
              <w:right w:val="single" w:sz="4" w:space="0" w:color="auto"/>
            </w:tcBorders>
            <w:shd w:val="clear" w:color="auto" w:fill="auto"/>
            <w:hideMark/>
          </w:tcPr>
          <w:p w14:paraId="258F8CA8" w14:textId="1FA7FC74" w:rsidR="00603B48" w:rsidRPr="00603B48" w:rsidRDefault="00733939" w:rsidP="00595343">
            <w:pPr>
              <w:spacing w:before="60" w:after="60" w:line="276" w:lineRule="auto"/>
              <w:rPr>
                <w:rFonts w:cs="Times New Roman"/>
                <w:szCs w:val="24"/>
              </w:rPr>
            </w:pPr>
            <w:r w:rsidRPr="00815DF6">
              <w:rPr>
                <w:rFonts w:cs="Times New Roman"/>
                <w:szCs w:val="24"/>
              </w:rPr>
              <w:t>Online training modules are available for users, and in-person training is typically provided. Some challenges exist in reaching people during the COVID-19 pandemic and getting full participation.</w:t>
            </w:r>
          </w:p>
        </w:tc>
        <w:tc>
          <w:tcPr>
            <w:tcW w:w="1250" w:type="pct"/>
            <w:gridSpan w:val="2"/>
            <w:tcBorders>
              <w:top w:val="nil"/>
              <w:left w:val="nil"/>
              <w:bottom w:val="single" w:sz="4" w:space="0" w:color="auto"/>
              <w:right w:val="single" w:sz="4" w:space="0" w:color="auto"/>
            </w:tcBorders>
            <w:shd w:val="clear" w:color="auto" w:fill="auto"/>
            <w:hideMark/>
          </w:tcPr>
          <w:p w14:paraId="0F13D563" w14:textId="2A20ABB3" w:rsidR="00603B48" w:rsidRPr="00603B48" w:rsidRDefault="00733939" w:rsidP="00595343">
            <w:pPr>
              <w:spacing w:before="60" w:after="60" w:line="276" w:lineRule="auto"/>
              <w:rPr>
                <w:rFonts w:cs="Times New Roman"/>
                <w:szCs w:val="24"/>
              </w:rPr>
            </w:pPr>
            <w:r w:rsidRPr="00815DF6">
              <w:rPr>
                <w:rFonts w:cs="Times New Roman"/>
                <w:szCs w:val="24"/>
              </w:rPr>
              <w:t>The development team engaged with different groups throughout the development process.</w:t>
            </w:r>
          </w:p>
        </w:tc>
        <w:tc>
          <w:tcPr>
            <w:tcW w:w="1252" w:type="pct"/>
            <w:tcBorders>
              <w:top w:val="nil"/>
              <w:left w:val="nil"/>
              <w:bottom w:val="single" w:sz="4" w:space="0" w:color="auto"/>
              <w:right w:val="single" w:sz="4" w:space="0" w:color="auto"/>
            </w:tcBorders>
            <w:shd w:val="clear" w:color="auto" w:fill="auto"/>
            <w:hideMark/>
          </w:tcPr>
          <w:p w14:paraId="06EDEDF7" w14:textId="7E6681F1" w:rsidR="00603B48" w:rsidRPr="00603B48" w:rsidRDefault="00733939" w:rsidP="00595343">
            <w:pPr>
              <w:spacing w:before="60" w:after="60" w:line="276" w:lineRule="auto"/>
              <w:rPr>
                <w:rFonts w:cs="Times New Roman"/>
                <w:szCs w:val="24"/>
              </w:rPr>
            </w:pPr>
            <w:r w:rsidRPr="00815DF6">
              <w:rPr>
                <w:rFonts w:cs="Times New Roman"/>
                <w:szCs w:val="24"/>
              </w:rPr>
              <w:t>The app can be used offline on mobile devices, but there is limited information on broad engagement with the private sector to mitigate costs of data and internet access.</w:t>
            </w:r>
          </w:p>
        </w:tc>
      </w:tr>
      <w:tr w:rsidR="00603B48" w:rsidRPr="00603B48" w14:paraId="7A20D155"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37D75" w14:textId="70661CEC" w:rsidR="00603B48" w:rsidRPr="00603B48" w:rsidRDefault="00603B48" w:rsidP="00595343">
            <w:pPr>
              <w:spacing w:before="60" w:after="60" w:line="276" w:lineRule="auto"/>
              <w:rPr>
                <w:rFonts w:cs="Times New Roman"/>
                <w:szCs w:val="24"/>
              </w:rPr>
            </w:pPr>
            <w:r w:rsidRPr="00603B48">
              <w:rPr>
                <w:rFonts w:cs="Times New Roman"/>
                <w:bCs/>
                <w:szCs w:val="24"/>
              </w:rPr>
              <w:t xml:space="preserve">Area 6: </w:t>
            </w:r>
            <w:r w:rsidR="00330AF1" w:rsidRPr="00330AF1">
              <w:rPr>
                <w:rFonts w:cs="Times New Roman"/>
                <w:bCs/>
                <w:szCs w:val="24"/>
              </w:rPr>
              <w:t>Monitoring and evaluation</w:t>
            </w:r>
          </w:p>
        </w:tc>
      </w:tr>
      <w:tr w:rsidR="00603B48" w:rsidRPr="00603B48" w14:paraId="1914C449"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98" w:type="pct"/>
            <w:gridSpan w:val="8"/>
            <w:tcBorders>
              <w:top w:val="nil"/>
              <w:left w:val="single" w:sz="4" w:space="0" w:color="auto"/>
              <w:bottom w:val="single" w:sz="4" w:space="0" w:color="auto"/>
              <w:right w:val="single" w:sz="4" w:space="0" w:color="auto"/>
            </w:tcBorders>
            <w:shd w:val="clear" w:color="auto" w:fill="auto"/>
            <w:hideMark/>
          </w:tcPr>
          <w:p w14:paraId="580BB64B"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Process monitoring</w:t>
            </w:r>
          </w:p>
        </w:tc>
        <w:tc>
          <w:tcPr>
            <w:tcW w:w="2502" w:type="pct"/>
            <w:gridSpan w:val="3"/>
            <w:tcBorders>
              <w:top w:val="nil"/>
              <w:left w:val="nil"/>
              <w:bottom w:val="single" w:sz="4" w:space="0" w:color="auto"/>
              <w:right w:val="single" w:sz="4" w:space="0" w:color="auto"/>
            </w:tcBorders>
            <w:shd w:val="clear" w:color="auto" w:fill="auto"/>
            <w:hideMark/>
          </w:tcPr>
          <w:p w14:paraId="545D445F" w14:textId="77777777" w:rsidR="00603B48" w:rsidRPr="00603B48" w:rsidRDefault="00603B48" w:rsidP="00595343">
            <w:pPr>
              <w:spacing w:before="60" w:after="60" w:line="276" w:lineRule="auto"/>
              <w:rPr>
                <w:rFonts w:cs="Times New Roman"/>
                <w:i/>
                <w:iCs/>
                <w:szCs w:val="24"/>
              </w:rPr>
            </w:pPr>
            <w:r w:rsidRPr="00603B48">
              <w:rPr>
                <w:rFonts w:cs="Times New Roman"/>
                <w:bCs/>
                <w:i/>
                <w:iCs/>
                <w:szCs w:val="24"/>
              </w:rPr>
              <w:t xml:space="preserve">Evaluation </w:t>
            </w:r>
          </w:p>
        </w:tc>
      </w:tr>
      <w:tr w:rsidR="00603B48" w:rsidRPr="00603B48" w14:paraId="06B41EF0" w14:textId="77777777" w:rsidTr="00C9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2498" w:type="pct"/>
            <w:gridSpan w:val="8"/>
            <w:tcBorders>
              <w:top w:val="nil"/>
              <w:left w:val="single" w:sz="4" w:space="0" w:color="auto"/>
              <w:bottom w:val="single" w:sz="4" w:space="0" w:color="auto"/>
              <w:right w:val="single" w:sz="4" w:space="0" w:color="auto"/>
            </w:tcBorders>
            <w:shd w:val="clear" w:color="auto" w:fill="auto"/>
            <w:hideMark/>
          </w:tcPr>
          <w:p w14:paraId="4CBADAD8" w14:textId="515B8582" w:rsidR="00603B48" w:rsidRPr="00603B48" w:rsidRDefault="00232EF6" w:rsidP="00595343">
            <w:pPr>
              <w:spacing w:before="60" w:after="60" w:line="276" w:lineRule="auto"/>
              <w:rPr>
                <w:rFonts w:cs="Times New Roman"/>
                <w:szCs w:val="24"/>
              </w:rPr>
            </w:pPr>
            <w:r w:rsidRPr="00815DF6">
              <w:rPr>
                <w:rFonts w:cs="Times New Roman"/>
                <w:szCs w:val="24"/>
              </w:rPr>
              <w:t xml:space="preserve">Workflows are clearly </w:t>
            </w:r>
            <w:proofErr w:type="gramStart"/>
            <w:r w:rsidRPr="00815DF6">
              <w:rPr>
                <w:rFonts w:cs="Times New Roman"/>
                <w:szCs w:val="24"/>
              </w:rPr>
              <w:t>defined</w:t>
            </w:r>
            <w:proofErr w:type="gramEnd"/>
            <w:r w:rsidRPr="00815DF6">
              <w:rPr>
                <w:rFonts w:cs="Times New Roman"/>
                <w:szCs w:val="24"/>
              </w:rPr>
              <w:t xml:space="preserve"> and data inputs are evaluated. Internal efforts have attempted to assess and improve data collection, but evaluations have been deprioritized due to the COVID-19 pandemic response.</w:t>
            </w:r>
          </w:p>
        </w:tc>
        <w:tc>
          <w:tcPr>
            <w:tcW w:w="2502" w:type="pct"/>
            <w:gridSpan w:val="3"/>
            <w:tcBorders>
              <w:top w:val="nil"/>
              <w:left w:val="nil"/>
              <w:bottom w:val="single" w:sz="4" w:space="0" w:color="auto"/>
              <w:right w:val="single" w:sz="4" w:space="0" w:color="auto"/>
            </w:tcBorders>
            <w:shd w:val="clear" w:color="auto" w:fill="auto"/>
            <w:hideMark/>
          </w:tcPr>
          <w:p w14:paraId="376A5E65" w14:textId="35896B0E" w:rsidR="00603B48" w:rsidRPr="00603B48" w:rsidRDefault="00232EF6" w:rsidP="00595343">
            <w:pPr>
              <w:spacing w:before="60" w:after="60" w:line="276" w:lineRule="auto"/>
              <w:rPr>
                <w:rFonts w:cs="Times New Roman"/>
                <w:szCs w:val="24"/>
              </w:rPr>
            </w:pPr>
            <w:r w:rsidRPr="00815DF6">
              <w:rPr>
                <w:rFonts w:cs="Times New Roman"/>
                <w:szCs w:val="24"/>
              </w:rPr>
              <w:t>Multiple evaluations were conducted before the COVID-19 pandemic. HZI and GIZ have documented and shared efforts widely. Ongoing efforts intend to expand operational research</w:t>
            </w:r>
            <w:r w:rsidR="00975BCE">
              <w:rPr>
                <w:rFonts w:cs="Times New Roman"/>
                <w:szCs w:val="24"/>
              </w:rPr>
              <w:t>.</w:t>
            </w:r>
          </w:p>
        </w:tc>
      </w:tr>
      <w:tr w:rsidR="00232EF6" w:rsidRPr="00232EF6" w14:paraId="5FABE313" w14:textId="77777777" w:rsidTr="000D1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CCA8061" w14:textId="42076DEE" w:rsidR="00232EF6" w:rsidRPr="00232EF6" w:rsidRDefault="00232EF6" w:rsidP="00595343">
            <w:pPr>
              <w:spacing w:before="60" w:after="60" w:line="276" w:lineRule="auto"/>
              <w:jc w:val="center"/>
              <w:rPr>
                <w:rFonts w:cs="Times New Roman"/>
                <w:b/>
                <w:szCs w:val="24"/>
              </w:rPr>
            </w:pPr>
            <w:proofErr w:type="spellStart"/>
            <w:r w:rsidRPr="00815DF6">
              <w:rPr>
                <w:rFonts w:cs="Times New Roman"/>
                <w:b/>
                <w:szCs w:val="24"/>
              </w:rPr>
              <w:t>HealthConnect</w:t>
            </w:r>
            <w:proofErr w:type="spellEnd"/>
            <w:r w:rsidRPr="00815DF6">
              <w:rPr>
                <w:rFonts w:cs="Times New Roman"/>
                <w:b/>
                <w:szCs w:val="24"/>
              </w:rPr>
              <w:t xml:space="preserve"> (South Africa)</w:t>
            </w:r>
          </w:p>
        </w:tc>
      </w:tr>
      <w:tr w:rsidR="00232EF6" w:rsidRPr="00232EF6" w14:paraId="2A5B9B94"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347F0" w14:textId="77777777" w:rsidR="00232EF6" w:rsidRPr="00232EF6" w:rsidRDefault="00232EF6" w:rsidP="00595343">
            <w:pPr>
              <w:spacing w:before="60" w:after="60" w:line="276" w:lineRule="auto"/>
              <w:rPr>
                <w:rFonts w:cs="Times New Roman"/>
                <w:bCs/>
                <w:szCs w:val="24"/>
              </w:rPr>
            </w:pPr>
            <w:r w:rsidRPr="00232EF6">
              <w:rPr>
                <w:rFonts w:cs="Times New Roman"/>
                <w:bCs/>
                <w:szCs w:val="24"/>
              </w:rPr>
              <w:t>Area 1: Groundwork</w:t>
            </w:r>
          </w:p>
        </w:tc>
      </w:tr>
      <w:tr w:rsidR="003A13C9" w:rsidRPr="003A13C9" w14:paraId="5E0C4B33" w14:textId="77777777" w:rsidTr="00CD7F2A">
        <w:trPr>
          <w:trHeight w:val="50"/>
        </w:trPr>
        <w:tc>
          <w:tcPr>
            <w:tcW w:w="1804" w:type="pct"/>
            <w:gridSpan w:val="5"/>
            <w:shd w:val="clear" w:color="auto" w:fill="auto"/>
            <w:hideMark/>
          </w:tcPr>
          <w:p w14:paraId="519C54F6"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Parameters of scale</w:t>
            </w:r>
          </w:p>
        </w:tc>
        <w:tc>
          <w:tcPr>
            <w:tcW w:w="1530" w:type="pct"/>
            <w:gridSpan w:val="4"/>
            <w:shd w:val="clear" w:color="auto" w:fill="auto"/>
            <w:hideMark/>
          </w:tcPr>
          <w:p w14:paraId="7574404C"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Contextual environment</w:t>
            </w:r>
          </w:p>
        </w:tc>
        <w:tc>
          <w:tcPr>
            <w:tcW w:w="1666" w:type="pct"/>
            <w:gridSpan w:val="2"/>
            <w:shd w:val="clear" w:color="auto" w:fill="auto"/>
            <w:hideMark/>
          </w:tcPr>
          <w:p w14:paraId="07D3A923"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Scientific basis</w:t>
            </w:r>
          </w:p>
        </w:tc>
      </w:tr>
      <w:tr w:rsidR="00CD7F2A" w:rsidRPr="00232EF6" w14:paraId="629249FC" w14:textId="77777777" w:rsidTr="00CD7F2A">
        <w:trPr>
          <w:trHeight w:val="50"/>
        </w:trPr>
        <w:tc>
          <w:tcPr>
            <w:tcW w:w="1804" w:type="pct"/>
            <w:gridSpan w:val="5"/>
            <w:shd w:val="clear" w:color="auto" w:fill="auto"/>
          </w:tcPr>
          <w:p w14:paraId="7C1CFA0B" w14:textId="0F70251B" w:rsidR="00232EF6" w:rsidRPr="00232EF6" w:rsidRDefault="00232EF6" w:rsidP="00595343">
            <w:pPr>
              <w:spacing w:before="60" w:after="60" w:line="276" w:lineRule="auto"/>
              <w:rPr>
                <w:rFonts w:cs="Times New Roman"/>
                <w:bCs/>
                <w:szCs w:val="24"/>
              </w:rPr>
            </w:pPr>
            <w:r w:rsidRPr="00815DF6">
              <w:rPr>
                <w:rFonts w:cs="Times New Roman"/>
                <w:bCs/>
                <w:szCs w:val="24"/>
              </w:rPr>
              <w:t xml:space="preserve">The goal of </w:t>
            </w:r>
            <w:proofErr w:type="spellStart"/>
            <w:r w:rsidRPr="00815DF6">
              <w:rPr>
                <w:rFonts w:cs="Times New Roman"/>
                <w:bCs/>
                <w:szCs w:val="24"/>
              </w:rPr>
              <w:t>HealthConnect</w:t>
            </w:r>
            <w:proofErr w:type="spellEnd"/>
            <w:r w:rsidRPr="00815DF6">
              <w:rPr>
                <w:rFonts w:cs="Times New Roman"/>
                <w:bCs/>
                <w:szCs w:val="24"/>
              </w:rPr>
              <w:t xml:space="preserve"> was to build an information platform for South Africa</w:t>
            </w:r>
            <w:r w:rsidR="005870AD">
              <w:rPr>
                <w:rFonts w:cs="Times New Roman"/>
                <w:bCs/>
                <w:szCs w:val="24"/>
              </w:rPr>
              <w:t>’</w:t>
            </w:r>
            <w:r w:rsidRPr="00815DF6">
              <w:rPr>
                <w:rFonts w:cs="Times New Roman"/>
                <w:bCs/>
                <w:szCs w:val="24"/>
              </w:rPr>
              <w:t>s citizens. Over time, the parameters changed to adapt to the changing state of the COVID-19 pandemic.</w:t>
            </w:r>
          </w:p>
        </w:tc>
        <w:tc>
          <w:tcPr>
            <w:tcW w:w="1530" w:type="pct"/>
            <w:gridSpan w:val="4"/>
            <w:shd w:val="clear" w:color="auto" w:fill="auto"/>
          </w:tcPr>
          <w:p w14:paraId="7EB17400" w14:textId="70F69CEC" w:rsidR="00232EF6" w:rsidRPr="00232EF6" w:rsidRDefault="00232EF6" w:rsidP="00595343">
            <w:pPr>
              <w:spacing w:before="60" w:after="60" w:line="276" w:lineRule="auto"/>
              <w:rPr>
                <w:rFonts w:cs="Times New Roman"/>
                <w:bCs/>
                <w:szCs w:val="24"/>
              </w:rPr>
            </w:pPr>
            <w:r w:rsidRPr="00815DF6">
              <w:rPr>
                <w:rFonts w:cs="Times New Roman"/>
                <w:bCs/>
                <w:szCs w:val="24"/>
              </w:rPr>
              <w:t>Given the strong partnership already in place, implementers and government stakeholders were well-versed in South Africa</w:t>
            </w:r>
            <w:r w:rsidR="005870AD">
              <w:rPr>
                <w:rFonts w:cs="Times New Roman"/>
                <w:bCs/>
                <w:szCs w:val="24"/>
              </w:rPr>
              <w:t>’</w:t>
            </w:r>
            <w:r w:rsidRPr="00815DF6">
              <w:rPr>
                <w:rFonts w:cs="Times New Roman"/>
                <w:bCs/>
                <w:szCs w:val="24"/>
              </w:rPr>
              <w:t>s digital ecosystem.</w:t>
            </w:r>
          </w:p>
        </w:tc>
        <w:tc>
          <w:tcPr>
            <w:tcW w:w="1666" w:type="pct"/>
            <w:gridSpan w:val="2"/>
            <w:shd w:val="clear" w:color="auto" w:fill="auto"/>
          </w:tcPr>
          <w:p w14:paraId="78BC1583" w14:textId="6D3CDB98" w:rsidR="00232EF6" w:rsidRPr="00232EF6" w:rsidRDefault="00232EF6" w:rsidP="00595343">
            <w:pPr>
              <w:spacing w:before="60" w:after="60" w:line="276" w:lineRule="auto"/>
              <w:rPr>
                <w:rFonts w:cs="Times New Roman"/>
                <w:bCs/>
                <w:szCs w:val="24"/>
              </w:rPr>
            </w:pPr>
            <w:r w:rsidRPr="00815DF6">
              <w:rPr>
                <w:rFonts w:cs="Times New Roman"/>
                <w:bCs/>
                <w:szCs w:val="24"/>
              </w:rPr>
              <w:t xml:space="preserve">The impact of on-demand information can be measured by uptake. However, the value of other features (e.g., </w:t>
            </w:r>
            <w:proofErr w:type="spellStart"/>
            <w:r w:rsidRPr="00815DF6">
              <w:rPr>
                <w:rFonts w:cs="Times New Roman"/>
                <w:bCs/>
                <w:szCs w:val="24"/>
              </w:rPr>
              <w:t>HealthCheck</w:t>
            </w:r>
            <w:proofErr w:type="spellEnd"/>
            <w:r w:rsidRPr="00815DF6">
              <w:rPr>
                <w:rFonts w:cs="Times New Roman"/>
                <w:bCs/>
                <w:szCs w:val="24"/>
              </w:rPr>
              <w:t>) is unknown.</w:t>
            </w:r>
          </w:p>
        </w:tc>
      </w:tr>
      <w:tr w:rsidR="00232EF6" w:rsidRPr="00232EF6" w14:paraId="5CDA72A2"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D2B14" w14:textId="77777777" w:rsidR="00232EF6" w:rsidRPr="00232EF6" w:rsidRDefault="00232EF6" w:rsidP="00595343">
            <w:pPr>
              <w:spacing w:before="60" w:after="60" w:line="276" w:lineRule="auto"/>
              <w:rPr>
                <w:rFonts w:cs="Times New Roman"/>
                <w:szCs w:val="24"/>
              </w:rPr>
            </w:pPr>
            <w:r w:rsidRPr="00232EF6">
              <w:rPr>
                <w:rFonts w:cs="Times New Roman"/>
                <w:bCs/>
                <w:szCs w:val="24"/>
              </w:rPr>
              <w:t>Area 2: Partnerships</w:t>
            </w:r>
          </w:p>
        </w:tc>
      </w:tr>
      <w:tr w:rsidR="00232EF6" w:rsidRPr="00232EF6" w14:paraId="25C4CD54"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hideMark/>
          </w:tcPr>
          <w:p w14:paraId="436C9EEC"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lastRenderedPageBreak/>
              <w:t>Strategic engagement</w:t>
            </w:r>
          </w:p>
        </w:tc>
        <w:tc>
          <w:tcPr>
            <w:tcW w:w="2594" w:type="pct"/>
            <w:gridSpan w:val="5"/>
            <w:tcBorders>
              <w:top w:val="nil"/>
              <w:left w:val="nil"/>
              <w:bottom w:val="single" w:sz="4" w:space="0" w:color="auto"/>
              <w:right w:val="single" w:sz="4" w:space="0" w:color="auto"/>
            </w:tcBorders>
            <w:shd w:val="clear" w:color="auto" w:fill="auto"/>
            <w:hideMark/>
          </w:tcPr>
          <w:p w14:paraId="3919970E"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Partnership sustainability </w:t>
            </w:r>
          </w:p>
        </w:tc>
      </w:tr>
      <w:tr w:rsidR="00232EF6" w:rsidRPr="00232EF6" w14:paraId="0FDAE79C"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tcPr>
          <w:p w14:paraId="0A05CFCF" w14:textId="56F871D4" w:rsidR="00232EF6" w:rsidRPr="00232EF6" w:rsidRDefault="00232EF6" w:rsidP="00595343">
            <w:pPr>
              <w:spacing w:before="60" w:after="60" w:line="276" w:lineRule="auto"/>
              <w:rPr>
                <w:rFonts w:cs="Times New Roman"/>
                <w:bCs/>
                <w:szCs w:val="24"/>
              </w:rPr>
            </w:pPr>
            <w:r w:rsidRPr="00815DF6">
              <w:rPr>
                <w:rFonts w:cs="Times New Roman"/>
                <w:bCs/>
                <w:szCs w:val="24"/>
              </w:rPr>
              <w:t xml:space="preserve">An existing partnership between </w:t>
            </w:r>
            <w:proofErr w:type="spellStart"/>
            <w:r w:rsidRPr="00815DF6">
              <w:rPr>
                <w:rFonts w:cs="Times New Roman"/>
                <w:bCs/>
                <w:szCs w:val="24"/>
              </w:rPr>
              <w:t>Praekelt</w:t>
            </w:r>
            <w:proofErr w:type="spellEnd"/>
            <w:r w:rsidRPr="00815DF6">
              <w:rPr>
                <w:rFonts w:cs="Times New Roman"/>
                <w:bCs/>
                <w:szCs w:val="24"/>
              </w:rPr>
              <w:t xml:space="preserve"> and the National Department of Health (NDOH) enabled quick engagement to develop a tool for COVID-19 in March 2020. Early success led to the new engagements with other government agencies (e.g., </w:t>
            </w:r>
            <w:proofErr w:type="spellStart"/>
            <w:r w:rsidRPr="00815DF6">
              <w:rPr>
                <w:rFonts w:cs="Times New Roman"/>
                <w:bCs/>
                <w:szCs w:val="24"/>
              </w:rPr>
              <w:t>HigherHealth</w:t>
            </w:r>
            <w:proofErr w:type="spellEnd"/>
            <w:r w:rsidRPr="00815DF6">
              <w:rPr>
                <w:rFonts w:cs="Times New Roman"/>
                <w:bCs/>
                <w:szCs w:val="24"/>
              </w:rPr>
              <w:t>).</w:t>
            </w:r>
          </w:p>
        </w:tc>
        <w:tc>
          <w:tcPr>
            <w:tcW w:w="2594" w:type="pct"/>
            <w:gridSpan w:val="5"/>
            <w:tcBorders>
              <w:top w:val="nil"/>
              <w:left w:val="nil"/>
              <w:bottom w:val="single" w:sz="4" w:space="0" w:color="auto"/>
              <w:right w:val="single" w:sz="4" w:space="0" w:color="auto"/>
            </w:tcBorders>
            <w:shd w:val="clear" w:color="auto" w:fill="auto"/>
          </w:tcPr>
          <w:p w14:paraId="1C01E5D5" w14:textId="06C6E9A4" w:rsidR="00232EF6" w:rsidRPr="00232EF6" w:rsidRDefault="00232EF6" w:rsidP="00595343">
            <w:pPr>
              <w:spacing w:before="60" w:after="60" w:line="276" w:lineRule="auto"/>
              <w:rPr>
                <w:rFonts w:cs="Times New Roman"/>
                <w:bCs/>
                <w:szCs w:val="24"/>
              </w:rPr>
            </w:pPr>
            <w:proofErr w:type="spellStart"/>
            <w:r w:rsidRPr="00815DF6">
              <w:rPr>
                <w:rFonts w:cs="Times New Roman"/>
                <w:bCs/>
                <w:szCs w:val="24"/>
              </w:rPr>
              <w:t>Praekelt</w:t>
            </w:r>
            <w:proofErr w:type="spellEnd"/>
            <w:r w:rsidRPr="00815DF6">
              <w:rPr>
                <w:rFonts w:cs="Times New Roman"/>
                <w:bCs/>
                <w:szCs w:val="24"/>
              </w:rPr>
              <w:t xml:space="preserve"> and the NDOH have a relationship dating back to 2014, when they co-developed </w:t>
            </w:r>
            <w:proofErr w:type="spellStart"/>
            <w:r w:rsidRPr="00815DF6">
              <w:rPr>
                <w:rFonts w:cs="Times New Roman"/>
                <w:bCs/>
                <w:szCs w:val="24"/>
              </w:rPr>
              <w:t>MomConnect</w:t>
            </w:r>
            <w:proofErr w:type="spellEnd"/>
            <w:r w:rsidRPr="00815DF6">
              <w:rPr>
                <w:rFonts w:cs="Times New Roman"/>
                <w:bCs/>
                <w:szCs w:val="24"/>
              </w:rPr>
              <w:t xml:space="preserve">. </w:t>
            </w:r>
            <w:proofErr w:type="spellStart"/>
            <w:r w:rsidRPr="00815DF6">
              <w:rPr>
                <w:rFonts w:cs="Times New Roman"/>
                <w:bCs/>
                <w:szCs w:val="24"/>
              </w:rPr>
              <w:t>COVIDConnect</w:t>
            </w:r>
            <w:proofErr w:type="spellEnd"/>
            <w:r w:rsidRPr="00815DF6">
              <w:rPr>
                <w:rFonts w:cs="Times New Roman"/>
                <w:bCs/>
                <w:szCs w:val="24"/>
              </w:rPr>
              <w:t xml:space="preserve"> has expanded this collaboration.</w:t>
            </w:r>
          </w:p>
        </w:tc>
      </w:tr>
      <w:tr w:rsidR="00232EF6" w:rsidRPr="00232EF6" w14:paraId="3CAC8E2A"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40D3C" w14:textId="091AFFD2" w:rsidR="00232EF6" w:rsidRPr="00232EF6" w:rsidRDefault="00232EF6" w:rsidP="00595343">
            <w:pPr>
              <w:spacing w:before="60" w:after="60" w:line="276" w:lineRule="auto"/>
              <w:rPr>
                <w:rFonts w:cs="Times New Roman"/>
                <w:szCs w:val="24"/>
              </w:rPr>
            </w:pPr>
            <w:r w:rsidRPr="00232EF6">
              <w:rPr>
                <w:rFonts w:cs="Times New Roman"/>
                <w:bCs/>
                <w:szCs w:val="24"/>
              </w:rPr>
              <w:t xml:space="preserve">Area 3: </w:t>
            </w:r>
            <w:r w:rsidR="00330AF1" w:rsidRPr="00603B48">
              <w:rPr>
                <w:rFonts w:cs="Times New Roman"/>
                <w:bCs/>
                <w:szCs w:val="24"/>
              </w:rPr>
              <w:t xml:space="preserve">Financial </w:t>
            </w:r>
            <w:r w:rsidR="00330AF1" w:rsidRPr="00330AF1">
              <w:rPr>
                <w:rFonts w:cs="Times New Roman"/>
                <w:bCs/>
                <w:szCs w:val="24"/>
              </w:rPr>
              <w:t>h</w:t>
            </w:r>
            <w:r w:rsidR="00330AF1" w:rsidRPr="00603B48">
              <w:rPr>
                <w:rFonts w:cs="Times New Roman"/>
                <w:bCs/>
                <w:szCs w:val="24"/>
              </w:rPr>
              <w:t>ealth</w:t>
            </w:r>
          </w:p>
        </w:tc>
      </w:tr>
      <w:tr w:rsidR="00232EF6" w:rsidRPr="00232EF6" w14:paraId="440E1018"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42D6B328" w14:textId="77777777" w:rsidR="00232EF6" w:rsidRPr="00232EF6" w:rsidRDefault="00232EF6" w:rsidP="00595343">
            <w:pPr>
              <w:spacing w:before="60" w:after="60" w:line="276" w:lineRule="auto"/>
              <w:rPr>
                <w:rFonts w:cs="Times New Roman"/>
                <w:bCs/>
                <w:i/>
                <w:iCs/>
                <w:szCs w:val="24"/>
              </w:rPr>
            </w:pPr>
            <w:r w:rsidRPr="00232EF6">
              <w:rPr>
                <w:rFonts w:cs="Times New Roman"/>
                <w:bCs/>
                <w:i/>
                <w:iCs/>
                <w:szCs w:val="24"/>
              </w:rPr>
              <w:t>Financial management</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41A3CD76" w14:textId="77777777" w:rsidR="00232EF6" w:rsidRPr="00232EF6" w:rsidRDefault="00232EF6" w:rsidP="00595343">
            <w:pPr>
              <w:spacing w:before="60" w:after="60" w:line="276" w:lineRule="auto"/>
              <w:rPr>
                <w:rFonts w:cs="Times New Roman"/>
                <w:bCs/>
                <w:i/>
                <w:iCs/>
                <w:szCs w:val="24"/>
              </w:rPr>
            </w:pPr>
            <w:r w:rsidRPr="00232EF6">
              <w:rPr>
                <w:rFonts w:cs="Times New Roman"/>
                <w:bCs/>
                <w:i/>
                <w:iCs/>
                <w:szCs w:val="24"/>
              </w:rPr>
              <w:t>Financial model</w:t>
            </w:r>
          </w:p>
        </w:tc>
      </w:tr>
      <w:tr w:rsidR="00232EF6" w:rsidRPr="00232EF6" w14:paraId="7933D310"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6A8C3598" w14:textId="2ECED6E5" w:rsidR="00232EF6" w:rsidRPr="00232EF6" w:rsidRDefault="00232EF6" w:rsidP="00595343">
            <w:pPr>
              <w:spacing w:before="60" w:after="60" w:line="276" w:lineRule="auto"/>
              <w:rPr>
                <w:rFonts w:cs="Times New Roman"/>
                <w:bCs/>
                <w:szCs w:val="24"/>
              </w:rPr>
            </w:pPr>
            <w:r w:rsidRPr="00815DF6">
              <w:rPr>
                <w:rFonts w:cs="Times New Roman"/>
                <w:bCs/>
                <w:szCs w:val="24"/>
              </w:rPr>
              <w:t xml:space="preserve">The costs of running </w:t>
            </w:r>
            <w:proofErr w:type="spellStart"/>
            <w:r w:rsidRPr="00815DF6">
              <w:rPr>
                <w:rFonts w:cs="Times New Roman"/>
                <w:bCs/>
                <w:szCs w:val="24"/>
              </w:rPr>
              <w:t>HealthConnect</w:t>
            </w:r>
            <w:proofErr w:type="spellEnd"/>
            <w:r w:rsidRPr="00815DF6">
              <w:rPr>
                <w:rFonts w:cs="Times New Roman"/>
                <w:bCs/>
                <w:szCs w:val="24"/>
              </w:rPr>
              <w:t xml:space="preserve"> (and similar platforms) is well understood at approximately US$1-2 per user. However, the cost per user is highly dependent on the total user base, and the program requires significant scale to be cost-effective.</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1FF0EFFF" w14:textId="7E29082B" w:rsidR="00232EF6" w:rsidRPr="00232EF6" w:rsidRDefault="00232EF6" w:rsidP="00595343">
            <w:pPr>
              <w:spacing w:before="60" w:after="60" w:line="276" w:lineRule="auto"/>
              <w:rPr>
                <w:rFonts w:cs="Times New Roman"/>
                <w:bCs/>
                <w:szCs w:val="24"/>
              </w:rPr>
            </w:pPr>
            <w:r w:rsidRPr="00815DF6">
              <w:rPr>
                <w:rFonts w:cs="Times New Roman"/>
                <w:bCs/>
                <w:szCs w:val="24"/>
              </w:rPr>
              <w:t xml:space="preserve">Donor funding and cost breaks from telecom providers were crucial to the implementation of </w:t>
            </w:r>
            <w:proofErr w:type="spellStart"/>
            <w:r w:rsidRPr="00815DF6">
              <w:rPr>
                <w:rFonts w:cs="Times New Roman"/>
                <w:bCs/>
                <w:szCs w:val="24"/>
              </w:rPr>
              <w:t>HealthConnect</w:t>
            </w:r>
            <w:proofErr w:type="spellEnd"/>
            <w:r w:rsidRPr="00815DF6">
              <w:rPr>
                <w:rFonts w:cs="Times New Roman"/>
                <w:bCs/>
                <w:szCs w:val="24"/>
              </w:rPr>
              <w:t xml:space="preserve"> and before that, </w:t>
            </w:r>
            <w:proofErr w:type="spellStart"/>
            <w:r w:rsidRPr="00815DF6">
              <w:rPr>
                <w:rFonts w:cs="Times New Roman"/>
                <w:bCs/>
                <w:szCs w:val="24"/>
              </w:rPr>
              <w:t>MomConnect</w:t>
            </w:r>
            <w:proofErr w:type="spellEnd"/>
            <w:r w:rsidRPr="00815DF6">
              <w:rPr>
                <w:rFonts w:cs="Times New Roman"/>
                <w:bCs/>
                <w:szCs w:val="24"/>
              </w:rPr>
              <w:t>. Long-term sustainability of the tool will depend on the ability to secure a stable funding source.</w:t>
            </w:r>
          </w:p>
        </w:tc>
      </w:tr>
      <w:tr w:rsidR="00232EF6" w:rsidRPr="00232EF6" w14:paraId="124CA3B0"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50D50" w14:textId="11761659" w:rsidR="00232EF6" w:rsidRPr="00232EF6" w:rsidRDefault="00232EF6" w:rsidP="00595343">
            <w:pPr>
              <w:spacing w:before="60" w:after="60" w:line="276" w:lineRule="auto"/>
              <w:rPr>
                <w:rFonts w:cs="Times New Roman"/>
                <w:szCs w:val="24"/>
              </w:rPr>
            </w:pPr>
            <w:r w:rsidRPr="00232EF6">
              <w:rPr>
                <w:rFonts w:cs="Times New Roman"/>
                <w:bCs/>
                <w:szCs w:val="24"/>
              </w:rPr>
              <w:t xml:space="preserve">Area 4: </w:t>
            </w:r>
            <w:r w:rsidR="00330AF1" w:rsidRPr="000C126A">
              <w:rPr>
                <w:rFonts w:cs="Times New Roman"/>
                <w:bCs/>
                <w:szCs w:val="24"/>
              </w:rPr>
              <w:t>Technology</w:t>
            </w:r>
            <w:r w:rsidR="00330AF1" w:rsidRPr="00330AF1">
              <w:rPr>
                <w:rFonts w:cs="Times New Roman"/>
                <w:bCs/>
                <w:szCs w:val="24"/>
              </w:rPr>
              <w:t xml:space="preserve"> and</w:t>
            </w:r>
            <w:r w:rsidR="00330AF1" w:rsidRPr="000C126A">
              <w:rPr>
                <w:rFonts w:cs="Times New Roman"/>
                <w:bCs/>
                <w:szCs w:val="24"/>
              </w:rPr>
              <w:t xml:space="preserve"> </w:t>
            </w:r>
            <w:r w:rsidR="00330AF1">
              <w:rPr>
                <w:rFonts w:cs="Times New Roman"/>
                <w:bCs/>
                <w:szCs w:val="24"/>
              </w:rPr>
              <w:t>a</w:t>
            </w:r>
            <w:r w:rsidR="00330AF1" w:rsidRPr="000C126A">
              <w:rPr>
                <w:rFonts w:cs="Times New Roman"/>
                <w:bCs/>
                <w:szCs w:val="24"/>
              </w:rPr>
              <w:t>rchitecture</w:t>
            </w:r>
          </w:p>
        </w:tc>
      </w:tr>
      <w:tr w:rsidR="00232EF6" w:rsidRPr="00232EF6" w14:paraId="4CF9D4B4"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757" w:type="pct"/>
            <w:gridSpan w:val="4"/>
            <w:tcBorders>
              <w:top w:val="nil"/>
              <w:left w:val="single" w:sz="4" w:space="0" w:color="auto"/>
              <w:bottom w:val="single" w:sz="4" w:space="0" w:color="auto"/>
              <w:right w:val="single" w:sz="4" w:space="0" w:color="auto"/>
            </w:tcBorders>
            <w:shd w:val="clear" w:color="auto" w:fill="auto"/>
            <w:hideMark/>
          </w:tcPr>
          <w:p w14:paraId="21304073"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Data</w:t>
            </w:r>
          </w:p>
        </w:tc>
        <w:tc>
          <w:tcPr>
            <w:tcW w:w="1577" w:type="pct"/>
            <w:gridSpan w:val="5"/>
            <w:tcBorders>
              <w:top w:val="nil"/>
              <w:left w:val="nil"/>
              <w:bottom w:val="single" w:sz="4" w:space="0" w:color="auto"/>
              <w:right w:val="single" w:sz="4" w:space="0" w:color="auto"/>
            </w:tcBorders>
            <w:shd w:val="clear" w:color="auto" w:fill="auto"/>
            <w:hideMark/>
          </w:tcPr>
          <w:p w14:paraId="53254761"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hideMark/>
          </w:tcPr>
          <w:p w14:paraId="583038A4"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Adaptability </w:t>
            </w:r>
          </w:p>
        </w:tc>
      </w:tr>
      <w:tr w:rsidR="00232EF6" w:rsidRPr="00232EF6" w14:paraId="29B82755"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757" w:type="pct"/>
            <w:gridSpan w:val="4"/>
            <w:tcBorders>
              <w:top w:val="nil"/>
              <w:left w:val="single" w:sz="4" w:space="0" w:color="auto"/>
              <w:bottom w:val="single" w:sz="4" w:space="0" w:color="auto"/>
              <w:right w:val="single" w:sz="4" w:space="0" w:color="auto"/>
            </w:tcBorders>
            <w:shd w:val="clear" w:color="auto" w:fill="auto"/>
            <w:hideMark/>
          </w:tcPr>
          <w:p w14:paraId="2761D12A" w14:textId="3EF5A965" w:rsidR="00232EF6" w:rsidRPr="00232EF6" w:rsidRDefault="00232EF6" w:rsidP="00595343">
            <w:pPr>
              <w:spacing w:before="60" w:after="60" w:line="276" w:lineRule="auto"/>
              <w:rPr>
                <w:rFonts w:cs="Times New Roman"/>
                <w:bCs/>
                <w:szCs w:val="24"/>
              </w:rPr>
            </w:pPr>
            <w:r w:rsidRPr="00815DF6">
              <w:rPr>
                <w:rFonts w:cs="Times New Roman"/>
                <w:bCs/>
                <w:szCs w:val="24"/>
              </w:rPr>
              <w:t>Data from all tools rolls into national databases owned by the NDOH and National Institute for Communicable Diseases (NICD). This data is then aggregated in dashboards that can be used for decision making at multiple levels of government.</w:t>
            </w:r>
          </w:p>
        </w:tc>
        <w:tc>
          <w:tcPr>
            <w:tcW w:w="1577" w:type="pct"/>
            <w:gridSpan w:val="5"/>
            <w:tcBorders>
              <w:top w:val="nil"/>
              <w:left w:val="nil"/>
              <w:bottom w:val="single" w:sz="4" w:space="0" w:color="auto"/>
              <w:right w:val="single" w:sz="4" w:space="0" w:color="auto"/>
            </w:tcBorders>
            <w:shd w:val="clear" w:color="auto" w:fill="auto"/>
            <w:hideMark/>
          </w:tcPr>
          <w:p w14:paraId="6EA1EE94" w14:textId="554B3730" w:rsidR="00232EF6" w:rsidRPr="00232EF6" w:rsidRDefault="00232EF6" w:rsidP="00595343">
            <w:pPr>
              <w:spacing w:before="60" w:after="60" w:line="276" w:lineRule="auto"/>
              <w:rPr>
                <w:rFonts w:cs="Times New Roman"/>
                <w:bCs/>
                <w:szCs w:val="24"/>
              </w:rPr>
            </w:pPr>
            <w:r w:rsidRPr="00815DF6">
              <w:rPr>
                <w:rFonts w:cs="Times New Roman"/>
                <w:bCs/>
                <w:szCs w:val="24"/>
              </w:rPr>
              <w:t xml:space="preserve">To assist with contact tracing, </w:t>
            </w:r>
            <w:proofErr w:type="spellStart"/>
            <w:r w:rsidRPr="00815DF6">
              <w:rPr>
                <w:rFonts w:cs="Times New Roman"/>
                <w:bCs/>
                <w:szCs w:val="24"/>
              </w:rPr>
              <w:t>HealthConnect</w:t>
            </w:r>
            <w:proofErr w:type="spellEnd"/>
            <w:r w:rsidRPr="00815DF6">
              <w:rPr>
                <w:rFonts w:cs="Times New Roman"/>
                <w:bCs/>
                <w:szCs w:val="24"/>
              </w:rPr>
              <w:t xml:space="preserve"> connects with the main NDOH and NICD databases and the laboratory information systems.</w:t>
            </w:r>
          </w:p>
        </w:tc>
        <w:tc>
          <w:tcPr>
            <w:tcW w:w="1666" w:type="pct"/>
            <w:gridSpan w:val="2"/>
            <w:tcBorders>
              <w:top w:val="nil"/>
              <w:left w:val="nil"/>
              <w:bottom w:val="single" w:sz="4" w:space="0" w:color="auto"/>
              <w:right w:val="single" w:sz="4" w:space="0" w:color="auto"/>
            </w:tcBorders>
            <w:shd w:val="clear" w:color="auto" w:fill="auto"/>
            <w:hideMark/>
          </w:tcPr>
          <w:p w14:paraId="554A980E" w14:textId="4EB59B1F" w:rsidR="00232EF6" w:rsidRPr="00232EF6" w:rsidRDefault="00232EF6" w:rsidP="00595343">
            <w:pPr>
              <w:spacing w:before="60" w:after="60" w:line="276" w:lineRule="auto"/>
              <w:rPr>
                <w:rFonts w:cs="Times New Roman"/>
                <w:bCs/>
                <w:szCs w:val="24"/>
              </w:rPr>
            </w:pPr>
            <w:r w:rsidRPr="00815DF6">
              <w:rPr>
                <w:rFonts w:cs="Times New Roman"/>
                <w:bCs/>
                <w:szCs w:val="24"/>
              </w:rPr>
              <w:t xml:space="preserve">The underlying technology (turn.io) is easily adapted and updated based on the latest information and specific needs. As a result, the </w:t>
            </w:r>
            <w:proofErr w:type="spellStart"/>
            <w:r w:rsidRPr="00815DF6">
              <w:rPr>
                <w:rFonts w:cs="Times New Roman"/>
                <w:bCs/>
                <w:szCs w:val="24"/>
              </w:rPr>
              <w:t>HealthConnect</w:t>
            </w:r>
            <w:proofErr w:type="spellEnd"/>
            <w:r w:rsidRPr="00815DF6">
              <w:rPr>
                <w:rFonts w:cs="Times New Roman"/>
                <w:bCs/>
                <w:szCs w:val="24"/>
              </w:rPr>
              <w:t xml:space="preserve"> suite of tools can be used across sectors.</w:t>
            </w:r>
          </w:p>
        </w:tc>
      </w:tr>
      <w:tr w:rsidR="00232EF6" w:rsidRPr="00232EF6" w14:paraId="09BE5F35"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99DFB" w14:textId="77777777" w:rsidR="00232EF6" w:rsidRPr="00232EF6" w:rsidRDefault="00232EF6" w:rsidP="00595343">
            <w:pPr>
              <w:spacing w:before="60" w:after="60" w:line="276" w:lineRule="auto"/>
              <w:rPr>
                <w:rFonts w:cs="Times New Roman"/>
                <w:szCs w:val="24"/>
              </w:rPr>
            </w:pPr>
            <w:r w:rsidRPr="00232EF6">
              <w:rPr>
                <w:rFonts w:cs="Times New Roman"/>
                <w:bCs/>
                <w:szCs w:val="24"/>
              </w:rPr>
              <w:t>Area 5: Operations</w:t>
            </w:r>
          </w:p>
        </w:tc>
      </w:tr>
      <w:tr w:rsidR="00130E35" w:rsidRPr="00232EF6" w14:paraId="73DA698A"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202" w:type="pct"/>
            <w:gridSpan w:val="2"/>
            <w:tcBorders>
              <w:top w:val="nil"/>
              <w:left w:val="single" w:sz="4" w:space="0" w:color="auto"/>
              <w:bottom w:val="single" w:sz="4" w:space="0" w:color="auto"/>
              <w:right w:val="single" w:sz="4" w:space="0" w:color="auto"/>
            </w:tcBorders>
            <w:shd w:val="clear" w:color="auto" w:fill="auto"/>
            <w:hideMark/>
          </w:tcPr>
          <w:p w14:paraId="6757307F"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Personnel</w:t>
            </w:r>
          </w:p>
        </w:tc>
        <w:tc>
          <w:tcPr>
            <w:tcW w:w="1205" w:type="pct"/>
            <w:gridSpan w:val="4"/>
            <w:tcBorders>
              <w:top w:val="nil"/>
              <w:left w:val="nil"/>
              <w:bottom w:val="single" w:sz="4" w:space="0" w:color="auto"/>
              <w:right w:val="single" w:sz="4" w:space="0" w:color="auto"/>
            </w:tcBorders>
            <w:shd w:val="clear" w:color="auto" w:fill="auto"/>
            <w:hideMark/>
          </w:tcPr>
          <w:p w14:paraId="16EC537A" w14:textId="0B896F7D" w:rsidR="00232EF6" w:rsidRPr="00232EF6" w:rsidRDefault="00130E35" w:rsidP="00595343">
            <w:pPr>
              <w:spacing w:before="60" w:after="60" w:line="276" w:lineRule="auto"/>
              <w:rPr>
                <w:rFonts w:cs="Times New Roman"/>
                <w:i/>
                <w:iCs/>
                <w:szCs w:val="24"/>
              </w:rPr>
            </w:pPr>
            <w:r w:rsidRPr="00130E35">
              <w:rPr>
                <w:rFonts w:cs="Times New Roman"/>
                <w:bCs/>
                <w:i/>
                <w:iCs/>
                <w:szCs w:val="24"/>
              </w:rPr>
              <w:t>Training and support</w:t>
            </w:r>
          </w:p>
        </w:tc>
        <w:tc>
          <w:tcPr>
            <w:tcW w:w="1342" w:type="pct"/>
            <w:gridSpan w:val="4"/>
            <w:tcBorders>
              <w:top w:val="nil"/>
              <w:left w:val="nil"/>
              <w:bottom w:val="single" w:sz="4" w:space="0" w:color="auto"/>
              <w:right w:val="single" w:sz="4" w:space="0" w:color="auto"/>
            </w:tcBorders>
            <w:shd w:val="clear" w:color="auto" w:fill="auto"/>
            <w:hideMark/>
          </w:tcPr>
          <w:p w14:paraId="034B32E9" w14:textId="4A18E484" w:rsidR="00232EF6" w:rsidRPr="00232EF6" w:rsidRDefault="00130E35" w:rsidP="00595343">
            <w:pPr>
              <w:spacing w:before="60" w:after="60" w:line="276" w:lineRule="auto"/>
              <w:rPr>
                <w:rFonts w:cs="Times New Roman"/>
                <w:i/>
                <w:iCs/>
                <w:szCs w:val="24"/>
              </w:rPr>
            </w:pPr>
            <w:r w:rsidRPr="00232EF6">
              <w:rPr>
                <w:rFonts w:cs="Times New Roman"/>
                <w:bCs/>
                <w:i/>
                <w:iCs/>
                <w:szCs w:val="24"/>
              </w:rPr>
              <w:t>Outreach</w:t>
            </w:r>
            <w:r w:rsidRPr="00130E35">
              <w:rPr>
                <w:rFonts w:cs="Times New Roman"/>
                <w:bCs/>
                <w:i/>
                <w:iCs/>
                <w:szCs w:val="24"/>
              </w:rPr>
              <w:t xml:space="preserve"> and s</w:t>
            </w:r>
            <w:r w:rsidRPr="00232EF6">
              <w:rPr>
                <w:rFonts w:cs="Times New Roman"/>
                <w:bCs/>
                <w:i/>
                <w:iCs/>
                <w:szCs w:val="24"/>
              </w:rPr>
              <w:t>ensitization</w:t>
            </w:r>
          </w:p>
        </w:tc>
        <w:tc>
          <w:tcPr>
            <w:tcW w:w="1252" w:type="pct"/>
            <w:tcBorders>
              <w:top w:val="nil"/>
              <w:left w:val="nil"/>
              <w:bottom w:val="single" w:sz="4" w:space="0" w:color="auto"/>
              <w:right w:val="single" w:sz="4" w:space="0" w:color="auto"/>
            </w:tcBorders>
            <w:shd w:val="clear" w:color="auto" w:fill="auto"/>
            <w:hideMark/>
          </w:tcPr>
          <w:p w14:paraId="76ECC1F9" w14:textId="1A3BBCD6" w:rsidR="00232EF6" w:rsidRPr="00232EF6" w:rsidRDefault="00130E35" w:rsidP="00595343">
            <w:pPr>
              <w:spacing w:before="60" w:after="60" w:line="276" w:lineRule="auto"/>
              <w:rPr>
                <w:rFonts w:cs="Times New Roman"/>
                <w:i/>
                <w:iCs/>
                <w:szCs w:val="24"/>
              </w:rPr>
            </w:pPr>
            <w:r w:rsidRPr="00130E35">
              <w:rPr>
                <w:rFonts w:cs="Times New Roman"/>
                <w:bCs/>
                <w:i/>
                <w:iCs/>
                <w:szCs w:val="24"/>
              </w:rPr>
              <w:t>Contingency planning</w:t>
            </w:r>
          </w:p>
        </w:tc>
      </w:tr>
      <w:tr w:rsidR="00130E35" w:rsidRPr="00232EF6" w14:paraId="67D66433"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202" w:type="pct"/>
            <w:gridSpan w:val="2"/>
            <w:tcBorders>
              <w:top w:val="nil"/>
              <w:left w:val="single" w:sz="4" w:space="0" w:color="auto"/>
              <w:bottom w:val="single" w:sz="4" w:space="0" w:color="auto"/>
              <w:right w:val="single" w:sz="4" w:space="0" w:color="auto"/>
            </w:tcBorders>
            <w:shd w:val="clear" w:color="auto" w:fill="auto"/>
            <w:hideMark/>
          </w:tcPr>
          <w:p w14:paraId="1D0FBC42" w14:textId="711C69A4" w:rsidR="00232EF6" w:rsidRPr="00232EF6" w:rsidRDefault="00232EF6" w:rsidP="00595343">
            <w:pPr>
              <w:spacing w:before="60" w:after="60" w:line="276" w:lineRule="auto"/>
              <w:rPr>
                <w:rFonts w:cs="Times New Roman"/>
                <w:szCs w:val="24"/>
              </w:rPr>
            </w:pPr>
            <w:r w:rsidRPr="00815DF6">
              <w:rPr>
                <w:rFonts w:cs="Times New Roman"/>
                <w:szCs w:val="24"/>
              </w:rPr>
              <w:t xml:space="preserve">Limited information is available. The NDOH central team is familiar with </w:t>
            </w:r>
            <w:proofErr w:type="spellStart"/>
            <w:r w:rsidRPr="00815DF6">
              <w:rPr>
                <w:rFonts w:cs="Times New Roman"/>
                <w:szCs w:val="24"/>
              </w:rPr>
              <w:t>MomConnect</w:t>
            </w:r>
            <w:proofErr w:type="spellEnd"/>
            <w:r w:rsidRPr="00815DF6">
              <w:rPr>
                <w:rFonts w:cs="Times New Roman"/>
                <w:szCs w:val="24"/>
              </w:rPr>
              <w:t>.</w:t>
            </w:r>
          </w:p>
        </w:tc>
        <w:tc>
          <w:tcPr>
            <w:tcW w:w="1205" w:type="pct"/>
            <w:gridSpan w:val="4"/>
            <w:tcBorders>
              <w:top w:val="nil"/>
              <w:left w:val="nil"/>
              <w:bottom w:val="single" w:sz="4" w:space="0" w:color="auto"/>
              <w:right w:val="single" w:sz="4" w:space="0" w:color="auto"/>
            </w:tcBorders>
            <w:shd w:val="clear" w:color="auto" w:fill="auto"/>
            <w:hideMark/>
          </w:tcPr>
          <w:p w14:paraId="7FB603D1" w14:textId="3A7CCE51" w:rsidR="00232EF6" w:rsidRPr="00232EF6" w:rsidRDefault="00232EF6" w:rsidP="00595343">
            <w:pPr>
              <w:spacing w:before="60" w:after="60" w:line="276" w:lineRule="auto"/>
              <w:rPr>
                <w:rFonts w:cs="Times New Roman"/>
                <w:szCs w:val="24"/>
              </w:rPr>
            </w:pPr>
            <w:r w:rsidRPr="00815DF6">
              <w:rPr>
                <w:rFonts w:cs="Times New Roman"/>
                <w:szCs w:val="24"/>
              </w:rPr>
              <w:t>The direct-to-consumer nature of the tool (in most cases) requires minimal training.</w:t>
            </w:r>
          </w:p>
        </w:tc>
        <w:tc>
          <w:tcPr>
            <w:tcW w:w="1342" w:type="pct"/>
            <w:gridSpan w:val="4"/>
            <w:tcBorders>
              <w:top w:val="nil"/>
              <w:left w:val="nil"/>
              <w:bottom w:val="single" w:sz="4" w:space="0" w:color="auto"/>
              <w:right w:val="single" w:sz="4" w:space="0" w:color="auto"/>
            </w:tcBorders>
            <w:shd w:val="clear" w:color="auto" w:fill="auto"/>
            <w:hideMark/>
          </w:tcPr>
          <w:p w14:paraId="04BD72F3" w14:textId="4C96A39B" w:rsidR="00232EF6" w:rsidRPr="00232EF6" w:rsidRDefault="00232EF6" w:rsidP="00595343">
            <w:pPr>
              <w:spacing w:before="60" w:after="60" w:line="276" w:lineRule="auto"/>
              <w:rPr>
                <w:rFonts w:cs="Times New Roman"/>
                <w:szCs w:val="24"/>
              </w:rPr>
            </w:pPr>
            <w:proofErr w:type="spellStart"/>
            <w:r w:rsidRPr="00815DF6">
              <w:rPr>
                <w:rFonts w:cs="Times New Roman"/>
                <w:szCs w:val="24"/>
              </w:rPr>
              <w:t>HealthConnect</w:t>
            </w:r>
            <w:proofErr w:type="spellEnd"/>
            <w:r w:rsidRPr="00815DF6">
              <w:rPr>
                <w:rFonts w:cs="Times New Roman"/>
                <w:szCs w:val="24"/>
              </w:rPr>
              <w:t xml:space="preserve"> relies on heavy community outreach. Early on, the phone number was printed on bread packaging and ran on news tickers. </w:t>
            </w:r>
            <w:proofErr w:type="spellStart"/>
            <w:r w:rsidRPr="00815DF6">
              <w:rPr>
                <w:rFonts w:cs="Times New Roman"/>
                <w:szCs w:val="24"/>
              </w:rPr>
              <w:t>HigherHealth</w:t>
            </w:r>
            <w:proofErr w:type="spellEnd"/>
            <w:r w:rsidRPr="00815DF6">
              <w:rPr>
                <w:rFonts w:cs="Times New Roman"/>
                <w:szCs w:val="24"/>
              </w:rPr>
              <w:t xml:space="preserve"> did several </w:t>
            </w:r>
            <w:proofErr w:type="gramStart"/>
            <w:r w:rsidRPr="00815DF6">
              <w:rPr>
                <w:rFonts w:cs="Times New Roman"/>
                <w:szCs w:val="24"/>
              </w:rPr>
              <w:t>radio</w:t>
            </w:r>
            <w:proofErr w:type="gramEnd"/>
            <w:r w:rsidRPr="00815DF6">
              <w:rPr>
                <w:rFonts w:cs="Times New Roman"/>
                <w:szCs w:val="24"/>
              </w:rPr>
              <w:t xml:space="preserve"> shows to </w:t>
            </w:r>
            <w:r w:rsidRPr="00815DF6">
              <w:rPr>
                <w:rFonts w:cs="Times New Roman"/>
                <w:szCs w:val="24"/>
              </w:rPr>
              <w:lastRenderedPageBreak/>
              <w:t>reach users through familiar channels.</w:t>
            </w:r>
          </w:p>
        </w:tc>
        <w:tc>
          <w:tcPr>
            <w:tcW w:w="1252" w:type="pct"/>
            <w:tcBorders>
              <w:top w:val="nil"/>
              <w:left w:val="nil"/>
              <w:bottom w:val="single" w:sz="4" w:space="0" w:color="auto"/>
              <w:right w:val="single" w:sz="4" w:space="0" w:color="auto"/>
            </w:tcBorders>
            <w:shd w:val="clear" w:color="auto" w:fill="auto"/>
            <w:hideMark/>
          </w:tcPr>
          <w:p w14:paraId="72EF77DE" w14:textId="4FD03458" w:rsidR="00232EF6" w:rsidRPr="00232EF6" w:rsidRDefault="00232EF6" w:rsidP="00595343">
            <w:pPr>
              <w:spacing w:before="60" w:after="60" w:line="276" w:lineRule="auto"/>
              <w:rPr>
                <w:rFonts w:cs="Times New Roman"/>
                <w:szCs w:val="24"/>
              </w:rPr>
            </w:pPr>
            <w:r w:rsidRPr="00815DF6">
              <w:rPr>
                <w:rFonts w:cs="Times New Roman"/>
                <w:szCs w:val="24"/>
              </w:rPr>
              <w:lastRenderedPageBreak/>
              <w:t xml:space="preserve">The tool has limited applicability. It does not require new equipment. </w:t>
            </w:r>
            <w:proofErr w:type="spellStart"/>
            <w:r w:rsidRPr="00815DF6">
              <w:rPr>
                <w:rFonts w:cs="Times New Roman"/>
                <w:szCs w:val="24"/>
              </w:rPr>
              <w:t>HealthConnect</w:t>
            </w:r>
            <w:r w:rsidR="005870AD">
              <w:rPr>
                <w:rFonts w:cs="Times New Roman"/>
                <w:szCs w:val="24"/>
              </w:rPr>
              <w:t>’</w:t>
            </w:r>
            <w:r w:rsidRPr="00815DF6">
              <w:rPr>
                <w:rFonts w:cs="Times New Roman"/>
                <w:szCs w:val="24"/>
              </w:rPr>
              <w:t>s</w:t>
            </w:r>
            <w:proofErr w:type="spellEnd"/>
            <w:r w:rsidRPr="00815DF6">
              <w:rPr>
                <w:rFonts w:cs="Times New Roman"/>
                <w:szCs w:val="24"/>
              </w:rPr>
              <w:t xml:space="preserve"> platform is designed to be adaptable on the back end for changing needs.</w:t>
            </w:r>
          </w:p>
        </w:tc>
      </w:tr>
      <w:tr w:rsidR="00232EF6" w:rsidRPr="00232EF6" w14:paraId="6BCFFF1F"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EEFBD" w14:textId="1BAC5E3F" w:rsidR="00232EF6" w:rsidRPr="00232EF6" w:rsidRDefault="00232EF6" w:rsidP="00595343">
            <w:pPr>
              <w:spacing w:before="60" w:after="60" w:line="276" w:lineRule="auto"/>
              <w:rPr>
                <w:rFonts w:cs="Times New Roman"/>
                <w:szCs w:val="24"/>
              </w:rPr>
            </w:pPr>
            <w:r w:rsidRPr="00232EF6">
              <w:rPr>
                <w:rFonts w:cs="Times New Roman"/>
                <w:bCs/>
                <w:szCs w:val="24"/>
              </w:rPr>
              <w:t xml:space="preserve">Area 6: </w:t>
            </w:r>
            <w:r w:rsidR="00330AF1" w:rsidRPr="00330AF1">
              <w:rPr>
                <w:rFonts w:cs="Times New Roman"/>
                <w:bCs/>
                <w:szCs w:val="24"/>
              </w:rPr>
              <w:t>Monitoring and evaluation</w:t>
            </w:r>
          </w:p>
        </w:tc>
      </w:tr>
      <w:tr w:rsidR="00232EF6" w:rsidRPr="00232EF6" w14:paraId="76DE87F4"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06" w:type="pct"/>
            <w:gridSpan w:val="6"/>
            <w:tcBorders>
              <w:top w:val="nil"/>
              <w:left w:val="single" w:sz="4" w:space="0" w:color="auto"/>
              <w:bottom w:val="single" w:sz="4" w:space="0" w:color="auto"/>
              <w:right w:val="single" w:sz="4" w:space="0" w:color="auto"/>
            </w:tcBorders>
            <w:shd w:val="clear" w:color="auto" w:fill="auto"/>
            <w:hideMark/>
          </w:tcPr>
          <w:p w14:paraId="257B43D2"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Process monitoring</w:t>
            </w:r>
          </w:p>
        </w:tc>
        <w:tc>
          <w:tcPr>
            <w:tcW w:w="2594" w:type="pct"/>
            <w:gridSpan w:val="5"/>
            <w:tcBorders>
              <w:top w:val="nil"/>
              <w:left w:val="nil"/>
              <w:bottom w:val="single" w:sz="4" w:space="0" w:color="auto"/>
              <w:right w:val="single" w:sz="4" w:space="0" w:color="auto"/>
            </w:tcBorders>
            <w:shd w:val="clear" w:color="auto" w:fill="auto"/>
            <w:hideMark/>
          </w:tcPr>
          <w:p w14:paraId="04E59700"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Evaluation </w:t>
            </w:r>
          </w:p>
        </w:tc>
      </w:tr>
      <w:tr w:rsidR="00232EF6" w:rsidRPr="00232EF6" w14:paraId="0F76F237" w14:textId="77777777" w:rsidTr="00CD7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2406" w:type="pct"/>
            <w:gridSpan w:val="6"/>
            <w:tcBorders>
              <w:top w:val="nil"/>
              <w:left w:val="single" w:sz="4" w:space="0" w:color="auto"/>
              <w:bottom w:val="single" w:sz="4" w:space="0" w:color="auto"/>
              <w:right w:val="single" w:sz="4" w:space="0" w:color="auto"/>
            </w:tcBorders>
            <w:shd w:val="clear" w:color="auto" w:fill="auto"/>
            <w:hideMark/>
          </w:tcPr>
          <w:p w14:paraId="52129B3E" w14:textId="554ED1C9" w:rsidR="00232EF6" w:rsidRPr="00232EF6" w:rsidRDefault="00232EF6" w:rsidP="00595343">
            <w:pPr>
              <w:spacing w:before="60" w:after="60" w:line="276" w:lineRule="auto"/>
              <w:rPr>
                <w:rFonts w:cs="Times New Roman"/>
                <w:szCs w:val="24"/>
              </w:rPr>
            </w:pPr>
            <w:r w:rsidRPr="00815DF6">
              <w:rPr>
                <w:rFonts w:cs="Times New Roman"/>
                <w:szCs w:val="24"/>
              </w:rPr>
              <w:t>Limited information is available on how uptake is monitored beyond access data or what drives continued use of the tool.</w:t>
            </w:r>
          </w:p>
        </w:tc>
        <w:tc>
          <w:tcPr>
            <w:tcW w:w="2594" w:type="pct"/>
            <w:gridSpan w:val="5"/>
            <w:tcBorders>
              <w:top w:val="nil"/>
              <w:left w:val="nil"/>
              <w:bottom w:val="single" w:sz="4" w:space="0" w:color="auto"/>
              <w:right w:val="single" w:sz="4" w:space="0" w:color="auto"/>
            </w:tcBorders>
            <w:shd w:val="clear" w:color="auto" w:fill="auto"/>
            <w:hideMark/>
          </w:tcPr>
          <w:p w14:paraId="2EDA8040" w14:textId="0DAA8B72" w:rsidR="00232EF6" w:rsidRPr="00232EF6" w:rsidRDefault="00232EF6" w:rsidP="00595343">
            <w:pPr>
              <w:spacing w:before="60" w:after="60" w:line="276" w:lineRule="auto"/>
              <w:rPr>
                <w:rFonts w:cs="Times New Roman"/>
                <w:szCs w:val="24"/>
              </w:rPr>
            </w:pPr>
            <w:r w:rsidRPr="00815DF6">
              <w:rPr>
                <w:rFonts w:cs="Times New Roman"/>
                <w:szCs w:val="24"/>
              </w:rPr>
              <w:t xml:space="preserve">Research on the impact of </w:t>
            </w:r>
            <w:proofErr w:type="spellStart"/>
            <w:r w:rsidRPr="00815DF6">
              <w:rPr>
                <w:rFonts w:cs="Times New Roman"/>
                <w:szCs w:val="24"/>
              </w:rPr>
              <w:t>HealthConnect</w:t>
            </w:r>
            <w:proofErr w:type="spellEnd"/>
            <w:r w:rsidRPr="00815DF6">
              <w:rPr>
                <w:rFonts w:cs="Times New Roman"/>
                <w:szCs w:val="24"/>
              </w:rPr>
              <w:t xml:space="preserve"> has not been conducted to date, and neither </w:t>
            </w:r>
            <w:proofErr w:type="spellStart"/>
            <w:r w:rsidRPr="00815DF6">
              <w:rPr>
                <w:rFonts w:cs="Times New Roman"/>
                <w:szCs w:val="24"/>
              </w:rPr>
              <w:t>Praekelt</w:t>
            </w:r>
            <w:proofErr w:type="spellEnd"/>
            <w:r w:rsidRPr="00815DF6">
              <w:rPr>
                <w:rFonts w:cs="Times New Roman"/>
                <w:szCs w:val="24"/>
              </w:rPr>
              <w:t xml:space="preserve"> nor the government agencies have outlined public plans to evaluate the data collected.</w:t>
            </w:r>
          </w:p>
        </w:tc>
      </w:tr>
      <w:tr w:rsidR="00232EF6" w:rsidRPr="00232EF6" w14:paraId="44E04F06" w14:textId="77777777" w:rsidTr="000D1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E3F2A3" w14:textId="11C92CDE" w:rsidR="00232EF6" w:rsidRPr="00232EF6" w:rsidRDefault="00A16FD5" w:rsidP="00595343">
            <w:pPr>
              <w:spacing w:before="60" w:after="60" w:line="276" w:lineRule="auto"/>
              <w:jc w:val="center"/>
              <w:rPr>
                <w:rFonts w:cs="Times New Roman"/>
                <w:b/>
                <w:szCs w:val="24"/>
              </w:rPr>
            </w:pPr>
            <w:r w:rsidRPr="00815DF6">
              <w:rPr>
                <w:rFonts w:cs="Times New Roman"/>
                <w:b/>
                <w:szCs w:val="24"/>
              </w:rPr>
              <w:t>DHIS2 for COVID-19 (Sri Lanka)</w:t>
            </w:r>
          </w:p>
        </w:tc>
      </w:tr>
      <w:tr w:rsidR="00232EF6" w:rsidRPr="00232EF6" w14:paraId="1B8CBB01"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4841A" w14:textId="77777777" w:rsidR="00232EF6" w:rsidRPr="00232EF6" w:rsidRDefault="00232EF6" w:rsidP="00595343">
            <w:pPr>
              <w:spacing w:before="60" w:after="60" w:line="276" w:lineRule="auto"/>
              <w:rPr>
                <w:rFonts w:cs="Times New Roman"/>
                <w:bCs/>
                <w:szCs w:val="24"/>
              </w:rPr>
            </w:pPr>
            <w:r w:rsidRPr="00232EF6">
              <w:rPr>
                <w:rFonts w:cs="Times New Roman"/>
                <w:bCs/>
                <w:szCs w:val="24"/>
              </w:rPr>
              <w:t>Area 1: Groundwork</w:t>
            </w:r>
          </w:p>
        </w:tc>
      </w:tr>
      <w:tr w:rsidR="003A13C9" w:rsidRPr="003A13C9" w14:paraId="02F41185" w14:textId="77777777" w:rsidTr="008F4EBB">
        <w:trPr>
          <w:trHeight w:val="50"/>
        </w:trPr>
        <w:tc>
          <w:tcPr>
            <w:tcW w:w="1804" w:type="pct"/>
            <w:gridSpan w:val="5"/>
            <w:shd w:val="clear" w:color="auto" w:fill="auto"/>
            <w:hideMark/>
          </w:tcPr>
          <w:p w14:paraId="6BD360DD"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Parameters of scale</w:t>
            </w:r>
          </w:p>
        </w:tc>
        <w:tc>
          <w:tcPr>
            <w:tcW w:w="1530" w:type="pct"/>
            <w:gridSpan w:val="4"/>
            <w:shd w:val="clear" w:color="auto" w:fill="auto"/>
            <w:hideMark/>
          </w:tcPr>
          <w:p w14:paraId="2738017D"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Contextual environment</w:t>
            </w:r>
          </w:p>
        </w:tc>
        <w:tc>
          <w:tcPr>
            <w:tcW w:w="1666" w:type="pct"/>
            <w:gridSpan w:val="2"/>
            <w:shd w:val="clear" w:color="auto" w:fill="auto"/>
            <w:hideMark/>
          </w:tcPr>
          <w:p w14:paraId="2A9DCDFC"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Scientific basis</w:t>
            </w:r>
          </w:p>
        </w:tc>
      </w:tr>
      <w:tr w:rsidR="008F4EBB" w:rsidRPr="00232EF6" w14:paraId="7DCEA3F6" w14:textId="77777777" w:rsidTr="008F4EBB">
        <w:trPr>
          <w:trHeight w:val="50"/>
        </w:trPr>
        <w:tc>
          <w:tcPr>
            <w:tcW w:w="1804" w:type="pct"/>
            <w:gridSpan w:val="5"/>
            <w:shd w:val="clear" w:color="auto" w:fill="auto"/>
          </w:tcPr>
          <w:p w14:paraId="4703F1E7" w14:textId="06034937" w:rsidR="00232EF6" w:rsidRPr="00232EF6" w:rsidRDefault="00A16FD5" w:rsidP="00595343">
            <w:pPr>
              <w:spacing w:before="60" w:after="60" w:line="276" w:lineRule="auto"/>
              <w:rPr>
                <w:rFonts w:cs="Times New Roman"/>
                <w:bCs/>
                <w:szCs w:val="24"/>
              </w:rPr>
            </w:pPr>
            <w:r w:rsidRPr="00815DF6">
              <w:rPr>
                <w:rFonts w:cs="Times New Roman"/>
                <w:bCs/>
                <w:szCs w:val="24"/>
              </w:rPr>
              <w:t>The scope of need was unclear because the work began before COVID-19 was well understood.</w:t>
            </w:r>
          </w:p>
        </w:tc>
        <w:tc>
          <w:tcPr>
            <w:tcW w:w="1530" w:type="pct"/>
            <w:gridSpan w:val="4"/>
            <w:shd w:val="clear" w:color="auto" w:fill="auto"/>
          </w:tcPr>
          <w:p w14:paraId="7D63F95D" w14:textId="11E77A32" w:rsidR="00232EF6" w:rsidRPr="00232EF6" w:rsidRDefault="00A16FD5" w:rsidP="00595343">
            <w:pPr>
              <w:spacing w:before="60" w:after="60" w:line="276" w:lineRule="auto"/>
              <w:rPr>
                <w:rFonts w:cs="Times New Roman"/>
                <w:bCs/>
                <w:szCs w:val="24"/>
              </w:rPr>
            </w:pPr>
            <w:r w:rsidRPr="00815DF6">
              <w:rPr>
                <w:rFonts w:cs="Times New Roman"/>
                <w:bCs/>
                <w:szCs w:val="24"/>
              </w:rPr>
              <w:t xml:space="preserve">The Sri Lanka MOH has been investing in health information expertise for years. The strong Health Information Systems </w:t>
            </w:r>
            <w:proofErr w:type="spellStart"/>
            <w:r w:rsidRPr="00815DF6">
              <w:rPr>
                <w:rFonts w:cs="Times New Roman"/>
                <w:bCs/>
                <w:szCs w:val="24"/>
              </w:rPr>
              <w:t>Programme</w:t>
            </w:r>
            <w:proofErr w:type="spellEnd"/>
            <w:r w:rsidRPr="00815DF6">
              <w:rPr>
                <w:rFonts w:cs="Times New Roman"/>
                <w:bCs/>
                <w:szCs w:val="24"/>
              </w:rPr>
              <w:t xml:space="preserve"> (HISP) hub in Sri Lanka enabled effective, rapid action.</w:t>
            </w:r>
          </w:p>
        </w:tc>
        <w:tc>
          <w:tcPr>
            <w:tcW w:w="1666" w:type="pct"/>
            <w:gridSpan w:val="2"/>
            <w:shd w:val="clear" w:color="auto" w:fill="auto"/>
          </w:tcPr>
          <w:p w14:paraId="7F626BCD" w14:textId="55C993DD" w:rsidR="00232EF6" w:rsidRPr="00232EF6" w:rsidRDefault="00A16FD5" w:rsidP="00595343">
            <w:pPr>
              <w:spacing w:before="60" w:after="60" w:line="276" w:lineRule="auto"/>
              <w:rPr>
                <w:rFonts w:cs="Times New Roman"/>
                <w:bCs/>
                <w:szCs w:val="24"/>
              </w:rPr>
            </w:pPr>
            <w:r w:rsidRPr="00815DF6">
              <w:rPr>
                <w:rFonts w:cs="Times New Roman"/>
                <w:bCs/>
                <w:szCs w:val="24"/>
              </w:rPr>
              <w:t>Due to the short timeline, there was no opportunity for the desired pilot period, but the team received input from select close partners before scaling up nationally.</w:t>
            </w:r>
          </w:p>
        </w:tc>
      </w:tr>
      <w:tr w:rsidR="00232EF6" w:rsidRPr="00232EF6" w14:paraId="533612B8"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50462" w14:textId="77777777" w:rsidR="00232EF6" w:rsidRPr="00232EF6" w:rsidRDefault="00232EF6" w:rsidP="00595343">
            <w:pPr>
              <w:spacing w:before="60" w:after="60" w:line="276" w:lineRule="auto"/>
              <w:rPr>
                <w:rFonts w:cs="Times New Roman"/>
                <w:szCs w:val="24"/>
              </w:rPr>
            </w:pPr>
            <w:r w:rsidRPr="00232EF6">
              <w:rPr>
                <w:rFonts w:cs="Times New Roman"/>
                <w:bCs/>
                <w:szCs w:val="24"/>
              </w:rPr>
              <w:t>Area 2: Partnerships</w:t>
            </w:r>
          </w:p>
        </w:tc>
      </w:tr>
      <w:tr w:rsidR="00232EF6" w:rsidRPr="00232EF6" w14:paraId="6B4DDA48"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hideMark/>
          </w:tcPr>
          <w:p w14:paraId="5C790511"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Strategic engagement</w:t>
            </w:r>
          </w:p>
        </w:tc>
        <w:tc>
          <w:tcPr>
            <w:tcW w:w="2594" w:type="pct"/>
            <w:gridSpan w:val="5"/>
            <w:tcBorders>
              <w:top w:val="nil"/>
              <w:left w:val="nil"/>
              <w:bottom w:val="single" w:sz="4" w:space="0" w:color="auto"/>
              <w:right w:val="single" w:sz="4" w:space="0" w:color="auto"/>
            </w:tcBorders>
            <w:shd w:val="clear" w:color="auto" w:fill="auto"/>
            <w:hideMark/>
          </w:tcPr>
          <w:p w14:paraId="29C4506B"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Partnership sustainability </w:t>
            </w:r>
          </w:p>
        </w:tc>
      </w:tr>
      <w:tr w:rsidR="00232EF6" w:rsidRPr="00232EF6" w14:paraId="3525070E"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tcPr>
          <w:p w14:paraId="24BBEBF4" w14:textId="03E155F3" w:rsidR="00232EF6" w:rsidRPr="00232EF6" w:rsidRDefault="00A16FD5" w:rsidP="00595343">
            <w:pPr>
              <w:spacing w:before="60" w:after="60" w:line="276" w:lineRule="auto"/>
              <w:rPr>
                <w:rFonts w:cs="Times New Roman"/>
                <w:bCs/>
                <w:szCs w:val="24"/>
              </w:rPr>
            </w:pPr>
            <w:r w:rsidRPr="00815DF6">
              <w:rPr>
                <w:rFonts w:cs="Times New Roman"/>
                <w:bCs/>
                <w:szCs w:val="24"/>
              </w:rPr>
              <w:t>The project was commissioned by the MOH and executed by HISP in Sri Lanka, with support from the Global HISP network.</w:t>
            </w:r>
          </w:p>
        </w:tc>
        <w:tc>
          <w:tcPr>
            <w:tcW w:w="2594" w:type="pct"/>
            <w:gridSpan w:val="5"/>
            <w:tcBorders>
              <w:top w:val="nil"/>
              <w:left w:val="nil"/>
              <w:bottom w:val="single" w:sz="4" w:space="0" w:color="auto"/>
              <w:right w:val="single" w:sz="4" w:space="0" w:color="auto"/>
            </w:tcBorders>
            <w:shd w:val="clear" w:color="auto" w:fill="auto"/>
          </w:tcPr>
          <w:p w14:paraId="5857A36A" w14:textId="6773BF22" w:rsidR="00232EF6" w:rsidRPr="00232EF6" w:rsidRDefault="00A16FD5" w:rsidP="00595343">
            <w:pPr>
              <w:spacing w:before="60" w:after="60" w:line="276" w:lineRule="auto"/>
              <w:rPr>
                <w:rFonts w:cs="Times New Roman"/>
                <w:bCs/>
                <w:szCs w:val="24"/>
              </w:rPr>
            </w:pPr>
            <w:r w:rsidRPr="00815DF6">
              <w:rPr>
                <w:rFonts w:cs="Times New Roman"/>
                <w:bCs/>
                <w:szCs w:val="24"/>
              </w:rPr>
              <w:t>An HISP team based in Sri Lanka supports continued scale-up of the tool. The team has a strong relationship with the MOH and was the clear partner for co-developing a digital COVID-19 response.</w:t>
            </w:r>
          </w:p>
        </w:tc>
      </w:tr>
      <w:tr w:rsidR="00232EF6" w:rsidRPr="00232EF6" w14:paraId="6E3E1BFF"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C6CFD" w14:textId="401A1B73" w:rsidR="00232EF6" w:rsidRPr="00232EF6" w:rsidRDefault="00232EF6" w:rsidP="00595343">
            <w:pPr>
              <w:spacing w:before="60" w:after="60" w:line="276" w:lineRule="auto"/>
              <w:rPr>
                <w:rFonts w:cs="Times New Roman"/>
                <w:szCs w:val="24"/>
              </w:rPr>
            </w:pPr>
            <w:r w:rsidRPr="00232EF6">
              <w:rPr>
                <w:rFonts w:cs="Times New Roman"/>
                <w:bCs/>
                <w:szCs w:val="24"/>
              </w:rPr>
              <w:t xml:space="preserve">Area 3: </w:t>
            </w:r>
            <w:r w:rsidR="00330AF1" w:rsidRPr="00603B48">
              <w:rPr>
                <w:rFonts w:cs="Times New Roman"/>
                <w:bCs/>
                <w:szCs w:val="24"/>
              </w:rPr>
              <w:t xml:space="preserve">Financial </w:t>
            </w:r>
            <w:r w:rsidR="00330AF1" w:rsidRPr="00330AF1">
              <w:rPr>
                <w:rFonts w:cs="Times New Roman"/>
                <w:bCs/>
                <w:szCs w:val="24"/>
              </w:rPr>
              <w:t>h</w:t>
            </w:r>
            <w:r w:rsidR="00330AF1" w:rsidRPr="00603B48">
              <w:rPr>
                <w:rFonts w:cs="Times New Roman"/>
                <w:bCs/>
                <w:szCs w:val="24"/>
              </w:rPr>
              <w:t>ealth</w:t>
            </w:r>
          </w:p>
        </w:tc>
      </w:tr>
      <w:tr w:rsidR="00232EF6" w:rsidRPr="00232EF6" w14:paraId="13D636AB"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5FC4E9AA" w14:textId="77777777" w:rsidR="00232EF6" w:rsidRPr="00232EF6" w:rsidRDefault="00232EF6" w:rsidP="00595343">
            <w:pPr>
              <w:spacing w:before="60" w:after="60" w:line="276" w:lineRule="auto"/>
              <w:rPr>
                <w:rFonts w:cs="Times New Roman"/>
                <w:bCs/>
                <w:i/>
                <w:iCs/>
                <w:szCs w:val="24"/>
              </w:rPr>
            </w:pPr>
            <w:r w:rsidRPr="00232EF6">
              <w:rPr>
                <w:rFonts w:cs="Times New Roman"/>
                <w:bCs/>
                <w:i/>
                <w:iCs/>
                <w:szCs w:val="24"/>
              </w:rPr>
              <w:t>Financial management</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20450B7B" w14:textId="77777777" w:rsidR="00232EF6" w:rsidRPr="00232EF6" w:rsidRDefault="00232EF6" w:rsidP="00595343">
            <w:pPr>
              <w:spacing w:before="60" w:after="60" w:line="276" w:lineRule="auto"/>
              <w:rPr>
                <w:rFonts w:cs="Times New Roman"/>
                <w:bCs/>
                <w:i/>
                <w:iCs/>
                <w:szCs w:val="24"/>
              </w:rPr>
            </w:pPr>
            <w:r w:rsidRPr="00232EF6">
              <w:rPr>
                <w:rFonts w:cs="Times New Roman"/>
                <w:bCs/>
                <w:i/>
                <w:iCs/>
                <w:szCs w:val="24"/>
              </w:rPr>
              <w:t>Financial model</w:t>
            </w:r>
          </w:p>
        </w:tc>
      </w:tr>
      <w:tr w:rsidR="00232EF6" w:rsidRPr="00232EF6" w14:paraId="769CD398"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1BFBEE74" w14:textId="46BDB23C" w:rsidR="00232EF6" w:rsidRPr="00232EF6" w:rsidRDefault="00A16FD5" w:rsidP="00595343">
            <w:pPr>
              <w:spacing w:before="60" w:after="60" w:line="276" w:lineRule="auto"/>
              <w:rPr>
                <w:rFonts w:cs="Times New Roman"/>
                <w:bCs/>
                <w:szCs w:val="24"/>
              </w:rPr>
            </w:pPr>
            <w:r w:rsidRPr="00815DF6">
              <w:rPr>
                <w:rFonts w:cs="Times New Roman"/>
                <w:bCs/>
                <w:szCs w:val="24"/>
              </w:rPr>
              <w:t xml:space="preserve">No clear funding has been allocated to developing the COVID-19 modules. The team developed the new modules cost-effectively, in part through a </w:t>
            </w:r>
            <w:r w:rsidR="005870AD">
              <w:rPr>
                <w:rFonts w:cs="Times New Roman"/>
                <w:bCs/>
                <w:szCs w:val="24"/>
              </w:rPr>
              <w:t>“</w:t>
            </w:r>
            <w:r w:rsidRPr="00815DF6">
              <w:rPr>
                <w:rFonts w:cs="Times New Roman"/>
                <w:bCs/>
                <w:szCs w:val="24"/>
              </w:rPr>
              <w:t>hackathon</w:t>
            </w:r>
            <w:r w:rsidR="005870AD">
              <w:rPr>
                <w:rFonts w:cs="Times New Roman"/>
                <w:bCs/>
                <w:szCs w:val="24"/>
              </w:rPr>
              <w:t>”</w:t>
            </w:r>
            <w:r w:rsidRPr="00815DF6">
              <w:rPr>
                <w:rFonts w:cs="Times New Roman"/>
                <w:bCs/>
                <w:szCs w:val="24"/>
              </w:rPr>
              <w:t xml:space="preserve"> of volunteer contributors.</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2AF791B0" w14:textId="3129E93C" w:rsidR="00232EF6" w:rsidRPr="00232EF6" w:rsidRDefault="00A16FD5" w:rsidP="00595343">
            <w:pPr>
              <w:spacing w:before="60" w:after="60" w:line="276" w:lineRule="auto"/>
              <w:rPr>
                <w:rFonts w:cs="Times New Roman"/>
                <w:bCs/>
                <w:szCs w:val="24"/>
              </w:rPr>
            </w:pPr>
            <w:r w:rsidRPr="00815DF6">
              <w:rPr>
                <w:rFonts w:cs="Times New Roman"/>
                <w:bCs/>
                <w:szCs w:val="24"/>
              </w:rPr>
              <w:t>Limited information is available. The long-term financial model is unclear.</w:t>
            </w:r>
          </w:p>
        </w:tc>
      </w:tr>
      <w:tr w:rsidR="00232EF6" w:rsidRPr="00232EF6" w14:paraId="1875C643"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E5312" w14:textId="131DBC26" w:rsidR="00232EF6" w:rsidRPr="00232EF6" w:rsidRDefault="00232EF6" w:rsidP="00595343">
            <w:pPr>
              <w:spacing w:before="60" w:after="60" w:line="276" w:lineRule="auto"/>
              <w:rPr>
                <w:rFonts w:cs="Times New Roman"/>
                <w:szCs w:val="24"/>
              </w:rPr>
            </w:pPr>
            <w:r w:rsidRPr="00232EF6">
              <w:rPr>
                <w:rFonts w:cs="Times New Roman"/>
                <w:bCs/>
                <w:szCs w:val="24"/>
              </w:rPr>
              <w:t xml:space="preserve">Area 4: </w:t>
            </w:r>
            <w:r w:rsidR="00330AF1" w:rsidRPr="000C126A">
              <w:rPr>
                <w:rFonts w:cs="Times New Roman"/>
                <w:bCs/>
                <w:szCs w:val="24"/>
              </w:rPr>
              <w:t>Technology</w:t>
            </w:r>
            <w:r w:rsidR="00330AF1" w:rsidRPr="00330AF1">
              <w:rPr>
                <w:rFonts w:cs="Times New Roman"/>
                <w:bCs/>
                <w:szCs w:val="24"/>
              </w:rPr>
              <w:t xml:space="preserve"> and</w:t>
            </w:r>
            <w:r w:rsidR="00330AF1" w:rsidRPr="000C126A">
              <w:rPr>
                <w:rFonts w:cs="Times New Roman"/>
                <w:bCs/>
                <w:szCs w:val="24"/>
              </w:rPr>
              <w:t xml:space="preserve"> </w:t>
            </w:r>
            <w:r w:rsidR="00330AF1" w:rsidRPr="00330AF1">
              <w:rPr>
                <w:rFonts w:cs="Times New Roman"/>
                <w:bCs/>
                <w:szCs w:val="24"/>
              </w:rPr>
              <w:t>a</w:t>
            </w:r>
            <w:r w:rsidR="00330AF1" w:rsidRPr="000C126A">
              <w:rPr>
                <w:rFonts w:cs="Times New Roman"/>
                <w:bCs/>
                <w:szCs w:val="24"/>
              </w:rPr>
              <w:t>rchitecture</w:t>
            </w:r>
          </w:p>
        </w:tc>
      </w:tr>
      <w:tr w:rsidR="00232EF6" w:rsidRPr="00232EF6" w14:paraId="31DDD8D2"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757" w:type="pct"/>
            <w:gridSpan w:val="4"/>
            <w:tcBorders>
              <w:top w:val="nil"/>
              <w:left w:val="single" w:sz="4" w:space="0" w:color="auto"/>
              <w:bottom w:val="single" w:sz="4" w:space="0" w:color="auto"/>
              <w:right w:val="single" w:sz="4" w:space="0" w:color="auto"/>
            </w:tcBorders>
            <w:shd w:val="clear" w:color="auto" w:fill="auto"/>
            <w:hideMark/>
          </w:tcPr>
          <w:p w14:paraId="7943C164"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Data</w:t>
            </w:r>
          </w:p>
        </w:tc>
        <w:tc>
          <w:tcPr>
            <w:tcW w:w="1577" w:type="pct"/>
            <w:gridSpan w:val="5"/>
            <w:tcBorders>
              <w:top w:val="nil"/>
              <w:left w:val="nil"/>
              <w:bottom w:val="single" w:sz="4" w:space="0" w:color="auto"/>
              <w:right w:val="single" w:sz="4" w:space="0" w:color="auto"/>
            </w:tcBorders>
            <w:shd w:val="clear" w:color="auto" w:fill="auto"/>
            <w:hideMark/>
          </w:tcPr>
          <w:p w14:paraId="375F1D5A"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hideMark/>
          </w:tcPr>
          <w:p w14:paraId="56F5E1A2"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Adaptability </w:t>
            </w:r>
          </w:p>
        </w:tc>
      </w:tr>
      <w:tr w:rsidR="00232EF6" w:rsidRPr="00232EF6" w14:paraId="1271D438"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4"/>
        </w:trPr>
        <w:tc>
          <w:tcPr>
            <w:tcW w:w="1757" w:type="pct"/>
            <w:gridSpan w:val="4"/>
            <w:tcBorders>
              <w:top w:val="nil"/>
              <w:left w:val="single" w:sz="4" w:space="0" w:color="auto"/>
              <w:bottom w:val="single" w:sz="4" w:space="0" w:color="auto"/>
              <w:right w:val="single" w:sz="4" w:space="0" w:color="auto"/>
            </w:tcBorders>
            <w:shd w:val="clear" w:color="auto" w:fill="auto"/>
            <w:hideMark/>
          </w:tcPr>
          <w:p w14:paraId="26D3C961" w14:textId="3FD1822F" w:rsidR="00232EF6" w:rsidRPr="00232EF6" w:rsidRDefault="00A16FD5" w:rsidP="00595343">
            <w:pPr>
              <w:spacing w:before="60" w:after="60" w:line="276" w:lineRule="auto"/>
              <w:rPr>
                <w:rFonts w:cs="Times New Roman"/>
                <w:bCs/>
                <w:szCs w:val="24"/>
              </w:rPr>
            </w:pPr>
            <w:r w:rsidRPr="00815DF6">
              <w:rPr>
                <w:rFonts w:cs="Times New Roman"/>
                <w:bCs/>
                <w:szCs w:val="24"/>
              </w:rPr>
              <w:lastRenderedPageBreak/>
              <w:t>The MOH used the data collected to inform decisions throughout 2020.</w:t>
            </w:r>
          </w:p>
        </w:tc>
        <w:tc>
          <w:tcPr>
            <w:tcW w:w="1577" w:type="pct"/>
            <w:gridSpan w:val="5"/>
            <w:tcBorders>
              <w:top w:val="nil"/>
              <w:left w:val="nil"/>
              <w:bottom w:val="single" w:sz="4" w:space="0" w:color="auto"/>
              <w:right w:val="single" w:sz="4" w:space="0" w:color="auto"/>
            </w:tcBorders>
            <w:shd w:val="clear" w:color="auto" w:fill="auto"/>
            <w:hideMark/>
          </w:tcPr>
          <w:p w14:paraId="25E166F5" w14:textId="7CEF432F" w:rsidR="00232EF6" w:rsidRPr="00232EF6" w:rsidRDefault="00A16FD5" w:rsidP="00595343">
            <w:pPr>
              <w:spacing w:before="60" w:after="60" w:line="276" w:lineRule="auto"/>
              <w:rPr>
                <w:rFonts w:cs="Times New Roman"/>
                <w:bCs/>
                <w:szCs w:val="24"/>
              </w:rPr>
            </w:pPr>
            <w:r w:rsidRPr="00815DF6">
              <w:rPr>
                <w:rFonts w:cs="Times New Roman"/>
                <w:bCs/>
                <w:szCs w:val="24"/>
              </w:rPr>
              <w:t>Each module was built to be interoperable with DHIS2 and other key information systems (such as immigration), which enabled quick training and uptake.</w:t>
            </w:r>
          </w:p>
        </w:tc>
        <w:tc>
          <w:tcPr>
            <w:tcW w:w="1666" w:type="pct"/>
            <w:gridSpan w:val="2"/>
            <w:tcBorders>
              <w:top w:val="nil"/>
              <w:left w:val="nil"/>
              <w:bottom w:val="single" w:sz="4" w:space="0" w:color="auto"/>
              <w:right w:val="single" w:sz="4" w:space="0" w:color="auto"/>
            </w:tcBorders>
            <w:shd w:val="clear" w:color="auto" w:fill="auto"/>
            <w:hideMark/>
          </w:tcPr>
          <w:p w14:paraId="53377AE0" w14:textId="7721BD48" w:rsidR="00232EF6" w:rsidRPr="00232EF6" w:rsidRDefault="00A16FD5" w:rsidP="00595343">
            <w:pPr>
              <w:spacing w:before="60" w:after="60" w:line="276" w:lineRule="auto"/>
              <w:rPr>
                <w:rFonts w:cs="Times New Roman"/>
                <w:bCs/>
                <w:szCs w:val="24"/>
              </w:rPr>
            </w:pPr>
            <w:r w:rsidRPr="00815DF6">
              <w:rPr>
                <w:rFonts w:cs="Times New Roman"/>
                <w:bCs/>
                <w:szCs w:val="24"/>
              </w:rPr>
              <w:t>The DHIS2 platform is easily adaptable, enabling rapid development and adjustment to modules. Because the scope of requirements was not immediately clear, the adaptability of the system was a key driver in building on DHIS2.</w:t>
            </w:r>
          </w:p>
        </w:tc>
      </w:tr>
      <w:tr w:rsidR="00232EF6" w:rsidRPr="00232EF6" w14:paraId="474DB47E"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730F3" w14:textId="77777777" w:rsidR="00232EF6" w:rsidRPr="00232EF6" w:rsidRDefault="00232EF6" w:rsidP="00595343">
            <w:pPr>
              <w:spacing w:before="60" w:after="60" w:line="276" w:lineRule="auto"/>
              <w:rPr>
                <w:rFonts w:cs="Times New Roman"/>
                <w:szCs w:val="24"/>
              </w:rPr>
            </w:pPr>
            <w:r w:rsidRPr="00232EF6">
              <w:rPr>
                <w:rFonts w:cs="Times New Roman"/>
                <w:bCs/>
                <w:szCs w:val="24"/>
              </w:rPr>
              <w:t>Area 5: Operations</w:t>
            </w:r>
          </w:p>
        </w:tc>
      </w:tr>
      <w:tr w:rsidR="00130E35" w:rsidRPr="00232EF6" w14:paraId="64F50B4F"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202" w:type="pct"/>
            <w:gridSpan w:val="2"/>
            <w:tcBorders>
              <w:top w:val="nil"/>
              <w:left w:val="single" w:sz="4" w:space="0" w:color="auto"/>
              <w:bottom w:val="single" w:sz="4" w:space="0" w:color="auto"/>
              <w:right w:val="single" w:sz="4" w:space="0" w:color="auto"/>
            </w:tcBorders>
            <w:shd w:val="clear" w:color="auto" w:fill="auto"/>
            <w:hideMark/>
          </w:tcPr>
          <w:p w14:paraId="0B1213ED"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Personnel</w:t>
            </w:r>
          </w:p>
        </w:tc>
        <w:tc>
          <w:tcPr>
            <w:tcW w:w="1205" w:type="pct"/>
            <w:gridSpan w:val="4"/>
            <w:tcBorders>
              <w:top w:val="nil"/>
              <w:left w:val="nil"/>
              <w:bottom w:val="single" w:sz="4" w:space="0" w:color="auto"/>
              <w:right w:val="single" w:sz="4" w:space="0" w:color="auto"/>
            </w:tcBorders>
            <w:shd w:val="clear" w:color="auto" w:fill="auto"/>
            <w:hideMark/>
          </w:tcPr>
          <w:p w14:paraId="4F932FE2" w14:textId="11185203" w:rsidR="00232EF6" w:rsidRPr="00232EF6" w:rsidRDefault="00130E35" w:rsidP="00595343">
            <w:pPr>
              <w:spacing w:before="60" w:after="60" w:line="276" w:lineRule="auto"/>
              <w:rPr>
                <w:rFonts w:cs="Times New Roman"/>
                <w:i/>
                <w:iCs/>
                <w:szCs w:val="24"/>
              </w:rPr>
            </w:pPr>
            <w:r w:rsidRPr="00130E35">
              <w:rPr>
                <w:rFonts w:cs="Times New Roman"/>
                <w:bCs/>
                <w:i/>
                <w:iCs/>
                <w:szCs w:val="24"/>
              </w:rPr>
              <w:t>Training and support</w:t>
            </w:r>
          </w:p>
        </w:tc>
        <w:tc>
          <w:tcPr>
            <w:tcW w:w="1342" w:type="pct"/>
            <w:gridSpan w:val="4"/>
            <w:tcBorders>
              <w:top w:val="nil"/>
              <w:left w:val="nil"/>
              <w:bottom w:val="single" w:sz="4" w:space="0" w:color="auto"/>
              <w:right w:val="single" w:sz="4" w:space="0" w:color="auto"/>
            </w:tcBorders>
            <w:shd w:val="clear" w:color="auto" w:fill="auto"/>
            <w:hideMark/>
          </w:tcPr>
          <w:p w14:paraId="5CA0C133" w14:textId="4FF92334" w:rsidR="00232EF6" w:rsidRPr="00232EF6" w:rsidRDefault="00130E35" w:rsidP="00595343">
            <w:pPr>
              <w:spacing w:before="60" w:after="60" w:line="276" w:lineRule="auto"/>
              <w:rPr>
                <w:rFonts w:cs="Times New Roman"/>
                <w:i/>
                <w:iCs/>
                <w:szCs w:val="24"/>
              </w:rPr>
            </w:pPr>
            <w:r w:rsidRPr="00232EF6">
              <w:rPr>
                <w:rFonts w:cs="Times New Roman"/>
                <w:bCs/>
                <w:i/>
                <w:iCs/>
                <w:szCs w:val="24"/>
              </w:rPr>
              <w:t>Outreach</w:t>
            </w:r>
            <w:r w:rsidRPr="00130E35">
              <w:rPr>
                <w:rFonts w:cs="Times New Roman"/>
                <w:bCs/>
                <w:i/>
                <w:iCs/>
                <w:szCs w:val="24"/>
              </w:rPr>
              <w:t xml:space="preserve"> and s</w:t>
            </w:r>
            <w:r w:rsidRPr="00232EF6">
              <w:rPr>
                <w:rFonts w:cs="Times New Roman"/>
                <w:bCs/>
                <w:i/>
                <w:iCs/>
                <w:szCs w:val="24"/>
              </w:rPr>
              <w:t>ensitization</w:t>
            </w:r>
          </w:p>
        </w:tc>
        <w:tc>
          <w:tcPr>
            <w:tcW w:w="1252" w:type="pct"/>
            <w:tcBorders>
              <w:top w:val="nil"/>
              <w:left w:val="nil"/>
              <w:bottom w:val="single" w:sz="4" w:space="0" w:color="auto"/>
              <w:right w:val="single" w:sz="4" w:space="0" w:color="auto"/>
            </w:tcBorders>
            <w:shd w:val="clear" w:color="auto" w:fill="auto"/>
            <w:hideMark/>
          </w:tcPr>
          <w:p w14:paraId="1E20A20A" w14:textId="097FA16E" w:rsidR="00232EF6" w:rsidRPr="00232EF6" w:rsidRDefault="00130E35" w:rsidP="00595343">
            <w:pPr>
              <w:spacing w:before="60" w:after="60" w:line="276" w:lineRule="auto"/>
              <w:rPr>
                <w:rFonts w:cs="Times New Roman"/>
                <w:i/>
                <w:iCs/>
                <w:szCs w:val="24"/>
              </w:rPr>
            </w:pPr>
            <w:r w:rsidRPr="00130E35">
              <w:rPr>
                <w:rFonts w:cs="Times New Roman"/>
                <w:bCs/>
                <w:i/>
                <w:iCs/>
                <w:szCs w:val="24"/>
              </w:rPr>
              <w:t>Contingency planning</w:t>
            </w:r>
          </w:p>
        </w:tc>
      </w:tr>
      <w:tr w:rsidR="00130E35" w:rsidRPr="00232EF6" w14:paraId="054B792E"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202" w:type="pct"/>
            <w:gridSpan w:val="2"/>
            <w:tcBorders>
              <w:top w:val="nil"/>
              <w:left w:val="single" w:sz="4" w:space="0" w:color="auto"/>
              <w:bottom w:val="single" w:sz="4" w:space="0" w:color="auto"/>
              <w:right w:val="single" w:sz="4" w:space="0" w:color="auto"/>
            </w:tcBorders>
            <w:shd w:val="clear" w:color="auto" w:fill="auto"/>
            <w:hideMark/>
          </w:tcPr>
          <w:p w14:paraId="27BFBFF3" w14:textId="6C8BB720" w:rsidR="00232EF6" w:rsidRPr="00232EF6" w:rsidRDefault="00A16FD5" w:rsidP="00595343">
            <w:pPr>
              <w:spacing w:before="60" w:after="60" w:line="276" w:lineRule="auto"/>
              <w:rPr>
                <w:rFonts w:cs="Times New Roman"/>
                <w:szCs w:val="24"/>
              </w:rPr>
            </w:pPr>
            <w:r w:rsidRPr="00815DF6">
              <w:rPr>
                <w:rFonts w:cs="Times New Roman"/>
                <w:szCs w:val="24"/>
              </w:rPr>
              <w:t>Having a team on the ground in Sri Lanka with a strong connection to the MOH was a critical enabler of the strong response.</w:t>
            </w:r>
          </w:p>
        </w:tc>
        <w:tc>
          <w:tcPr>
            <w:tcW w:w="1205" w:type="pct"/>
            <w:gridSpan w:val="4"/>
            <w:tcBorders>
              <w:top w:val="nil"/>
              <w:left w:val="nil"/>
              <w:bottom w:val="single" w:sz="4" w:space="0" w:color="auto"/>
              <w:right w:val="single" w:sz="4" w:space="0" w:color="auto"/>
            </w:tcBorders>
            <w:shd w:val="clear" w:color="auto" w:fill="auto"/>
            <w:hideMark/>
          </w:tcPr>
          <w:p w14:paraId="0233967D" w14:textId="29AAD303" w:rsidR="00232EF6" w:rsidRPr="00232EF6" w:rsidRDefault="00A16FD5" w:rsidP="00595343">
            <w:pPr>
              <w:spacing w:before="60" w:after="60" w:line="276" w:lineRule="auto"/>
              <w:rPr>
                <w:rFonts w:cs="Times New Roman"/>
                <w:szCs w:val="24"/>
              </w:rPr>
            </w:pPr>
            <w:r w:rsidRPr="00815DF6">
              <w:rPr>
                <w:rFonts w:cs="Times New Roman"/>
                <w:szCs w:val="24"/>
              </w:rPr>
              <w:t>The HISP team rapidly developed and deployed trainings for users.</w:t>
            </w:r>
          </w:p>
        </w:tc>
        <w:tc>
          <w:tcPr>
            <w:tcW w:w="1342" w:type="pct"/>
            <w:gridSpan w:val="4"/>
            <w:tcBorders>
              <w:top w:val="nil"/>
              <w:left w:val="nil"/>
              <w:bottom w:val="single" w:sz="4" w:space="0" w:color="auto"/>
              <w:right w:val="single" w:sz="4" w:space="0" w:color="auto"/>
            </w:tcBorders>
            <w:shd w:val="clear" w:color="auto" w:fill="auto"/>
            <w:hideMark/>
          </w:tcPr>
          <w:p w14:paraId="1020D849" w14:textId="191D1C8D" w:rsidR="00232EF6" w:rsidRPr="00232EF6" w:rsidRDefault="00A16FD5" w:rsidP="00595343">
            <w:pPr>
              <w:spacing w:before="60" w:after="60" w:line="276" w:lineRule="auto"/>
              <w:rPr>
                <w:rFonts w:cs="Times New Roman"/>
                <w:szCs w:val="24"/>
              </w:rPr>
            </w:pPr>
            <w:r w:rsidRPr="00815DF6">
              <w:rPr>
                <w:rFonts w:cs="Times New Roman"/>
                <w:szCs w:val="24"/>
              </w:rPr>
              <w:t>Due to the speed of deployment, there was not enough time to educate users before incorporating the modules into existing processes.</w:t>
            </w:r>
          </w:p>
        </w:tc>
        <w:tc>
          <w:tcPr>
            <w:tcW w:w="1252" w:type="pct"/>
            <w:tcBorders>
              <w:top w:val="nil"/>
              <w:left w:val="nil"/>
              <w:bottom w:val="single" w:sz="4" w:space="0" w:color="auto"/>
              <w:right w:val="single" w:sz="4" w:space="0" w:color="auto"/>
            </w:tcBorders>
            <w:shd w:val="clear" w:color="auto" w:fill="auto"/>
            <w:hideMark/>
          </w:tcPr>
          <w:p w14:paraId="571615B4" w14:textId="55E95672" w:rsidR="00232EF6" w:rsidRPr="00232EF6" w:rsidRDefault="00A16FD5" w:rsidP="00595343">
            <w:pPr>
              <w:spacing w:before="60" w:after="60" w:line="276" w:lineRule="auto"/>
              <w:rPr>
                <w:rFonts w:cs="Times New Roman"/>
                <w:szCs w:val="24"/>
              </w:rPr>
            </w:pPr>
            <w:r w:rsidRPr="00815DF6">
              <w:rPr>
                <w:rFonts w:cs="Times New Roman"/>
                <w:szCs w:val="24"/>
              </w:rPr>
              <w:t>Limited information is available. The team reacted quickly to changing pandemic requirements.</w:t>
            </w:r>
          </w:p>
        </w:tc>
      </w:tr>
      <w:tr w:rsidR="00232EF6" w:rsidRPr="00232EF6" w14:paraId="000EAAFC"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748492" w14:textId="36CBDD51" w:rsidR="00232EF6" w:rsidRPr="00232EF6" w:rsidRDefault="00232EF6" w:rsidP="00595343">
            <w:pPr>
              <w:spacing w:before="60" w:after="60" w:line="276" w:lineRule="auto"/>
              <w:rPr>
                <w:rFonts w:cs="Times New Roman"/>
                <w:szCs w:val="24"/>
              </w:rPr>
            </w:pPr>
            <w:r w:rsidRPr="00232EF6">
              <w:rPr>
                <w:rFonts w:cs="Times New Roman"/>
                <w:bCs/>
                <w:szCs w:val="24"/>
              </w:rPr>
              <w:t xml:space="preserve">Area 6: </w:t>
            </w:r>
            <w:r w:rsidR="00330AF1" w:rsidRPr="00330AF1">
              <w:rPr>
                <w:rFonts w:cs="Times New Roman"/>
                <w:bCs/>
                <w:szCs w:val="24"/>
              </w:rPr>
              <w:t>Monitoring and evaluation</w:t>
            </w:r>
          </w:p>
        </w:tc>
      </w:tr>
      <w:tr w:rsidR="00232EF6" w:rsidRPr="00232EF6" w14:paraId="53093116"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06" w:type="pct"/>
            <w:gridSpan w:val="6"/>
            <w:tcBorders>
              <w:top w:val="nil"/>
              <w:left w:val="single" w:sz="4" w:space="0" w:color="auto"/>
              <w:bottom w:val="single" w:sz="4" w:space="0" w:color="auto"/>
              <w:right w:val="single" w:sz="4" w:space="0" w:color="auto"/>
            </w:tcBorders>
            <w:shd w:val="clear" w:color="auto" w:fill="auto"/>
            <w:hideMark/>
          </w:tcPr>
          <w:p w14:paraId="4DC24622"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Process monitoring</w:t>
            </w:r>
          </w:p>
        </w:tc>
        <w:tc>
          <w:tcPr>
            <w:tcW w:w="2594" w:type="pct"/>
            <w:gridSpan w:val="5"/>
            <w:tcBorders>
              <w:top w:val="nil"/>
              <w:left w:val="nil"/>
              <w:bottom w:val="single" w:sz="4" w:space="0" w:color="auto"/>
              <w:right w:val="single" w:sz="4" w:space="0" w:color="auto"/>
            </w:tcBorders>
            <w:shd w:val="clear" w:color="auto" w:fill="auto"/>
            <w:hideMark/>
          </w:tcPr>
          <w:p w14:paraId="31097639" w14:textId="77777777" w:rsidR="00232EF6" w:rsidRPr="00232EF6" w:rsidRDefault="00232EF6" w:rsidP="00595343">
            <w:pPr>
              <w:spacing w:before="60" w:after="60" w:line="276" w:lineRule="auto"/>
              <w:rPr>
                <w:rFonts w:cs="Times New Roman"/>
                <w:i/>
                <w:iCs/>
                <w:szCs w:val="24"/>
              </w:rPr>
            </w:pPr>
            <w:r w:rsidRPr="00232EF6">
              <w:rPr>
                <w:rFonts w:cs="Times New Roman"/>
                <w:bCs/>
                <w:i/>
                <w:iCs/>
                <w:szCs w:val="24"/>
              </w:rPr>
              <w:t xml:space="preserve">Evaluation </w:t>
            </w:r>
          </w:p>
        </w:tc>
      </w:tr>
      <w:tr w:rsidR="00232EF6" w:rsidRPr="00232EF6" w14:paraId="1A47E918" w14:textId="77777777" w:rsidTr="008F4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2406" w:type="pct"/>
            <w:gridSpan w:val="6"/>
            <w:tcBorders>
              <w:top w:val="nil"/>
              <w:left w:val="single" w:sz="4" w:space="0" w:color="auto"/>
              <w:bottom w:val="single" w:sz="4" w:space="0" w:color="auto"/>
              <w:right w:val="single" w:sz="4" w:space="0" w:color="auto"/>
            </w:tcBorders>
            <w:shd w:val="clear" w:color="auto" w:fill="auto"/>
            <w:hideMark/>
          </w:tcPr>
          <w:p w14:paraId="22AD04AB" w14:textId="0A8F0AF1" w:rsidR="00232EF6" w:rsidRPr="00232EF6" w:rsidRDefault="00A16FD5" w:rsidP="00595343">
            <w:pPr>
              <w:spacing w:before="60" w:after="60" w:line="276" w:lineRule="auto"/>
              <w:rPr>
                <w:rFonts w:cs="Times New Roman"/>
                <w:szCs w:val="24"/>
              </w:rPr>
            </w:pPr>
            <w:r w:rsidRPr="00815DF6">
              <w:rPr>
                <w:rFonts w:cs="Times New Roman"/>
                <w:szCs w:val="24"/>
              </w:rPr>
              <w:t>While the team provides active technical support, the need to move quickly on new modules was prioritized over monitoring existing modules.</w:t>
            </w:r>
          </w:p>
        </w:tc>
        <w:tc>
          <w:tcPr>
            <w:tcW w:w="2594" w:type="pct"/>
            <w:gridSpan w:val="5"/>
            <w:tcBorders>
              <w:top w:val="nil"/>
              <w:left w:val="nil"/>
              <w:bottom w:val="single" w:sz="4" w:space="0" w:color="auto"/>
              <w:right w:val="single" w:sz="4" w:space="0" w:color="auto"/>
            </w:tcBorders>
            <w:shd w:val="clear" w:color="auto" w:fill="auto"/>
            <w:hideMark/>
          </w:tcPr>
          <w:p w14:paraId="6298C845" w14:textId="015D6723" w:rsidR="00232EF6" w:rsidRPr="00232EF6" w:rsidRDefault="00A16FD5" w:rsidP="00595343">
            <w:pPr>
              <w:spacing w:before="60" w:after="60" w:line="276" w:lineRule="auto"/>
              <w:rPr>
                <w:rFonts w:cs="Times New Roman"/>
                <w:szCs w:val="24"/>
              </w:rPr>
            </w:pPr>
            <w:r w:rsidRPr="00815DF6">
              <w:rPr>
                <w:rFonts w:cs="Times New Roman"/>
                <w:szCs w:val="24"/>
              </w:rPr>
              <w:t>Limited information is available on efforts to evaluate the tool</w:t>
            </w:r>
            <w:r w:rsidR="005870AD">
              <w:rPr>
                <w:rFonts w:cs="Times New Roman"/>
                <w:szCs w:val="24"/>
              </w:rPr>
              <w:t>’</w:t>
            </w:r>
            <w:r w:rsidRPr="00815DF6">
              <w:rPr>
                <w:rFonts w:cs="Times New Roman"/>
                <w:szCs w:val="24"/>
              </w:rPr>
              <w:t>s impact during the COVID-19 pandemic.</w:t>
            </w:r>
          </w:p>
        </w:tc>
      </w:tr>
      <w:tr w:rsidR="009D20E5" w:rsidRPr="009D20E5" w14:paraId="3DB4239E" w14:textId="77777777" w:rsidTr="000D1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0BFB4A" w14:textId="1F74C589" w:rsidR="009D20E5" w:rsidRPr="009D20E5" w:rsidRDefault="007A31C7" w:rsidP="00595343">
            <w:pPr>
              <w:spacing w:before="60" w:after="60" w:line="276" w:lineRule="auto"/>
              <w:jc w:val="center"/>
              <w:rPr>
                <w:rFonts w:cs="Times New Roman"/>
                <w:b/>
                <w:szCs w:val="24"/>
              </w:rPr>
            </w:pPr>
            <w:r w:rsidRPr="00815DF6">
              <w:rPr>
                <w:rFonts w:cs="Times New Roman"/>
                <w:b/>
                <w:szCs w:val="24"/>
              </w:rPr>
              <w:t>Smart Health (Uganda)</w:t>
            </w:r>
          </w:p>
        </w:tc>
      </w:tr>
      <w:tr w:rsidR="009D20E5" w:rsidRPr="009D20E5" w14:paraId="72018C71"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C74727" w14:textId="77777777" w:rsidR="009D20E5" w:rsidRPr="009D20E5" w:rsidRDefault="009D20E5" w:rsidP="00595343">
            <w:pPr>
              <w:spacing w:before="60" w:after="60" w:line="276" w:lineRule="auto"/>
              <w:rPr>
                <w:rFonts w:cs="Times New Roman"/>
                <w:bCs/>
                <w:szCs w:val="24"/>
              </w:rPr>
            </w:pPr>
            <w:r w:rsidRPr="009D20E5">
              <w:rPr>
                <w:rFonts w:cs="Times New Roman"/>
                <w:bCs/>
                <w:szCs w:val="24"/>
              </w:rPr>
              <w:t>Area 1: Groundwork</w:t>
            </w:r>
          </w:p>
        </w:tc>
      </w:tr>
      <w:tr w:rsidR="003A13C9" w:rsidRPr="003A13C9" w14:paraId="57DE8330" w14:textId="77777777" w:rsidTr="00A84CEB">
        <w:trPr>
          <w:trHeight w:val="50"/>
        </w:trPr>
        <w:tc>
          <w:tcPr>
            <w:tcW w:w="1804" w:type="pct"/>
            <w:gridSpan w:val="5"/>
            <w:shd w:val="clear" w:color="auto" w:fill="auto"/>
            <w:hideMark/>
          </w:tcPr>
          <w:p w14:paraId="1E358F5C"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Parameters of scale</w:t>
            </w:r>
          </w:p>
        </w:tc>
        <w:tc>
          <w:tcPr>
            <w:tcW w:w="1530" w:type="pct"/>
            <w:gridSpan w:val="4"/>
            <w:shd w:val="clear" w:color="auto" w:fill="auto"/>
            <w:hideMark/>
          </w:tcPr>
          <w:p w14:paraId="07C98555"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Contextual environment</w:t>
            </w:r>
          </w:p>
        </w:tc>
        <w:tc>
          <w:tcPr>
            <w:tcW w:w="1666" w:type="pct"/>
            <w:gridSpan w:val="2"/>
            <w:shd w:val="clear" w:color="auto" w:fill="auto"/>
            <w:hideMark/>
          </w:tcPr>
          <w:p w14:paraId="590CB73D"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Scientific basis</w:t>
            </w:r>
          </w:p>
        </w:tc>
      </w:tr>
      <w:tr w:rsidR="00A84CEB" w:rsidRPr="009D20E5" w14:paraId="6AE01218" w14:textId="77777777" w:rsidTr="00A84CEB">
        <w:trPr>
          <w:trHeight w:val="50"/>
        </w:trPr>
        <w:tc>
          <w:tcPr>
            <w:tcW w:w="1804" w:type="pct"/>
            <w:gridSpan w:val="5"/>
            <w:shd w:val="clear" w:color="auto" w:fill="auto"/>
          </w:tcPr>
          <w:p w14:paraId="3C35BE54" w14:textId="2A555A1C" w:rsidR="009D20E5" w:rsidRPr="009D20E5" w:rsidRDefault="007A31C7" w:rsidP="00595343">
            <w:pPr>
              <w:spacing w:before="60" w:after="60" w:line="276" w:lineRule="auto"/>
              <w:rPr>
                <w:rFonts w:cs="Times New Roman"/>
                <w:bCs/>
                <w:szCs w:val="24"/>
              </w:rPr>
            </w:pPr>
            <w:r w:rsidRPr="00815DF6">
              <w:rPr>
                <w:rFonts w:cs="Times New Roman"/>
                <w:bCs/>
                <w:szCs w:val="24"/>
              </w:rPr>
              <w:t xml:space="preserve">Medic partnered with Living Goods to scale the Smart Health app, based on the existing Community Health Toolkit for all their </w:t>
            </w:r>
            <w:r w:rsidR="00A84CEB">
              <w:rPr>
                <w:rFonts w:cs="Times New Roman"/>
                <w:bCs/>
                <w:szCs w:val="24"/>
              </w:rPr>
              <w:t>community health workers</w:t>
            </w:r>
            <w:r w:rsidRPr="00815DF6">
              <w:rPr>
                <w:rFonts w:cs="Times New Roman"/>
                <w:bCs/>
                <w:szCs w:val="24"/>
              </w:rPr>
              <w:t>.</w:t>
            </w:r>
            <w:r w:rsidR="009D20E5" w:rsidRPr="009D20E5">
              <w:rPr>
                <w:rFonts w:cs="Times New Roman"/>
                <w:bCs/>
                <w:szCs w:val="24"/>
              </w:rPr>
              <w:tab/>
            </w:r>
          </w:p>
        </w:tc>
        <w:tc>
          <w:tcPr>
            <w:tcW w:w="1530" w:type="pct"/>
            <w:gridSpan w:val="4"/>
            <w:shd w:val="clear" w:color="auto" w:fill="auto"/>
          </w:tcPr>
          <w:p w14:paraId="74D3681E" w14:textId="7BC35403" w:rsidR="009D20E5" w:rsidRPr="009D20E5" w:rsidRDefault="007A31C7" w:rsidP="00595343">
            <w:pPr>
              <w:spacing w:before="60" w:after="60" w:line="276" w:lineRule="auto"/>
              <w:rPr>
                <w:rFonts w:cs="Times New Roman"/>
                <w:bCs/>
                <w:szCs w:val="24"/>
              </w:rPr>
            </w:pPr>
            <w:r w:rsidRPr="00815DF6">
              <w:rPr>
                <w:rFonts w:cs="Times New Roman"/>
                <w:bCs/>
                <w:szCs w:val="24"/>
              </w:rPr>
              <w:t xml:space="preserve">Living Goods was familiar with the community health worker workflows and Ugandan context; it began operations in the country seven years before partnering with Medic. The Development team spent weeks on the ground to </w:t>
            </w:r>
            <w:r w:rsidRPr="00815DF6">
              <w:rPr>
                <w:rFonts w:cs="Times New Roman"/>
                <w:bCs/>
                <w:szCs w:val="24"/>
              </w:rPr>
              <w:lastRenderedPageBreak/>
              <w:t>better understand Living Good</w:t>
            </w:r>
            <w:r w:rsidR="005870AD">
              <w:rPr>
                <w:rFonts w:cs="Times New Roman"/>
                <w:bCs/>
                <w:szCs w:val="24"/>
              </w:rPr>
              <w:t>’</w:t>
            </w:r>
            <w:r w:rsidRPr="00815DF6">
              <w:rPr>
                <w:rFonts w:cs="Times New Roman"/>
                <w:bCs/>
                <w:szCs w:val="24"/>
              </w:rPr>
              <w:t>s challenges.</w:t>
            </w:r>
          </w:p>
        </w:tc>
        <w:tc>
          <w:tcPr>
            <w:tcW w:w="1666" w:type="pct"/>
            <w:gridSpan w:val="2"/>
            <w:shd w:val="clear" w:color="auto" w:fill="auto"/>
          </w:tcPr>
          <w:p w14:paraId="6D4E2B4D" w14:textId="75BB5F2C" w:rsidR="009D20E5" w:rsidRPr="009D20E5" w:rsidRDefault="007A31C7" w:rsidP="00595343">
            <w:pPr>
              <w:spacing w:before="60" w:after="60" w:line="276" w:lineRule="auto"/>
              <w:rPr>
                <w:rFonts w:cs="Times New Roman"/>
                <w:bCs/>
                <w:szCs w:val="24"/>
              </w:rPr>
            </w:pPr>
            <w:r w:rsidRPr="00815DF6">
              <w:rPr>
                <w:rFonts w:cs="Times New Roman"/>
                <w:bCs/>
                <w:szCs w:val="24"/>
              </w:rPr>
              <w:lastRenderedPageBreak/>
              <w:t>Living Goods invested in randomized control trials to prove the efficacy of the app, finding reductions in costs and child mortality.</w:t>
            </w:r>
          </w:p>
        </w:tc>
      </w:tr>
      <w:tr w:rsidR="009D20E5" w:rsidRPr="009D20E5" w14:paraId="2B1993D4"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31CEE" w14:textId="77777777" w:rsidR="009D20E5" w:rsidRPr="009D20E5" w:rsidRDefault="009D20E5" w:rsidP="00595343">
            <w:pPr>
              <w:spacing w:before="60" w:after="60" w:line="276" w:lineRule="auto"/>
              <w:rPr>
                <w:rFonts w:cs="Times New Roman"/>
                <w:szCs w:val="24"/>
              </w:rPr>
            </w:pPr>
            <w:r w:rsidRPr="009D20E5">
              <w:rPr>
                <w:rFonts w:cs="Times New Roman"/>
                <w:bCs/>
                <w:szCs w:val="24"/>
              </w:rPr>
              <w:t>Area 2: Partnerships</w:t>
            </w:r>
          </w:p>
        </w:tc>
      </w:tr>
      <w:tr w:rsidR="009D20E5" w:rsidRPr="009D20E5" w14:paraId="4599C80E"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hideMark/>
          </w:tcPr>
          <w:p w14:paraId="0F48FCCB"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Strategic engagement</w:t>
            </w:r>
          </w:p>
        </w:tc>
        <w:tc>
          <w:tcPr>
            <w:tcW w:w="2594" w:type="pct"/>
            <w:gridSpan w:val="5"/>
            <w:tcBorders>
              <w:top w:val="nil"/>
              <w:left w:val="nil"/>
              <w:bottom w:val="single" w:sz="4" w:space="0" w:color="auto"/>
              <w:right w:val="single" w:sz="4" w:space="0" w:color="auto"/>
            </w:tcBorders>
            <w:shd w:val="clear" w:color="auto" w:fill="auto"/>
            <w:hideMark/>
          </w:tcPr>
          <w:p w14:paraId="7E16A3E0"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 xml:space="preserve">Partnership sustainability </w:t>
            </w:r>
          </w:p>
        </w:tc>
      </w:tr>
      <w:tr w:rsidR="009D20E5" w:rsidRPr="009D20E5" w14:paraId="01C79513"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tcPr>
          <w:p w14:paraId="379C8858" w14:textId="501371EF" w:rsidR="009D20E5" w:rsidRPr="009D20E5" w:rsidRDefault="007A31C7" w:rsidP="00595343">
            <w:pPr>
              <w:spacing w:before="60" w:after="60" w:line="276" w:lineRule="auto"/>
              <w:rPr>
                <w:rFonts w:cs="Times New Roman"/>
                <w:bCs/>
                <w:szCs w:val="24"/>
              </w:rPr>
            </w:pPr>
            <w:r w:rsidRPr="00815DF6">
              <w:rPr>
                <w:rFonts w:cs="Times New Roman"/>
                <w:bCs/>
                <w:szCs w:val="24"/>
              </w:rPr>
              <w:t>Living Goods engages closely with the Ministry of Health and other health NGOs in Uganda (e.g., BRAC).</w:t>
            </w:r>
          </w:p>
        </w:tc>
        <w:tc>
          <w:tcPr>
            <w:tcW w:w="2594" w:type="pct"/>
            <w:gridSpan w:val="5"/>
            <w:tcBorders>
              <w:top w:val="nil"/>
              <w:left w:val="nil"/>
              <w:bottom w:val="single" w:sz="4" w:space="0" w:color="auto"/>
              <w:right w:val="single" w:sz="4" w:space="0" w:color="auto"/>
            </w:tcBorders>
            <w:shd w:val="clear" w:color="auto" w:fill="auto"/>
          </w:tcPr>
          <w:p w14:paraId="0B2767D9" w14:textId="600D6695" w:rsidR="009D20E5" w:rsidRPr="009D20E5" w:rsidRDefault="007A31C7" w:rsidP="00595343">
            <w:pPr>
              <w:spacing w:before="60" w:after="60" w:line="276" w:lineRule="auto"/>
              <w:rPr>
                <w:rFonts w:cs="Times New Roman"/>
                <w:bCs/>
                <w:szCs w:val="24"/>
              </w:rPr>
            </w:pPr>
            <w:r w:rsidRPr="00815DF6">
              <w:rPr>
                <w:rFonts w:cs="Times New Roman"/>
                <w:bCs/>
                <w:szCs w:val="24"/>
              </w:rPr>
              <w:t xml:space="preserve">The pandemic has provided a unique opportunity for Living Goods to strengthen its partnership with the MOH. It has seconded staff to the </w:t>
            </w:r>
            <w:r w:rsidR="00E07ED2">
              <w:rPr>
                <w:rFonts w:cs="Times New Roman"/>
                <w:bCs/>
                <w:szCs w:val="24"/>
              </w:rPr>
              <w:t>m</w:t>
            </w:r>
            <w:r w:rsidRPr="00815DF6">
              <w:rPr>
                <w:rFonts w:cs="Times New Roman"/>
                <w:bCs/>
                <w:szCs w:val="24"/>
              </w:rPr>
              <w:t xml:space="preserve">inistry and to call centers, donated </w:t>
            </w:r>
            <w:r w:rsidR="00E07ED2">
              <w:rPr>
                <w:rFonts w:cs="Times New Roman"/>
                <w:bCs/>
                <w:szCs w:val="24"/>
              </w:rPr>
              <w:t>personal protective equipment,</w:t>
            </w:r>
            <w:r w:rsidR="00E07ED2" w:rsidRPr="00815DF6">
              <w:rPr>
                <w:rFonts w:cs="Times New Roman"/>
                <w:bCs/>
                <w:szCs w:val="24"/>
              </w:rPr>
              <w:t xml:space="preserve"> </w:t>
            </w:r>
            <w:r w:rsidRPr="00815DF6">
              <w:rPr>
                <w:rFonts w:cs="Times New Roman"/>
                <w:bCs/>
                <w:szCs w:val="24"/>
              </w:rPr>
              <w:t xml:space="preserve">and </w:t>
            </w:r>
            <w:r w:rsidR="00E07ED2">
              <w:rPr>
                <w:rFonts w:cs="Times New Roman"/>
                <w:bCs/>
                <w:szCs w:val="24"/>
              </w:rPr>
              <w:t xml:space="preserve">created </w:t>
            </w:r>
            <w:r w:rsidRPr="00815DF6">
              <w:rPr>
                <w:rFonts w:cs="Times New Roman"/>
                <w:bCs/>
                <w:szCs w:val="24"/>
              </w:rPr>
              <w:t xml:space="preserve">a new partnership to support government </w:t>
            </w:r>
            <w:r w:rsidR="00A84CEB">
              <w:rPr>
                <w:rFonts w:cs="Times New Roman"/>
                <w:bCs/>
                <w:szCs w:val="24"/>
              </w:rPr>
              <w:t>community health workers</w:t>
            </w:r>
            <w:r w:rsidRPr="00815DF6">
              <w:rPr>
                <w:rFonts w:cs="Times New Roman"/>
                <w:bCs/>
                <w:szCs w:val="24"/>
              </w:rPr>
              <w:t>.</w:t>
            </w:r>
          </w:p>
        </w:tc>
      </w:tr>
      <w:tr w:rsidR="009D20E5" w:rsidRPr="009D20E5" w14:paraId="29D381AE"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EB7F1" w14:textId="7C0298FA" w:rsidR="009D20E5" w:rsidRPr="009D20E5" w:rsidRDefault="009D20E5" w:rsidP="00595343">
            <w:pPr>
              <w:spacing w:before="60" w:after="60" w:line="276" w:lineRule="auto"/>
              <w:rPr>
                <w:rFonts w:cs="Times New Roman"/>
                <w:szCs w:val="24"/>
              </w:rPr>
            </w:pPr>
            <w:r w:rsidRPr="009D20E5">
              <w:rPr>
                <w:rFonts w:cs="Times New Roman"/>
                <w:bCs/>
                <w:szCs w:val="24"/>
              </w:rPr>
              <w:t xml:space="preserve">Area 3: </w:t>
            </w:r>
            <w:r w:rsidR="00330AF1" w:rsidRPr="00603B48">
              <w:rPr>
                <w:rFonts w:cs="Times New Roman"/>
                <w:bCs/>
                <w:szCs w:val="24"/>
              </w:rPr>
              <w:t xml:space="preserve">Financial </w:t>
            </w:r>
            <w:r w:rsidR="00330AF1" w:rsidRPr="00330AF1">
              <w:rPr>
                <w:rFonts w:cs="Times New Roman"/>
                <w:bCs/>
                <w:szCs w:val="24"/>
              </w:rPr>
              <w:t>h</w:t>
            </w:r>
            <w:r w:rsidR="00330AF1" w:rsidRPr="00603B48">
              <w:rPr>
                <w:rFonts w:cs="Times New Roman"/>
                <w:bCs/>
                <w:szCs w:val="24"/>
              </w:rPr>
              <w:t>ealth</w:t>
            </w:r>
          </w:p>
        </w:tc>
      </w:tr>
      <w:tr w:rsidR="009D20E5" w:rsidRPr="009D20E5" w14:paraId="30597D5A"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3222B49F" w14:textId="77777777" w:rsidR="009D20E5" w:rsidRPr="009D20E5" w:rsidRDefault="009D20E5" w:rsidP="00595343">
            <w:pPr>
              <w:spacing w:before="60" w:after="60" w:line="276" w:lineRule="auto"/>
              <w:rPr>
                <w:rFonts w:cs="Times New Roman"/>
                <w:bCs/>
                <w:i/>
                <w:iCs/>
                <w:szCs w:val="24"/>
              </w:rPr>
            </w:pPr>
            <w:r w:rsidRPr="009D20E5">
              <w:rPr>
                <w:rFonts w:cs="Times New Roman"/>
                <w:bCs/>
                <w:i/>
                <w:iCs/>
                <w:szCs w:val="24"/>
              </w:rPr>
              <w:t>Financial management</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78780B61" w14:textId="77777777" w:rsidR="009D20E5" w:rsidRPr="009D20E5" w:rsidRDefault="009D20E5" w:rsidP="00595343">
            <w:pPr>
              <w:spacing w:before="60" w:after="60" w:line="276" w:lineRule="auto"/>
              <w:rPr>
                <w:rFonts w:cs="Times New Roman"/>
                <w:bCs/>
                <w:i/>
                <w:iCs/>
                <w:szCs w:val="24"/>
              </w:rPr>
            </w:pPr>
            <w:r w:rsidRPr="009D20E5">
              <w:rPr>
                <w:rFonts w:cs="Times New Roman"/>
                <w:bCs/>
                <w:i/>
                <w:iCs/>
                <w:szCs w:val="24"/>
              </w:rPr>
              <w:t>Financial model</w:t>
            </w:r>
          </w:p>
        </w:tc>
      </w:tr>
      <w:tr w:rsidR="009D20E5" w:rsidRPr="009D20E5" w14:paraId="01D039D8"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742ABBEF" w14:textId="17A94AEA" w:rsidR="009D20E5" w:rsidRPr="009D20E5" w:rsidRDefault="007A31C7" w:rsidP="00595343">
            <w:pPr>
              <w:spacing w:before="60" w:after="60" w:line="276" w:lineRule="auto"/>
              <w:rPr>
                <w:rFonts w:cs="Times New Roman"/>
                <w:bCs/>
                <w:szCs w:val="24"/>
              </w:rPr>
            </w:pPr>
            <w:r w:rsidRPr="00815DF6">
              <w:rPr>
                <w:rFonts w:cs="Times New Roman"/>
                <w:bCs/>
                <w:szCs w:val="24"/>
              </w:rPr>
              <w:t>The financial model is based on consulting, through subcontracts with traditional funders for implementation.</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2678C2A7" w14:textId="3E75C928" w:rsidR="009D20E5" w:rsidRPr="009D20E5" w:rsidRDefault="007A31C7" w:rsidP="00595343">
            <w:pPr>
              <w:spacing w:before="60" w:after="60" w:line="276" w:lineRule="auto"/>
              <w:rPr>
                <w:rFonts w:cs="Times New Roman"/>
                <w:bCs/>
                <w:szCs w:val="24"/>
              </w:rPr>
            </w:pPr>
            <w:r w:rsidRPr="00815DF6">
              <w:rPr>
                <w:rFonts w:cs="Times New Roman"/>
                <w:bCs/>
                <w:szCs w:val="24"/>
              </w:rPr>
              <w:t>Financing is currently unsustainable; L</w:t>
            </w:r>
            <w:r w:rsidR="00B03646">
              <w:rPr>
                <w:rFonts w:cs="Times New Roman"/>
                <w:bCs/>
                <w:szCs w:val="24"/>
              </w:rPr>
              <w:t xml:space="preserve">iving </w:t>
            </w:r>
            <w:r w:rsidRPr="00815DF6">
              <w:rPr>
                <w:rFonts w:cs="Times New Roman"/>
                <w:bCs/>
                <w:szCs w:val="24"/>
              </w:rPr>
              <w:t>G</w:t>
            </w:r>
            <w:r w:rsidR="00B03646">
              <w:rPr>
                <w:rFonts w:cs="Times New Roman"/>
                <w:bCs/>
                <w:szCs w:val="24"/>
              </w:rPr>
              <w:t>oods</w:t>
            </w:r>
            <w:r w:rsidRPr="00815DF6">
              <w:rPr>
                <w:rFonts w:cs="Times New Roman"/>
                <w:bCs/>
                <w:szCs w:val="24"/>
              </w:rPr>
              <w:t xml:space="preserve"> still relies on donor contributions to maintain operations, despite new innovative co-financing contracts with governments. Full financial sustainability will require massive scale-up of these service-type contracts.</w:t>
            </w:r>
          </w:p>
        </w:tc>
      </w:tr>
      <w:tr w:rsidR="009D20E5" w:rsidRPr="009D20E5" w14:paraId="564F3E9E"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7B749" w14:textId="44E05173" w:rsidR="009D20E5" w:rsidRPr="009D20E5" w:rsidRDefault="009D20E5" w:rsidP="00595343">
            <w:pPr>
              <w:spacing w:before="60" w:after="60" w:line="276" w:lineRule="auto"/>
              <w:rPr>
                <w:rFonts w:cs="Times New Roman"/>
                <w:szCs w:val="24"/>
              </w:rPr>
            </w:pPr>
            <w:r w:rsidRPr="009D20E5">
              <w:rPr>
                <w:rFonts w:cs="Times New Roman"/>
                <w:bCs/>
                <w:szCs w:val="24"/>
              </w:rPr>
              <w:t xml:space="preserve">Area 4: </w:t>
            </w:r>
            <w:r w:rsidR="00330AF1" w:rsidRPr="000C126A">
              <w:rPr>
                <w:rFonts w:cs="Times New Roman"/>
                <w:bCs/>
                <w:szCs w:val="24"/>
              </w:rPr>
              <w:t>Technology</w:t>
            </w:r>
            <w:r w:rsidR="00330AF1" w:rsidRPr="00330AF1">
              <w:rPr>
                <w:rFonts w:cs="Times New Roman"/>
                <w:bCs/>
                <w:szCs w:val="24"/>
              </w:rPr>
              <w:t xml:space="preserve"> and</w:t>
            </w:r>
            <w:r w:rsidR="00330AF1" w:rsidRPr="000C126A">
              <w:rPr>
                <w:rFonts w:cs="Times New Roman"/>
                <w:bCs/>
                <w:szCs w:val="24"/>
              </w:rPr>
              <w:t xml:space="preserve"> </w:t>
            </w:r>
            <w:r w:rsidR="00330AF1" w:rsidRPr="00330AF1">
              <w:rPr>
                <w:rFonts w:cs="Times New Roman"/>
                <w:bCs/>
                <w:szCs w:val="24"/>
              </w:rPr>
              <w:t>a</w:t>
            </w:r>
            <w:r w:rsidR="00330AF1" w:rsidRPr="000C126A">
              <w:rPr>
                <w:rFonts w:cs="Times New Roman"/>
                <w:bCs/>
                <w:szCs w:val="24"/>
              </w:rPr>
              <w:t>rchitecture</w:t>
            </w:r>
          </w:p>
        </w:tc>
      </w:tr>
      <w:tr w:rsidR="009D20E5" w:rsidRPr="009D20E5" w14:paraId="156C69DA"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757" w:type="pct"/>
            <w:gridSpan w:val="4"/>
            <w:tcBorders>
              <w:top w:val="nil"/>
              <w:left w:val="single" w:sz="4" w:space="0" w:color="auto"/>
              <w:bottom w:val="single" w:sz="4" w:space="0" w:color="auto"/>
              <w:right w:val="single" w:sz="4" w:space="0" w:color="auto"/>
            </w:tcBorders>
            <w:shd w:val="clear" w:color="auto" w:fill="auto"/>
            <w:hideMark/>
          </w:tcPr>
          <w:p w14:paraId="39220EBD"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Data</w:t>
            </w:r>
          </w:p>
        </w:tc>
        <w:tc>
          <w:tcPr>
            <w:tcW w:w="1577" w:type="pct"/>
            <w:gridSpan w:val="5"/>
            <w:tcBorders>
              <w:top w:val="nil"/>
              <w:left w:val="nil"/>
              <w:bottom w:val="single" w:sz="4" w:space="0" w:color="auto"/>
              <w:right w:val="single" w:sz="4" w:space="0" w:color="auto"/>
            </w:tcBorders>
            <w:shd w:val="clear" w:color="auto" w:fill="auto"/>
            <w:hideMark/>
          </w:tcPr>
          <w:p w14:paraId="6A9C2C3E"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hideMark/>
          </w:tcPr>
          <w:p w14:paraId="045A4096"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 xml:space="preserve">Adaptability </w:t>
            </w:r>
          </w:p>
        </w:tc>
      </w:tr>
      <w:tr w:rsidR="009D20E5" w:rsidRPr="009D20E5" w14:paraId="4C90589D"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757" w:type="pct"/>
            <w:gridSpan w:val="4"/>
            <w:tcBorders>
              <w:top w:val="nil"/>
              <w:left w:val="single" w:sz="4" w:space="0" w:color="auto"/>
              <w:bottom w:val="single" w:sz="4" w:space="0" w:color="auto"/>
              <w:right w:val="single" w:sz="4" w:space="0" w:color="auto"/>
            </w:tcBorders>
            <w:shd w:val="clear" w:color="auto" w:fill="auto"/>
            <w:hideMark/>
          </w:tcPr>
          <w:p w14:paraId="7B257BE0" w14:textId="23E43B2A" w:rsidR="009D20E5" w:rsidRPr="009D20E5" w:rsidRDefault="007A31C7" w:rsidP="00595343">
            <w:pPr>
              <w:spacing w:before="60" w:after="60" w:line="276" w:lineRule="auto"/>
              <w:rPr>
                <w:rFonts w:cs="Times New Roman"/>
                <w:bCs/>
                <w:szCs w:val="24"/>
              </w:rPr>
            </w:pPr>
            <w:r w:rsidRPr="00815DF6">
              <w:rPr>
                <w:rFonts w:cs="Times New Roman"/>
                <w:bCs/>
                <w:szCs w:val="24"/>
              </w:rPr>
              <w:t>The app focuses on human, non-technical factors first. Solutions need to have a strong, clearly articulated value for end users, while demonstrably improving quality of care.</w:t>
            </w:r>
          </w:p>
        </w:tc>
        <w:tc>
          <w:tcPr>
            <w:tcW w:w="1577" w:type="pct"/>
            <w:gridSpan w:val="5"/>
            <w:tcBorders>
              <w:top w:val="nil"/>
              <w:left w:val="nil"/>
              <w:bottom w:val="single" w:sz="4" w:space="0" w:color="auto"/>
              <w:right w:val="single" w:sz="4" w:space="0" w:color="auto"/>
            </w:tcBorders>
            <w:shd w:val="clear" w:color="auto" w:fill="auto"/>
            <w:hideMark/>
          </w:tcPr>
          <w:p w14:paraId="680E3C9B" w14:textId="546CA574" w:rsidR="009D20E5" w:rsidRPr="009D20E5" w:rsidRDefault="007A31C7" w:rsidP="00595343">
            <w:pPr>
              <w:spacing w:before="60" w:after="60" w:line="276" w:lineRule="auto"/>
              <w:rPr>
                <w:rFonts w:cs="Times New Roman"/>
                <w:bCs/>
                <w:szCs w:val="24"/>
              </w:rPr>
            </w:pPr>
            <w:r w:rsidRPr="00815DF6">
              <w:rPr>
                <w:rFonts w:cs="Times New Roman"/>
                <w:bCs/>
                <w:szCs w:val="24"/>
              </w:rPr>
              <w:t>The underlying Medic technology is designed to be interoperable; however, integration with DHIS2 in Uganda has faced challenges.</w:t>
            </w:r>
          </w:p>
        </w:tc>
        <w:tc>
          <w:tcPr>
            <w:tcW w:w="1666" w:type="pct"/>
            <w:gridSpan w:val="2"/>
            <w:tcBorders>
              <w:top w:val="nil"/>
              <w:left w:val="nil"/>
              <w:bottom w:val="single" w:sz="4" w:space="0" w:color="auto"/>
              <w:right w:val="single" w:sz="4" w:space="0" w:color="auto"/>
            </w:tcBorders>
            <w:shd w:val="clear" w:color="auto" w:fill="auto"/>
            <w:hideMark/>
          </w:tcPr>
          <w:p w14:paraId="0537E672" w14:textId="7D254C60" w:rsidR="009D20E5" w:rsidRPr="009D20E5" w:rsidRDefault="007A31C7" w:rsidP="00595343">
            <w:pPr>
              <w:spacing w:before="60" w:after="60" w:line="276" w:lineRule="auto"/>
              <w:rPr>
                <w:rFonts w:cs="Times New Roman"/>
                <w:bCs/>
                <w:szCs w:val="24"/>
              </w:rPr>
            </w:pPr>
            <w:r w:rsidRPr="00815DF6">
              <w:rPr>
                <w:rFonts w:cs="Times New Roman"/>
                <w:bCs/>
                <w:szCs w:val="24"/>
              </w:rPr>
              <w:t xml:space="preserve">During </w:t>
            </w:r>
            <w:r w:rsidR="0071664F">
              <w:rPr>
                <w:rFonts w:cs="Times New Roman"/>
                <w:bCs/>
                <w:szCs w:val="24"/>
              </w:rPr>
              <w:t xml:space="preserve">the </w:t>
            </w:r>
            <w:r w:rsidRPr="00815DF6">
              <w:rPr>
                <w:rFonts w:cs="Times New Roman"/>
                <w:bCs/>
                <w:szCs w:val="24"/>
              </w:rPr>
              <w:t>COVID</w:t>
            </w:r>
            <w:r w:rsidR="0071664F">
              <w:rPr>
                <w:rFonts w:cs="Times New Roman"/>
                <w:bCs/>
                <w:szCs w:val="24"/>
              </w:rPr>
              <w:t>-19 pandemic</w:t>
            </w:r>
            <w:r w:rsidRPr="00815DF6">
              <w:rPr>
                <w:rFonts w:cs="Times New Roman"/>
                <w:bCs/>
                <w:szCs w:val="24"/>
              </w:rPr>
              <w:t>, the difficulty of translating government COVID protocols into new workflows in some counties led to delays in program adjustments, in some cases not rolled out until June 2020.</w:t>
            </w:r>
          </w:p>
        </w:tc>
      </w:tr>
      <w:tr w:rsidR="009D20E5" w:rsidRPr="009D20E5" w14:paraId="33BE9D60"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45786" w14:textId="77777777" w:rsidR="009D20E5" w:rsidRPr="009D20E5" w:rsidRDefault="009D20E5" w:rsidP="00595343">
            <w:pPr>
              <w:spacing w:before="60" w:after="60" w:line="276" w:lineRule="auto"/>
              <w:rPr>
                <w:rFonts w:cs="Times New Roman"/>
                <w:szCs w:val="24"/>
              </w:rPr>
            </w:pPr>
            <w:r w:rsidRPr="009D20E5">
              <w:rPr>
                <w:rFonts w:cs="Times New Roman"/>
                <w:bCs/>
                <w:szCs w:val="24"/>
              </w:rPr>
              <w:t>Area 5: Operations</w:t>
            </w:r>
          </w:p>
        </w:tc>
      </w:tr>
      <w:tr w:rsidR="00130E35" w:rsidRPr="009D20E5" w14:paraId="61031336"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202" w:type="pct"/>
            <w:gridSpan w:val="2"/>
            <w:tcBorders>
              <w:top w:val="nil"/>
              <w:left w:val="single" w:sz="4" w:space="0" w:color="auto"/>
              <w:bottom w:val="single" w:sz="4" w:space="0" w:color="auto"/>
              <w:right w:val="single" w:sz="4" w:space="0" w:color="auto"/>
            </w:tcBorders>
            <w:shd w:val="clear" w:color="auto" w:fill="auto"/>
            <w:hideMark/>
          </w:tcPr>
          <w:p w14:paraId="32A842B8"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Personnel</w:t>
            </w:r>
          </w:p>
        </w:tc>
        <w:tc>
          <w:tcPr>
            <w:tcW w:w="1205" w:type="pct"/>
            <w:gridSpan w:val="4"/>
            <w:tcBorders>
              <w:top w:val="nil"/>
              <w:left w:val="nil"/>
              <w:bottom w:val="single" w:sz="4" w:space="0" w:color="auto"/>
              <w:right w:val="single" w:sz="4" w:space="0" w:color="auto"/>
            </w:tcBorders>
            <w:shd w:val="clear" w:color="auto" w:fill="auto"/>
            <w:hideMark/>
          </w:tcPr>
          <w:p w14:paraId="7C145452" w14:textId="74275E44" w:rsidR="009D20E5" w:rsidRPr="009D20E5" w:rsidRDefault="00130E35" w:rsidP="00595343">
            <w:pPr>
              <w:spacing w:before="60" w:after="60" w:line="276" w:lineRule="auto"/>
              <w:rPr>
                <w:rFonts w:cs="Times New Roman"/>
                <w:i/>
                <w:iCs/>
                <w:szCs w:val="24"/>
              </w:rPr>
            </w:pPr>
            <w:r w:rsidRPr="00130E35">
              <w:rPr>
                <w:rFonts w:cs="Times New Roman"/>
                <w:bCs/>
                <w:i/>
                <w:iCs/>
                <w:szCs w:val="24"/>
              </w:rPr>
              <w:t>Training and support</w:t>
            </w:r>
          </w:p>
        </w:tc>
        <w:tc>
          <w:tcPr>
            <w:tcW w:w="1342" w:type="pct"/>
            <w:gridSpan w:val="4"/>
            <w:tcBorders>
              <w:top w:val="nil"/>
              <w:left w:val="nil"/>
              <w:bottom w:val="single" w:sz="4" w:space="0" w:color="auto"/>
              <w:right w:val="single" w:sz="4" w:space="0" w:color="auto"/>
            </w:tcBorders>
            <w:shd w:val="clear" w:color="auto" w:fill="auto"/>
            <w:hideMark/>
          </w:tcPr>
          <w:p w14:paraId="32F3D8EF" w14:textId="6F40B897" w:rsidR="009D20E5" w:rsidRPr="009D20E5" w:rsidRDefault="00130E35" w:rsidP="00595343">
            <w:pPr>
              <w:spacing w:before="60" w:after="60" w:line="276" w:lineRule="auto"/>
              <w:rPr>
                <w:rFonts w:cs="Times New Roman"/>
                <w:i/>
                <w:iCs/>
                <w:szCs w:val="24"/>
              </w:rPr>
            </w:pPr>
            <w:r w:rsidRPr="00232EF6">
              <w:rPr>
                <w:rFonts w:cs="Times New Roman"/>
                <w:bCs/>
                <w:i/>
                <w:iCs/>
                <w:szCs w:val="24"/>
              </w:rPr>
              <w:t>Outreach</w:t>
            </w:r>
            <w:r w:rsidRPr="00130E35">
              <w:rPr>
                <w:rFonts w:cs="Times New Roman"/>
                <w:bCs/>
                <w:i/>
                <w:iCs/>
                <w:szCs w:val="24"/>
              </w:rPr>
              <w:t xml:space="preserve"> and s</w:t>
            </w:r>
            <w:r w:rsidRPr="00232EF6">
              <w:rPr>
                <w:rFonts w:cs="Times New Roman"/>
                <w:bCs/>
                <w:i/>
                <w:iCs/>
                <w:szCs w:val="24"/>
              </w:rPr>
              <w:t>ensitization</w:t>
            </w:r>
          </w:p>
        </w:tc>
        <w:tc>
          <w:tcPr>
            <w:tcW w:w="1252" w:type="pct"/>
            <w:tcBorders>
              <w:top w:val="nil"/>
              <w:left w:val="nil"/>
              <w:bottom w:val="single" w:sz="4" w:space="0" w:color="auto"/>
              <w:right w:val="single" w:sz="4" w:space="0" w:color="auto"/>
            </w:tcBorders>
            <w:shd w:val="clear" w:color="auto" w:fill="auto"/>
            <w:hideMark/>
          </w:tcPr>
          <w:p w14:paraId="4FD60823" w14:textId="6FDC0076" w:rsidR="009D20E5" w:rsidRPr="009D20E5" w:rsidRDefault="00130E35" w:rsidP="00595343">
            <w:pPr>
              <w:spacing w:before="60" w:after="60" w:line="276" w:lineRule="auto"/>
              <w:rPr>
                <w:rFonts w:cs="Times New Roman"/>
                <w:i/>
                <w:iCs/>
                <w:szCs w:val="24"/>
              </w:rPr>
            </w:pPr>
            <w:r w:rsidRPr="00130E35">
              <w:rPr>
                <w:rFonts w:cs="Times New Roman"/>
                <w:bCs/>
                <w:i/>
                <w:iCs/>
                <w:szCs w:val="24"/>
              </w:rPr>
              <w:t>Contingency planning</w:t>
            </w:r>
          </w:p>
        </w:tc>
      </w:tr>
      <w:tr w:rsidR="00130E35" w:rsidRPr="009D20E5" w14:paraId="3B86D42B"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202" w:type="pct"/>
            <w:gridSpan w:val="2"/>
            <w:tcBorders>
              <w:top w:val="nil"/>
              <w:left w:val="single" w:sz="4" w:space="0" w:color="auto"/>
              <w:bottom w:val="single" w:sz="4" w:space="0" w:color="auto"/>
              <w:right w:val="single" w:sz="4" w:space="0" w:color="auto"/>
            </w:tcBorders>
            <w:shd w:val="clear" w:color="auto" w:fill="auto"/>
            <w:hideMark/>
          </w:tcPr>
          <w:p w14:paraId="4E04D90E" w14:textId="019B50BA" w:rsidR="009D20E5" w:rsidRPr="009D20E5" w:rsidRDefault="007A31C7" w:rsidP="00595343">
            <w:pPr>
              <w:spacing w:before="60" w:after="60" w:line="276" w:lineRule="auto"/>
              <w:rPr>
                <w:rFonts w:cs="Times New Roman"/>
                <w:szCs w:val="24"/>
              </w:rPr>
            </w:pPr>
            <w:r w:rsidRPr="00815DF6">
              <w:rPr>
                <w:rFonts w:cs="Times New Roman"/>
                <w:szCs w:val="24"/>
              </w:rPr>
              <w:t>Supports 7</w:t>
            </w:r>
            <w:r w:rsidR="0071664F">
              <w:rPr>
                <w:rFonts w:cs="Times New Roman"/>
                <w:szCs w:val="24"/>
              </w:rPr>
              <w:t>,</w:t>
            </w:r>
            <w:r w:rsidRPr="00815DF6">
              <w:rPr>
                <w:rFonts w:cs="Times New Roman"/>
                <w:szCs w:val="24"/>
              </w:rPr>
              <w:t xml:space="preserve">800 </w:t>
            </w:r>
            <w:r w:rsidR="0071664F">
              <w:rPr>
                <w:rFonts w:cs="Times New Roman"/>
                <w:szCs w:val="24"/>
              </w:rPr>
              <w:t>community health workers</w:t>
            </w:r>
            <w:r w:rsidRPr="00815DF6">
              <w:rPr>
                <w:rFonts w:cs="Times New Roman"/>
                <w:szCs w:val="24"/>
              </w:rPr>
              <w:t xml:space="preserve">. Living Goods has dedicated team members to </w:t>
            </w:r>
            <w:r w:rsidRPr="00815DF6">
              <w:rPr>
                <w:rFonts w:cs="Times New Roman"/>
                <w:szCs w:val="24"/>
              </w:rPr>
              <w:lastRenderedPageBreak/>
              <w:t>adapt the Smart Health app.</w:t>
            </w:r>
          </w:p>
        </w:tc>
        <w:tc>
          <w:tcPr>
            <w:tcW w:w="1205" w:type="pct"/>
            <w:gridSpan w:val="4"/>
            <w:tcBorders>
              <w:top w:val="nil"/>
              <w:left w:val="nil"/>
              <w:bottom w:val="single" w:sz="4" w:space="0" w:color="auto"/>
              <w:right w:val="single" w:sz="4" w:space="0" w:color="auto"/>
            </w:tcBorders>
            <w:shd w:val="clear" w:color="auto" w:fill="auto"/>
            <w:hideMark/>
          </w:tcPr>
          <w:p w14:paraId="2B07D125" w14:textId="3E74A3B9" w:rsidR="009D20E5" w:rsidRPr="009D20E5" w:rsidRDefault="007A31C7" w:rsidP="00595343">
            <w:pPr>
              <w:spacing w:before="60" w:after="60" w:line="276" w:lineRule="auto"/>
              <w:rPr>
                <w:rFonts w:cs="Times New Roman"/>
                <w:szCs w:val="24"/>
              </w:rPr>
            </w:pPr>
            <w:r w:rsidRPr="00815DF6">
              <w:rPr>
                <w:rFonts w:cs="Times New Roman"/>
                <w:szCs w:val="24"/>
              </w:rPr>
              <w:lastRenderedPageBreak/>
              <w:t>Training represents Living Goods</w:t>
            </w:r>
            <w:r w:rsidR="005870AD">
              <w:rPr>
                <w:rFonts w:cs="Times New Roman"/>
                <w:szCs w:val="24"/>
              </w:rPr>
              <w:t>’</w:t>
            </w:r>
            <w:r w:rsidRPr="00815DF6">
              <w:rPr>
                <w:rFonts w:cs="Times New Roman"/>
                <w:szCs w:val="24"/>
              </w:rPr>
              <w:t xml:space="preserve"> biggest bottleneck to </w:t>
            </w:r>
            <w:proofErr w:type="gramStart"/>
            <w:r w:rsidRPr="00815DF6">
              <w:rPr>
                <w:rFonts w:cs="Times New Roman"/>
                <w:szCs w:val="24"/>
              </w:rPr>
              <w:t>scale,</w:t>
            </w:r>
            <w:proofErr w:type="gramEnd"/>
            <w:r w:rsidRPr="00815DF6">
              <w:rPr>
                <w:rFonts w:cs="Times New Roman"/>
                <w:szCs w:val="24"/>
              </w:rPr>
              <w:t xml:space="preserve"> </w:t>
            </w:r>
            <w:r w:rsidR="0071664F">
              <w:rPr>
                <w:rFonts w:cs="Times New Roman"/>
                <w:szCs w:val="24"/>
              </w:rPr>
              <w:t>community health workers</w:t>
            </w:r>
            <w:r w:rsidR="0071664F" w:rsidRPr="00815DF6">
              <w:rPr>
                <w:rFonts w:cs="Times New Roman"/>
                <w:szCs w:val="24"/>
              </w:rPr>
              <w:t xml:space="preserve"> </w:t>
            </w:r>
            <w:r w:rsidRPr="00815DF6">
              <w:rPr>
                <w:rFonts w:cs="Times New Roman"/>
                <w:szCs w:val="24"/>
              </w:rPr>
              <w:t xml:space="preserve">must </w:t>
            </w:r>
            <w:r w:rsidRPr="00815DF6">
              <w:rPr>
                <w:rFonts w:cs="Times New Roman"/>
                <w:szCs w:val="24"/>
              </w:rPr>
              <w:lastRenderedPageBreak/>
              <w:t>be licensed by the government as well as trained to use the platform</w:t>
            </w:r>
          </w:p>
        </w:tc>
        <w:tc>
          <w:tcPr>
            <w:tcW w:w="1342" w:type="pct"/>
            <w:gridSpan w:val="4"/>
            <w:tcBorders>
              <w:top w:val="nil"/>
              <w:left w:val="nil"/>
              <w:bottom w:val="single" w:sz="4" w:space="0" w:color="auto"/>
              <w:right w:val="single" w:sz="4" w:space="0" w:color="auto"/>
            </w:tcBorders>
            <w:shd w:val="clear" w:color="auto" w:fill="auto"/>
            <w:hideMark/>
          </w:tcPr>
          <w:p w14:paraId="65EF30DC" w14:textId="1BB9B3DF" w:rsidR="009D20E5" w:rsidRPr="009D20E5" w:rsidRDefault="007A31C7" w:rsidP="00595343">
            <w:pPr>
              <w:spacing w:before="60" w:after="60" w:line="276" w:lineRule="auto"/>
              <w:rPr>
                <w:rFonts w:cs="Times New Roman"/>
                <w:szCs w:val="24"/>
              </w:rPr>
            </w:pPr>
            <w:r w:rsidRPr="00815DF6">
              <w:rPr>
                <w:rFonts w:cs="Times New Roman"/>
                <w:szCs w:val="24"/>
              </w:rPr>
              <w:lastRenderedPageBreak/>
              <w:t xml:space="preserve">Limited information is available. Part of </w:t>
            </w:r>
            <w:r w:rsidR="0071664F" w:rsidRPr="0071664F">
              <w:rPr>
                <w:rFonts w:cs="Times New Roman"/>
                <w:szCs w:val="24"/>
              </w:rPr>
              <w:t xml:space="preserve">community health worker </w:t>
            </w:r>
            <w:r w:rsidRPr="00815DF6">
              <w:rPr>
                <w:rFonts w:cs="Times New Roman"/>
                <w:szCs w:val="24"/>
              </w:rPr>
              <w:t>training.</w:t>
            </w:r>
          </w:p>
        </w:tc>
        <w:tc>
          <w:tcPr>
            <w:tcW w:w="1252" w:type="pct"/>
            <w:tcBorders>
              <w:top w:val="nil"/>
              <w:left w:val="nil"/>
              <w:bottom w:val="single" w:sz="4" w:space="0" w:color="auto"/>
              <w:right w:val="single" w:sz="4" w:space="0" w:color="auto"/>
            </w:tcBorders>
            <w:shd w:val="clear" w:color="auto" w:fill="auto"/>
            <w:hideMark/>
          </w:tcPr>
          <w:p w14:paraId="24325F82" w14:textId="05B9DFBA" w:rsidR="009D20E5" w:rsidRPr="009D20E5" w:rsidRDefault="007A31C7" w:rsidP="00595343">
            <w:pPr>
              <w:spacing w:before="60" w:after="60" w:line="276" w:lineRule="auto"/>
              <w:rPr>
                <w:rFonts w:cs="Times New Roman"/>
                <w:szCs w:val="24"/>
              </w:rPr>
            </w:pPr>
            <w:r w:rsidRPr="00815DF6">
              <w:rPr>
                <w:rFonts w:cs="Times New Roman"/>
                <w:szCs w:val="24"/>
              </w:rPr>
              <w:t>Offline capabilities are in place to account for limited connectivity.</w:t>
            </w:r>
          </w:p>
        </w:tc>
      </w:tr>
      <w:tr w:rsidR="009D20E5" w:rsidRPr="009D20E5" w14:paraId="439A3CE8"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865C93" w14:textId="30FA2F7E" w:rsidR="009D20E5" w:rsidRPr="009D20E5" w:rsidRDefault="009D20E5" w:rsidP="00595343">
            <w:pPr>
              <w:spacing w:before="60" w:after="60" w:line="276" w:lineRule="auto"/>
              <w:rPr>
                <w:rFonts w:cs="Times New Roman"/>
                <w:szCs w:val="24"/>
              </w:rPr>
            </w:pPr>
            <w:r w:rsidRPr="009D20E5">
              <w:rPr>
                <w:rFonts w:cs="Times New Roman"/>
                <w:bCs/>
                <w:szCs w:val="24"/>
              </w:rPr>
              <w:t xml:space="preserve">Area 6: </w:t>
            </w:r>
            <w:r w:rsidR="00330AF1" w:rsidRPr="00330AF1">
              <w:rPr>
                <w:rFonts w:cs="Times New Roman"/>
                <w:bCs/>
                <w:szCs w:val="24"/>
              </w:rPr>
              <w:t>Monitoring and evaluation</w:t>
            </w:r>
          </w:p>
        </w:tc>
      </w:tr>
      <w:tr w:rsidR="009D20E5" w:rsidRPr="009D20E5" w14:paraId="77A6E19B"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06" w:type="pct"/>
            <w:gridSpan w:val="6"/>
            <w:tcBorders>
              <w:top w:val="nil"/>
              <w:left w:val="single" w:sz="4" w:space="0" w:color="auto"/>
              <w:bottom w:val="single" w:sz="4" w:space="0" w:color="auto"/>
              <w:right w:val="single" w:sz="4" w:space="0" w:color="auto"/>
            </w:tcBorders>
            <w:shd w:val="clear" w:color="auto" w:fill="auto"/>
            <w:hideMark/>
          </w:tcPr>
          <w:p w14:paraId="0F1F7164"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Process monitoring</w:t>
            </w:r>
          </w:p>
        </w:tc>
        <w:tc>
          <w:tcPr>
            <w:tcW w:w="2594" w:type="pct"/>
            <w:gridSpan w:val="5"/>
            <w:tcBorders>
              <w:top w:val="nil"/>
              <w:left w:val="nil"/>
              <w:bottom w:val="single" w:sz="4" w:space="0" w:color="auto"/>
              <w:right w:val="single" w:sz="4" w:space="0" w:color="auto"/>
            </w:tcBorders>
            <w:shd w:val="clear" w:color="auto" w:fill="auto"/>
            <w:hideMark/>
          </w:tcPr>
          <w:p w14:paraId="444DCC64" w14:textId="77777777" w:rsidR="009D20E5" w:rsidRPr="009D20E5" w:rsidRDefault="009D20E5" w:rsidP="00595343">
            <w:pPr>
              <w:spacing w:before="60" w:after="60" w:line="276" w:lineRule="auto"/>
              <w:rPr>
                <w:rFonts w:cs="Times New Roman"/>
                <w:i/>
                <w:iCs/>
                <w:szCs w:val="24"/>
              </w:rPr>
            </w:pPr>
            <w:r w:rsidRPr="009D20E5">
              <w:rPr>
                <w:rFonts w:cs="Times New Roman"/>
                <w:bCs/>
                <w:i/>
                <w:iCs/>
                <w:szCs w:val="24"/>
              </w:rPr>
              <w:t xml:space="preserve">Evaluation </w:t>
            </w:r>
          </w:p>
        </w:tc>
      </w:tr>
      <w:tr w:rsidR="009D20E5" w:rsidRPr="009D20E5" w14:paraId="5E34317F" w14:textId="77777777" w:rsidTr="00A84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2406" w:type="pct"/>
            <w:gridSpan w:val="6"/>
            <w:tcBorders>
              <w:top w:val="nil"/>
              <w:left w:val="single" w:sz="4" w:space="0" w:color="auto"/>
              <w:bottom w:val="single" w:sz="4" w:space="0" w:color="auto"/>
              <w:right w:val="single" w:sz="4" w:space="0" w:color="auto"/>
            </w:tcBorders>
            <w:shd w:val="clear" w:color="auto" w:fill="auto"/>
            <w:hideMark/>
          </w:tcPr>
          <w:p w14:paraId="5829E9DF" w14:textId="3970004C" w:rsidR="009D20E5" w:rsidRPr="009D20E5" w:rsidRDefault="007A31C7" w:rsidP="00595343">
            <w:pPr>
              <w:spacing w:before="60" w:after="60" w:line="276" w:lineRule="auto"/>
              <w:rPr>
                <w:rFonts w:cs="Times New Roman"/>
                <w:szCs w:val="24"/>
              </w:rPr>
            </w:pPr>
            <w:r w:rsidRPr="00815DF6">
              <w:rPr>
                <w:rFonts w:cs="Times New Roman"/>
                <w:szCs w:val="24"/>
              </w:rPr>
              <w:t>Living Goods operations are data driven</w:t>
            </w:r>
            <w:r w:rsidR="0036518A">
              <w:rPr>
                <w:rFonts w:cs="Times New Roman"/>
                <w:szCs w:val="24"/>
              </w:rPr>
              <w:t>—</w:t>
            </w:r>
            <w:r w:rsidRPr="00815DF6">
              <w:rPr>
                <w:rFonts w:cs="Times New Roman"/>
                <w:szCs w:val="24"/>
              </w:rPr>
              <w:t xml:space="preserve">the supervisors can monitor </w:t>
            </w:r>
            <w:r w:rsidR="0036518A" w:rsidRPr="0036518A">
              <w:rPr>
                <w:rFonts w:cs="Times New Roman"/>
                <w:szCs w:val="24"/>
              </w:rPr>
              <w:t xml:space="preserve">community health worker </w:t>
            </w:r>
            <w:r w:rsidRPr="00815DF6">
              <w:rPr>
                <w:rFonts w:cs="Times New Roman"/>
                <w:szCs w:val="24"/>
              </w:rPr>
              <w:t xml:space="preserve">performance, and the app helps prioritize </w:t>
            </w:r>
            <w:r w:rsidR="0036518A">
              <w:rPr>
                <w:rFonts w:cs="Times New Roman"/>
                <w:szCs w:val="24"/>
              </w:rPr>
              <w:t>their</w:t>
            </w:r>
            <w:r w:rsidR="0036518A" w:rsidRPr="00815DF6">
              <w:rPr>
                <w:rFonts w:cs="Times New Roman"/>
                <w:szCs w:val="24"/>
              </w:rPr>
              <w:t xml:space="preserve"> </w:t>
            </w:r>
            <w:r w:rsidRPr="00815DF6">
              <w:rPr>
                <w:rFonts w:cs="Times New Roman"/>
                <w:szCs w:val="24"/>
              </w:rPr>
              <w:t>activities.</w:t>
            </w:r>
          </w:p>
        </w:tc>
        <w:tc>
          <w:tcPr>
            <w:tcW w:w="2594" w:type="pct"/>
            <w:gridSpan w:val="5"/>
            <w:tcBorders>
              <w:top w:val="nil"/>
              <w:left w:val="nil"/>
              <w:bottom w:val="single" w:sz="4" w:space="0" w:color="auto"/>
              <w:right w:val="single" w:sz="4" w:space="0" w:color="auto"/>
            </w:tcBorders>
            <w:shd w:val="clear" w:color="auto" w:fill="auto"/>
            <w:hideMark/>
          </w:tcPr>
          <w:p w14:paraId="5AFE05DF" w14:textId="18C82D44" w:rsidR="009D20E5" w:rsidRPr="009D20E5" w:rsidRDefault="007A31C7" w:rsidP="00595343">
            <w:pPr>
              <w:spacing w:before="60" w:after="60" w:line="276" w:lineRule="auto"/>
              <w:rPr>
                <w:rFonts w:cs="Times New Roman"/>
                <w:szCs w:val="24"/>
              </w:rPr>
            </w:pPr>
            <w:r w:rsidRPr="00815DF6">
              <w:rPr>
                <w:rFonts w:cs="Times New Roman"/>
                <w:szCs w:val="24"/>
              </w:rPr>
              <w:t xml:space="preserve">Living Goods has had multiple randomized control trials performed on its interventions in the past, including the Smart Health app. </w:t>
            </w:r>
            <w:r w:rsidR="0036518A">
              <w:rPr>
                <w:rFonts w:cs="Times New Roman"/>
                <w:szCs w:val="24"/>
              </w:rPr>
              <w:t>During</w:t>
            </w:r>
            <w:r w:rsidR="0036518A" w:rsidRPr="00815DF6">
              <w:rPr>
                <w:rFonts w:cs="Times New Roman"/>
                <w:szCs w:val="24"/>
              </w:rPr>
              <w:t xml:space="preserve"> </w:t>
            </w:r>
            <w:r w:rsidRPr="00815DF6">
              <w:rPr>
                <w:rFonts w:cs="Times New Roman"/>
                <w:szCs w:val="24"/>
              </w:rPr>
              <w:t>COVID-19, they have tracked referrals and treatments provided.</w:t>
            </w:r>
          </w:p>
        </w:tc>
      </w:tr>
      <w:tr w:rsidR="00733939" w:rsidRPr="00733939" w14:paraId="4DF003AD" w14:textId="77777777" w:rsidTr="000D1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7BE43F" w14:textId="155506FE" w:rsidR="00733939" w:rsidRPr="00733939" w:rsidRDefault="00BB1897" w:rsidP="00595343">
            <w:pPr>
              <w:spacing w:before="60" w:after="60" w:line="276" w:lineRule="auto"/>
              <w:jc w:val="center"/>
              <w:rPr>
                <w:rFonts w:cs="Times New Roman"/>
                <w:b/>
                <w:szCs w:val="24"/>
              </w:rPr>
            </w:pPr>
            <w:r w:rsidRPr="00815DF6">
              <w:rPr>
                <w:rFonts w:cs="Times New Roman"/>
                <w:b/>
                <w:szCs w:val="24"/>
              </w:rPr>
              <w:t xml:space="preserve">NCOVI and </w:t>
            </w:r>
            <w:proofErr w:type="spellStart"/>
            <w:r w:rsidRPr="00815DF6">
              <w:rPr>
                <w:rFonts w:cs="Times New Roman"/>
                <w:b/>
                <w:szCs w:val="24"/>
              </w:rPr>
              <w:t>Bluezone</w:t>
            </w:r>
            <w:proofErr w:type="spellEnd"/>
            <w:r w:rsidRPr="00815DF6">
              <w:rPr>
                <w:rFonts w:cs="Times New Roman"/>
                <w:b/>
                <w:szCs w:val="24"/>
              </w:rPr>
              <w:t xml:space="preserve"> (Vietnam)</w:t>
            </w:r>
          </w:p>
        </w:tc>
      </w:tr>
      <w:tr w:rsidR="00733939" w:rsidRPr="00733939" w14:paraId="5B86AC62"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9E5EF" w14:textId="77777777" w:rsidR="00733939" w:rsidRPr="00733939" w:rsidRDefault="00733939" w:rsidP="00595343">
            <w:pPr>
              <w:spacing w:before="60" w:after="60" w:line="276" w:lineRule="auto"/>
              <w:rPr>
                <w:rFonts w:cs="Times New Roman"/>
                <w:bCs/>
                <w:szCs w:val="24"/>
              </w:rPr>
            </w:pPr>
            <w:r w:rsidRPr="00733939">
              <w:rPr>
                <w:rFonts w:cs="Times New Roman"/>
                <w:bCs/>
                <w:szCs w:val="24"/>
              </w:rPr>
              <w:t>Area 1: Groundwork</w:t>
            </w:r>
          </w:p>
        </w:tc>
      </w:tr>
      <w:tr w:rsidR="003A13C9" w:rsidRPr="003A13C9" w14:paraId="32A289E0" w14:textId="77777777" w:rsidTr="00482ECC">
        <w:trPr>
          <w:trHeight w:val="50"/>
        </w:trPr>
        <w:tc>
          <w:tcPr>
            <w:tcW w:w="1804" w:type="pct"/>
            <w:gridSpan w:val="5"/>
            <w:shd w:val="clear" w:color="auto" w:fill="auto"/>
            <w:hideMark/>
          </w:tcPr>
          <w:p w14:paraId="53262C3E"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Parameters of scale</w:t>
            </w:r>
          </w:p>
        </w:tc>
        <w:tc>
          <w:tcPr>
            <w:tcW w:w="1530" w:type="pct"/>
            <w:gridSpan w:val="4"/>
            <w:shd w:val="clear" w:color="auto" w:fill="auto"/>
            <w:hideMark/>
          </w:tcPr>
          <w:p w14:paraId="7A7C36FD"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Contextual environment</w:t>
            </w:r>
          </w:p>
        </w:tc>
        <w:tc>
          <w:tcPr>
            <w:tcW w:w="1666" w:type="pct"/>
            <w:gridSpan w:val="2"/>
            <w:shd w:val="clear" w:color="auto" w:fill="auto"/>
            <w:hideMark/>
          </w:tcPr>
          <w:p w14:paraId="0A567A67" w14:textId="77777777" w:rsidR="003A13C9" w:rsidRPr="003A13C9" w:rsidRDefault="003A13C9" w:rsidP="00595343">
            <w:pPr>
              <w:spacing w:before="60" w:after="60" w:line="276" w:lineRule="auto"/>
              <w:rPr>
                <w:rFonts w:cs="Times New Roman"/>
                <w:bCs/>
                <w:i/>
                <w:iCs/>
                <w:szCs w:val="24"/>
              </w:rPr>
            </w:pPr>
            <w:r w:rsidRPr="003A13C9">
              <w:rPr>
                <w:rFonts w:cs="Times New Roman"/>
                <w:bCs/>
                <w:i/>
                <w:iCs/>
                <w:szCs w:val="24"/>
              </w:rPr>
              <w:t>Scientific basis</w:t>
            </w:r>
          </w:p>
        </w:tc>
      </w:tr>
      <w:tr w:rsidR="00595343" w:rsidRPr="00733939" w14:paraId="1C9859CD" w14:textId="77777777" w:rsidTr="00482ECC">
        <w:trPr>
          <w:trHeight w:val="50"/>
        </w:trPr>
        <w:tc>
          <w:tcPr>
            <w:tcW w:w="1804" w:type="pct"/>
            <w:gridSpan w:val="5"/>
            <w:shd w:val="clear" w:color="auto" w:fill="auto"/>
          </w:tcPr>
          <w:p w14:paraId="26033F6D" w14:textId="56B1AE1E" w:rsidR="00733939" w:rsidRPr="00733939" w:rsidRDefault="00BB1897" w:rsidP="00595343">
            <w:pPr>
              <w:spacing w:before="60" w:after="60" w:line="276" w:lineRule="auto"/>
              <w:rPr>
                <w:rFonts w:cs="Times New Roman"/>
                <w:bCs/>
                <w:szCs w:val="24"/>
              </w:rPr>
            </w:pPr>
            <w:r w:rsidRPr="00815DF6">
              <w:rPr>
                <w:rFonts w:cs="Times New Roman"/>
                <w:bCs/>
                <w:szCs w:val="24"/>
              </w:rPr>
              <w:t>The MOH and Ministry of Information and Communications (MIC) encouraged immediate use by all citizens and visitors to Vietnam with smartphones. The long-term use of these tools has not been determined.</w:t>
            </w:r>
            <w:r w:rsidR="00733939" w:rsidRPr="00733939">
              <w:rPr>
                <w:rFonts w:cs="Times New Roman"/>
                <w:bCs/>
                <w:szCs w:val="24"/>
              </w:rPr>
              <w:tab/>
            </w:r>
          </w:p>
        </w:tc>
        <w:tc>
          <w:tcPr>
            <w:tcW w:w="1530" w:type="pct"/>
            <w:gridSpan w:val="4"/>
            <w:shd w:val="clear" w:color="auto" w:fill="auto"/>
          </w:tcPr>
          <w:p w14:paraId="65A4FA75" w14:textId="6132AAAD" w:rsidR="00733939" w:rsidRPr="00733939" w:rsidRDefault="00BB1897" w:rsidP="00595343">
            <w:pPr>
              <w:spacing w:before="60" w:after="60" w:line="276" w:lineRule="auto"/>
              <w:rPr>
                <w:rFonts w:cs="Times New Roman"/>
                <w:bCs/>
                <w:szCs w:val="24"/>
              </w:rPr>
            </w:pPr>
            <w:r w:rsidRPr="00815DF6">
              <w:rPr>
                <w:rFonts w:cs="Times New Roman"/>
                <w:bCs/>
                <w:szCs w:val="24"/>
              </w:rPr>
              <w:t>The government and developers leveraged lessons learned from SARS. Vietnam also has a commitment to digital transformation, a growing technology sector, and high mobile penetration. Implementation was led by the MOH and MIC.</w:t>
            </w:r>
          </w:p>
        </w:tc>
        <w:tc>
          <w:tcPr>
            <w:tcW w:w="1666" w:type="pct"/>
            <w:gridSpan w:val="2"/>
            <w:shd w:val="clear" w:color="auto" w:fill="auto"/>
          </w:tcPr>
          <w:p w14:paraId="05294DBF" w14:textId="3E87E0B3" w:rsidR="00BB1897" w:rsidRPr="00733939" w:rsidRDefault="00BB1897" w:rsidP="00595343">
            <w:pPr>
              <w:spacing w:before="60" w:after="60" w:line="276" w:lineRule="auto"/>
              <w:rPr>
                <w:rFonts w:cs="Times New Roman"/>
                <w:szCs w:val="24"/>
              </w:rPr>
            </w:pPr>
            <w:r w:rsidRPr="00815DF6">
              <w:rPr>
                <w:rFonts w:cs="Times New Roman"/>
                <w:szCs w:val="24"/>
              </w:rPr>
              <w:t>The more the apps are used, the more effective they are. For NCOVI, there are challenges around the stigma of self-reporting and voluntary symptom logging of asymptomatic transmission.</w:t>
            </w:r>
          </w:p>
        </w:tc>
      </w:tr>
      <w:tr w:rsidR="00733939" w:rsidRPr="00733939" w14:paraId="4376360F"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9D6E8" w14:textId="77777777" w:rsidR="00733939" w:rsidRPr="00733939" w:rsidRDefault="00733939" w:rsidP="00595343">
            <w:pPr>
              <w:spacing w:before="60" w:after="60" w:line="276" w:lineRule="auto"/>
              <w:rPr>
                <w:rFonts w:cs="Times New Roman"/>
                <w:szCs w:val="24"/>
              </w:rPr>
            </w:pPr>
            <w:r w:rsidRPr="00733939">
              <w:rPr>
                <w:rFonts w:cs="Times New Roman"/>
                <w:bCs/>
                <w:szCs w:val="24"/>
              </w:rPr>
              <w:t>Area 2: Partnerships</w:t>
            </w:r>
          </w:p>
        </w:tc>
      </w:tr>
      <w:tr w:rsidR="00733939" w:rsidRPr="00733939" w14:paraId="75931933"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hideMark/>
          </w:tcPr>
          <w:p w14:paraId="2904A4A2"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Strategic engagement</w:t>
            </w:r>
          </w:p>
        </w:tc>
        <w:tc>
          <w:tcPr>
            <w:tcW w:w="2594" w:type="pct"/>
            <w:gridSpan w:val="5"/>
            <w:tcBorders>
              <w:top w:val="nil"/>
              <w:left w:val="nil"/>
              <w:bottom w:val="single" w:sz="4" w:space="0" w:color="auto"/>
              <w:right w:val="single" w:sz="4" w:space="0" w:color="auto"/>
            </w:tcBorders>
            <w:shd w:val="clear" w:color="auto" w:fill="auto"/>
            <w:hideMark/>
          </w:tcPr>
          <w:p w14:paraId="322CA3C2"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 xml:space="preserve">Partnership sustainability </w:t>
            </w:r>
          </w:p>
        </w:tc>
      </w:tr>
      <w:tr w:rsidR="00733939" w:rsidRPr="00733939" w14:paraId="402BC8AE"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406" w:type="pct"/>
            <w:gridSpan w:val="6"/>
            <w:tcBorders>
              <w:top w:val="nil"/>
              <w:left w:val="single" w:sz="4" w:space="0" w:color="auto"/>
              <w:bottom w:val="single" w:sz="4" w:space="0" w:color="auto"/>
              <w:right w:val="single" w:sz="4" w:space="0" w:color="auto"/>
            </w:tcBorders>
            <w:shd w:val="clear" w:color="auto" w:fill="auto"/>
          </w:tcPr>
          <w:p w14:paraId="273A9D8F" w14:textId="5D344AF0" w:rsidR="00733939" w:rsidRPr="00733939" w:rsidRDefault="00BB1897" w:rsidP="00595343">
            <w:pPr>
              <w:spacing w:before="60" w:after="60" w:line="276" w:lineRule="auto"/>
              <w:rPr>
                <w:rFonts w:cs="Times New Roman"/>
                <w:bCs/>
                <w:szCs w:val="24"/>
              </w:rPr>
            </w:pPr>
            <w:r w:rsidRPr="00815DF6">
              <w:rPr>
                <w:rFonts w:cs="Times New Roman"/>
                <w:bCs/>
                <w:szCs w:val="24"/>
              </w:rPr>
              <w:t xml:space="preserve">Applications were designed at the request of Deputy Prime Minister Vu Duc Dam. Partnerships were between the MOH, MIC, and telecom groups (i.e., Viettel, </w:t>
            </w:r>
            <w:proofErr w:type="spellStart"/>
            <w:r w:rsidRPr="00815DF6">
              <w:rPr>
                <w:rFonts w:cs="Times New Roman"/>
                <w:bCs/>
                <w:szCs w:val="24"/>
              </w:rPr>
              <w:t>MobiFone</w:t>
            </w:r>
            <w:proofErr w:type="spellEnd"/>
            <w:r w:rsidRPr="00815DF6">
              <w:rPr>
                <w:rFonts w:cs="Times New Roman"/>
                <w:bCs/>
                <w:szCs w:val="24"/>
              </w:rPr>
              <w:t xml:space="preserve">, VNPT, </w:t>
            </w:r>
            <w:proofErr w:type="spellStart"/>
            <w:r w:rsidRPr="00815DF6">
              <w:rPr>
                <w:rFonts w:cs="Times New Roman"/>
                <w:bCs/>
                <w:szCs w:val="24"/>
              </w:rPr>
              <w:t>VinaPhone</w:t>
            </w:r>
            <w:proofErr w:type="spellEnd"/>
            <w:r w:rsidRPr="00815DF6">
              <w:rPr>
                <w:rFonts w:cs="Times New Roman"/>
                <w:bCs/>
                <w:szCs w:val="24"/>
              </w:rPr>
              <w:t xml:space="preserve">), and technology companies (i.e., </w:t>
            </w:r>
            <w:proofErr w:type="spellStart"/>
            <w:r w:rsidRPr="00815DF6">
              <w:rPr>
                <w:rFonts w:cs="Times New Roman"/>
                <w:bCs/>
                <w:szCs w:val="24"/>
              </w:rPr>
              <w:t>Bkav</w:t>
            </w:r>
            <w:proofErr w:type="spellEnd"/>
            <w:r w:rsidRPr="00815DF6">
              <w:rPr>
                <w:rFonts w:cs="Times New Roman"/>
                <w:bCs/>
                <w:szCs w:val="24"/>
              </w:rPr>
              <w:t xml:space="preserve">, </w:t>
            </w:r>
            <w:proofErr w:type="spellStart"/>
            <w:r w:rsidRPr="00815DF6">
              <w:rPr>
                <w:rFonts w:cs="Times New Roman"/>
                <w:bCs/>
                <w:szCs w:val="24"/>
              </w:rPr>
              <w:t>Memozone</w:t>
            </w:r>
            <w:proofErr w:type="spellEnd"/>
            <w:r w:rsidRPr="00815DF6">
              <w:rPr>
                <w:rFonts w:cs="Times New Roman"/>
                <w:bCs/>
                <w:szCs w:val="24"/>
              </w:rPr>
              <w:t>). State-owned groups and high levels of government trust influenced speed of development and uptake.</w:t>
            </w:r>
          </w:p>
        </w:tc>
        <w:tc>
          <w:tcPr>
            <w:tcW w:w="2594" w:type="pct"/>
            <w:gridSpan w:val="5"/>
            <w:tcBorders>
              <w:top w:val="nil"/>
              <w:left w:val="nil"/>
              <w:bottom w:val="single" w:sz="4" w:space="0" w:color="auto"/>
              <w:right w:val="single" w:sz="4" w:space="0" w:color="auto"/>
            </w:tcBorders>
            <w:shd w:val="clear" w:color="auto" w:fill="auto"/>
          </w:tcPr>
          <w:p w14:paraId="0EBB3D4F" w14:textId="2D8DDE33" w:rsidR="00733939" w:rsidRPr="00733939" w:rsidRDefault="00BB1897" w:rsidP="00595343">
            <w:pPr>
              <w:spacing w:before="60" w:after="60" w:line="276" w:lineRule="auto"/>
              <w:rPr>
                <w:rFonts w:cs="Times New Roman"/>
                <w:bCs/>
                <w:szCs w:val="24"/>
              </w:rPr>
            </w:pPr>
            <w:r w:rsidRPr="00815DF6">
              <w:rPr>
                <w:rFonts w:cs="Times New Roman"/>
                <w:bCs/>
                <w:szCs w:val="24"/>
              </w:rPr>
              <w:t>Support from key champions in the government has played an integral role in the speed of the tool</w:t>
            </w:r>
            <w:r w:rsidR="005870AD">
              <w:rPr>
                <w:rFonts w:cs="Times New Roman"/>
                <w:bCs/>
                <w:szCs w:val="24"/>
              </w:rPr>
              <w:t>’</w:t>
            </w:r>
            <w:r w:rsidRPr="00815DF6">
              <w:rPr>
                <w:rFonts w:cs="Times New Roman"/>
                <w:bCs/>
                <w:szCs w:val="24"/>
              </w:rPr>
              <w:t>s development and scale. The long-term plan is unknown.</w:t>
            </w:r>
          </w:p>
        </w:tc>
      </w:tr>
      <w:tr w:rsidR="00733939" w:rsidRPr="00733939" w14:paraId="2BF02AD4"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E91E7" w14:textId="464AC341" w:rsidR="00733939" w:rsidRPr="00733939" w:rsidRDefault="00733939" w:rsidP="00595343">
            <w:pPr>
              <w:spacing w:before="60" w:after="60" w:line="276" w:lineRule="auto"/>
              <w:rPr>
                <w:rFonts w:cs="Times New Roman"/>
                <w:szCs w:val="24"/>
              </w:rPr>
            </w:pPr>
            <w:r w:rsidRPr="00733939">
              <w:rPr>
                <w:rFonts w:cs="Times New Roman"/>
                <w:bCs/>
                <w:szCs w:val="24"/>
              </w:rPr>
              <w:t xml:space="preserve">Area 3: </w:t>
            </w:r>
            <w:r w:rsidR="00330AF1" w:rsidRPr="00603B48">
              <w:rPr>
                <w:rFonts w:cs="Times New Roman"/>
                <w:bCs/>
                <w:szCs w:val="24"/>
              </w:rPr>
              <w:t xml:space="preserve">Financial </w:t>
            </w:r>
            <w:r w:rsidR="00330AF1" w:rsidRPr="00330AF1">
              <w:rPr>
                <w:rFonts w:cs="Times New Roman"/>
                <w:bCs/>
                <w:szCs w:val="24"/>
              </w:rPr>
              <w:t>h</w:t>
            </w:r>
            <w:r w:rsidR="00330AF1" w:rsidRPr="00603B48">
              <w:rPr>
                <w:rFonts w:cs="Times New Roman"/>
                <w:bCs/>
                <w:szCs w:val="24"/>
              </w:rPr>
              <w:t>ealth</w:t>
            </w:r>
          </w:p>
        </w:tc>
      </w:tr>
      <w:tr w:rsidR="00733939" w:rsidRPr="00733939" w14:paraId="3DA0E3D0"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37A7CDAD" w14:textId="77777777" w:rsidR="00733939" w:rsidRPr="00733939" w:rsidRDefault="00733939" w:rsidP="00595343">
            <w:pPr>
              <w:spacing w:before="60" w:after="60" w:line="276" w:lineRule="auto"/>
              <w:rPr>
                <w:rFonts w:cs="Times New Roman"/>
                <w:bCs/>
                <w:i/>
                <w:iCs/>
                <w:szCs w:val="24"/>
              </w:rPr>
            </w:pPr>
            <w:r w:rsidRPr="00733939">
              <w:rPr>
                <w:rFonts w:cs="Times New Roman"/>
                <w:bCs/>
                <w:i/>
                <w:iCs/>
                <w:szCs w:val="24"/>
              </w:rPr>
              <w:t>Financial management</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3B8A2457" w14:textId="77777777" w:rsidR="00733939" w:rsidRPr="00733939" w:rsidRDefault="00733939" w:rsidP="00595343">
            <w:pPr>
              <w:spacing w:before="60" w:after="60" w:line="276" w:lineRule="auto"/>
              <w:rPr>
                <w:rFonts w:cs="Times New Roman"/>
                <w:bCs/>
                <w:i/>
                <w:iCs/>
                <w:szCs w:val="24"/>
              </w:rPr>
            </w:pPr>
            <w:r w:rsidRPr="00733939">
              <w:rPr>
                <w:rFonts w:cs="Times New Roman"/>
                <w:bCs/>
                <w:i/>
                <w:iCs/>
                <w:szCs w:val="24"/>
              </w:rPr>
              <w:t>Financial model</w:t>
            </w:r>
          </w:p>
        </w:tc>
      </w:tr>
      <w:tr w:rsidR="00733939" w:rsidRPr="00733939" w14:paraId="367F0BB4"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406" w:type="pct"/>
            <w:gridSpan w:val="6"/>
            <w:tcBorders>
              <w:top w:val="single" w:sz="4" w:space="0" w:color="auto"/>
              <w:left w:val="single" w:sz="4" w:space="0" w:color="auto"/>
              <w:bottom w:val="single" w:sz="4" w:space="0" w:color="auto"/>
              <w:right w:val="single" w:sz="4" w:space="0" w:color="auto"/>
            </w:tcBorders>
            <w:shd w:val="clear" w:color="auto" w:fill="auto"/>
          </w:tcPr>
          <w:p w14:paraId="605083F8" w14:textId="29AA9B6D" w:rsidR="00733939" w:rsidRPr="00733939" w:rsidRDefault="00BB1897" w:rsidP="00595343">
            <w:pPr>
              <w:spacing w:before="60" w:after="60" w:line="276" w:lineRule="auto"/>
              <w:rPr>
                <w:rFonts w:cs="Times New Roman"/>
                <w:bCs/>
                <w:szCs w:val="24"/>
              </w:rPr>
            </w:pPr>
            <w:r w:rsidRPr="00815DF6">
              <w:rPr>
                <w:rFonts w:cs="Times New Roman"/>
                <w:bCs/>
                <w:szCs w:val="24"/>
              </w:rPr>
              <w:lastRenderedPageBreak/>
              <w:t>More information is required on operating costs and total cost of ownership for health system and users.</w:t>
            </w:r>
          </w:p>
        </w:tc>
        <w:tc>
          <w:tcPr>
            <w:tcW w:w="2594" w:type="pct"/>
            <w:gridSpan w:val="5"/>
            <w:tcBorders>
              <w:top w:val="single" w:sz="4" w:space="0" w:color="auto"/>
              <w:left w:val="single" w:sz="4" w:space="0" w:color="auto"/>
              <w:bottom w:val="single" w:sz="4" w:space="0" w:color="auto"/>
              <w:right w:val="single" w:sz="4" w:space="0" w:color="auto"/>
            </w:tcBorders>
            <w:shd w:val="clear" w:color="auto" w:fill="auto"/>
          </w:tcPr>
          <w:p w14:paraId="0BE3A008" w14:textId="117D48B5" w:rsidR="00733939" w:rsidRPr="00733939" w:rsidRDefault="00BB1897" w:rsidP="00595343">
            <w:pPr>
              <w:spacing w:before="60" w:after="60" w:line="276" w:lineRule="auto"/>
              <w:rPr>
                <w:rFonts w:cs="Times New Roman"/>
                <w:bCs/>
                <w:szCs w:val="24"/>
              </w:rPr>
            </w:pPr>
            <w:r w:rsidRPr="00815DF6">
              <w:rPr>
                <w:rFonts w:cs="Times New Roman"/>
                <w:bCs/>
                <w:szCs w:val="24"/>
              </w:rPr>
              <w:t>The three largest state-owned telecom groups supported advertising for the apps and free data for subscribers when using the apps. The long-term plan is unknown.</w:t>
            </w:r>
          </w:p>
        </w:tc>
      </w:tr>
      <w:tr w:rsidR="00733939" w:rsidRPr="00733939" w14:paraId="29EC480F"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0C617" w14:textId="2043100C" w:rsidR="00733939" w:rsidRPr="00733939" w:rsidRDefault="00733939" w:rsidP="00595343">
            <w:pPr>
              <w:spacing w:before="60" w:after="60" w:line="276" w:lineRule="auto"/>
              <w:rPr>
                <w:rFonts w:cs="Times New Roman"/>
                <w:szCs w:val="24"/>
              </w:rPr>
            </w:pPr>
            <w:r w:rsidRPr="00733939">
              <w:rPr>
                <w:rFonts w:cs="Times New Roman"/>
                <w:bCs/>
                <w:szCs w:val="24"/>
              </w:rPr>
              <w:t xml:space="preserve">Area 4: </w:t>
            </w:r>
            <w:r w:rsidR="00330AF1" w:rsidRPr="000C126A">
              <w:rPr>
                <w:rFonts w:cs="Times New Roman"/>
                <w:bCs/>
                <w:szCs w:val="24"/>
              </w:rPr>
              <w:t>Technology</w:t>
            </w:r>
            <w:r w:rsidR="00330AF1" w:rsidRPr="00330AF1">
              <w:rPr>
                <w:rFonts w:cs="Times New Roman"/>
                <w:bCs/>
                <w:szCs w:val="24"/>
              </w:rPr>
              <w:t xml:space="preserve"> and</w:t>
            </w:r>
            <w:r w:rsidR="00330AF1" w:rsidRPr="000C126A">
              <w:rPr>
                <w:rFonts w:cs="Times New Roman"/>
                <w:bCs/>
                <w:szCs w:val="24"/>
              </w:rPr>
              <w:t xml:space="preserve"> </w:t>
            </w:r>
            <w:r w:rsidR="00330AF1" w:rsidRPr="00330AF1">
              <w:rPr>
                <w:rFonts w:cs="Times New Roman"/>
                <w:bCs/>
                <w:szCs w:val="24"/>
              </w:rPr>
              <w:t>a</w:t>
            </w:r>
            <w:r w:rsidR="00330AF1" w:rsidRPr="000C126A">
              <w:rPr>
                <w:rFonts w:cs="Times New Roman"/>
                <w:bCs/>
                <w:szCs w:val="24"/>
              </w:rPr>
              <w:t>rchitecture</w:t>
            </w:r>
          </w:p>
        </w:tc>
      </w:tr>
      <w:tr w:rsidR="00733939" w:rsidRPr="00733939" w14:paraId="3F1592C8"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757" w:type="pct"/>
            <w:gridSpan w:val="4"/>
            <w:tcBorders>
              <w:top w:val="nil"/>
              <w:left w:val="single" w:sz="4" w:space="0" w:color="auto"/>
              <w:bottom w:val="single" w:sz="4" w:space="0" w:color="auto"/>
              <w:right w:val="single" w:sz="4" w:space="0" w:color="auto"/>
            </w:tcBorders>
            <w:shd w:val="clear" w:color="auto" w:fill="auto"/>
            <w:hideMark/>
          </w:tcPr>
          <w:p w14:paraId="689529E9"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Data</w:t>
            </w:r>
          </w:p>
        </w:tc>
        <w:tc>
          <w:tcPr>
            <w:tcW w:w="1577" w:type="pct"/>
            <w:gridSpan w:val="5"/>
            <w:tcBorders>
              <w:top w:val="nil"/>
              <w:left w:val="nil"/>
              <w:bottom w:val="single" w:sz="4" w:space="0" w:color="auto"/>
              <w:right w:val="single" w:sz="4" w:space="0" w:color="auto"/>
            </w:tcBorders>
            <w:shd w:val="clear" w:color="auto" w:fill="auto"/>
            <w:hideMark/>
          </w:tcPr>
          <w:p w14:paraId="3D75ADE8"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 xml:space="preserve">Interoperability </w:t>
            </w:r>
          </w:p>
        </w:tc>
        <w:tc>
          <w:tcPr>
            <w:tcW w:w="1666" w:type="pct"/>
            <w:gridSpan w:val="2"/>
            <w:tcBorders>
              <w:top w:val="nil"/>
              <w:left w:val="nil"/>
              <w:bottom w:val="single" w:sz="4" w:space="0" w:color="auto"/>
              <w:right w:val="single" w:sz="4" w:space="0" w:color="auto"/>
            </w:tcBorders>
            <w:shd w:val="clear" w:color="auto" w:fill="auto"/>
            <w:hideMark/>
          </w:tcPr>
          <w:p w14:paraId="669D6416"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 xml:space="preserve">Adaptability </w:t>
            </w:r>
          </w:p>
        </w:tc>
      </w:tr>
      <w:tr w:rsidR="00733939" w:rsidRPr="00733939" w14:paraId="01399E79"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757" w:type="pct"/>
            <w:gridSpan w:val="4"/>
            <w:tcBorders>
              <w:top w:val="nil"/>
              <w:left w:val="single" w:sz="4" w:space="0" w:color="auto"/>
              <w:bottom w:val="single" w:sz="4" w:space="0" w:color="auto"/>
              <w:right w:val="single" w:sz="4" w:space="0" w:color="auto"/>
            </w:tcBorders>
            <w:shd w:val="clear" w:color="auto" w:fill="auto"/>
            <w:hideMark/>
          </w:tcPr>
          <w:p w14:paraId="39ACE6FC" w14:textId="1F1B3DB3" w:rsidR="00733939" w:rsidRPr="00733939" w:rsidRDefault="00BB1897" w:rsidP="00595343">
            <w:pPr>
              <w:spacing w:before="60" w:after="60" w:line="276" w:lineRule="auto"/>
              <w:rPr>
                <w:rFonts w:cs="Times New Roman"/>
                <w:bCs/>
                <w:szCs w:val="24"/>
              </w:rPr>
            </w:pPr>
            <w:r w:rsidRPr="00815DF6">
              <w:rPr>
                <w:rFonts w:cs="Times New Roman"/>
                <w:bCs/>
                <w:szCs w:val="24"/>
              </w:rPr>
              <w:t xml:space="preserve">Privacy is a concern for the NCOVI app, which prompted development of </w:t>
            </w:r>
            <w:proofErr w:type="spellStart"/>
            <w:r w:rsidRPr="00815DF6">
              <w:rPr>
                <w:rFonts w:cs="Times New Roman"/>
                <w:bCs/>
                <w:szCs w:val="24"/>
              </w:rPr>
              <w:t>Bluezone</w:t>
            </w:r>
            <w:proofErr w:type="spellEnd"/>
            <w:r w:rsidRPr="00815DF6">
              <w:rPr>
                <w:rFonts w:cs="Times New Roman"/>
                <w:bCs/>
                <w:szCs w:val="24"/>
              </w:rPr>
              <w:t xml:space="preserve"> (which does not use location data). Data are leveraged to create hotspot maps to inform users and decision makers.</w:t>
            </w:r>
          </w:p>
        </w:tc>
        <w:tc>
          <w:tcPr>
            <w:tcW w:w="1577" w:type="pct"/>
            <w:gridSpan w:val="5"/>
            <w:tcBorders>
              <w:top w:val="nil"/>
              <w:left w:val="nil"/>
              <w:bottom w:val="single" w:sz="4" w:space="0" w:color="auto"/>
              <w:right w:val="single" w:sz="4" w:space="0" w:color="auto"/>
            </w:tcBorders>
            <w:shd w:val="clear" w:color="auto" w:fill="auto"/>
            <w:hideMark/>
          </w:tcPr>
          <w:p w14:paraId="392633B4" w14:textId="363383B0" w:rsidR="00733939" w:rsidRPr="00733939" w:rsidRDefault="00BB1897" w:rsidP="00595343">
            <w:pPr>
              <w:spacing w:before="60" w:after="60" w:line="276" w:lineRule="auto"/>
              <w:rPr>
                <w:rFonts w:cs="Times New Roman"/>
                <w:bCs/>
                <w:szCs w:val="24"/>
              </w:rPr>
            </w:pPr>
            <w:r w:rsidRPr="00815DF6">
              <w:rPr>
                <w:rFonts w:cs="Times New Roman"/>
                <w:bCs/>
                <w:szCs w:val="24"/>
              </w:rPr>
              <w:t>Lack of interoperability between the many apps being used for surveillance posed a challenge and barrier to scale-up.</w:t>
            </w:r>
          </w:p>
        </w:tc>
        <w:tc>
          <w:tcPr>
            <w:tcW w:w="1666" w:type="pct"/>
            <w:gridSpan w:val="2"/>
            <w:tcBorders>
              <w:top w:val="nil"/>
              <w:left w:val="nil"/>
              <w:bottom w:val="single" w:sz="4" w:space="0" w:color="auto"/>
              <w:right w:val="single" w:sz="4" w:space="0" w:color="auto"/>
            </w:tcBorders>
            <w:shd w:val="clear" w:color="auto" w:fill="auto"/>
            <w:hideMark/>
          </w:tcPr>
          <w:p w14:paraId="099A5849" w14:textId="29428E29" w:rsidR="00733939" w:rsidRPr="00733939" w:rsidRDefault="00BB1897" w:rsidP="00595343">
            <w:pPr>
              <w:spacing w:before="60" w:after="60" w:line="276" w:lineRule="auto"/>
              <w:rPr>
                <w:rFonts w:cs="Times New Roman"/>
                <w:bCs/>
                <w:szCs w:val="24"/>
              </w:rPr>
            </w:pPr>
            <w:r w:rsidRPr="00815DF6">
              <w:rPr>
                <w:rFonts w:cs="Times New Roman"/>
                <w:bCs/>
                <w:szCs w:val="24"/>
              </w:rPr>
              <w:t xml:space="preserve">Simple web apps were developed before NCOVI for mobile use. An expanded suite of tools was created to handle new use cases and health system needs, and address limitations. </w:t>
            </w:r>
            <w:proofErr w:type="spellStart"/>
            <w:r w:rsidRPr="00815DF6">
              <w:rPr>
                <w:rFonts w:cs="Times New Roman"/>
                <w:bCs/>
                <w:szCs w:val="24"/>
              </w:rPr>
              <w:t>Bluezone</w:t>
            </w:r>
            <w:proofErr w:type="spellEnd"/>
            <w:r w:rsidRPr="00815DF6">
              <w:rPr>
                <w:rFonts w:cs="Times New Roman"/>
                <w:bCs/>
                <w:szCs w:val="24"/>
              </w:rPr>
              <w:t xml:space="preserve"> is open-source and encourages other countries to use, research, and modify the code.</w:t>
            </w:r>
          </w:p>
        </w:tc>
      </w:tr>
      <w:tr w:rsidR="00733939" w:rsidRPr="00733939" w14:paraId="698FF17B"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1330B" w14:textId="77777777" w:rsidR="00733939" w:rsidRPr="00733939" w:rsidRDefault="00733939" w:rsidP="00595343">
            <w:pPr>
              <w:spacing w:before="60" w:after="60" w:line="276" w:lineRule="auto"/>
              <w:rPr>
                <w:rFonts w:cs="Times New Roman"/>
                <w:szCs w:val="24"/>
              </w:rPr>
            </w:pPr>
            <w:r w:rsidRPr="00733939">
              <w:rPr>
                <w:rFonts w:cs="Times New Roman"/>
                <w:bCs/>
                <w:szCs w:val="24"/>
              </w:rPr>
              <w:t>Area 5: Operations</w:t>
            </w:r>
          </w:p>
        </w:tc>
      </w:tr>
      <w:tr w:rsidR="00130E35" w:rsidRPr="00733939" w14:paraId="796A4006"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202" w:type="pct"/>
            <w:gridSpan w:val="2"/>
            <w:tcBorders>
              <w:top w:val="nil"/>
              <w:left w:val="single" w:sz="4" w:space="0" w:color="auto"/>
              <w:bottom w:val="single" w:sz="4" w:space="0" w:color="auto"/>
              <w:right w:val="single" w:sz="4" w:space="0" w:color="auto"/>
            </w:tcBorders>
            <w:shd w:val="clear" w:color="auto" w:fill="auto"/>
            <w:hideMark/>
          </w:tcPr>
          <w:p w14:paraId="522FE1C6"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Personnel</w:t>
            </w:r>
          </w:p>
        </w:tc>
        <w:tc>
          <w:tcPr>
            <w:tcW w:w="1205" w:type="pct"/>
            <w:gridSpan w:val="4"/>
            <w:tcBorders>
              <w:top w:val="nil"/>
              <w:left w:val="nil"/>
              <w:bottom w:val="single" w:sz="4" w:space="0" w:color="auto"/>
              <w:right w:val="single" w:sz="4" w:space="0" w:color="auto"/>
            </w:tcBorders>
            <w:shd w:val="clear" w:color="auto" w:fill="auto"/>
            <w:hideMark/>
          </w:tcPr>
          <w:p w14:paraId="11F5423F" w14:textId="6FA227BD" w:rsidR="00733939" w:rsidRPr="00733939" w:rsidRDefault="00330AF1" w:rsidP="00595343">
            <w:pPr>
              <w:spacing w:before="60" w:after="60" w:line="276" w:lineRule="auto"/>
              <w:rPr>
                <w:rFonts w:cs="Times New Roman"/>
                <w:i/>
                <w:iCs/>
                <w:szCs w:val="24"/>
              </w:rPr>
            </w:pPr>
            <w:r w:rsidRPr="00330AF1">
              <w:rPr>
                <w:rFonts w:cs="Times New Roman"/>
                <w:bCs/>
                <w:i/>
                <w:iCs/>
                <w:szCs w:val="24"/>
              </w:rPr>
              <w:t>Training and support</w:t>
            </w:r>
          </w:p>
        </w:tc>
        <w:tc>
          <w:tcPr>
            <w:tcW w:w="1342" w:type="pct"/>
            <w:gridSpan w:val="4"/>
            <w:tcBorders>
              <w:top w:val="nil"/>
              <w:left w:val="nil"/>
              <w:bottom w:val="single" w:sz="4" w:space="0" w:color="auto"/>
              <w:right w:val="single" w:sz="4" w:space="0" w:color="auto"/>
            </w:tcBorders>
            <w:shd w:val="clear" w:color="auto" w:fill="auto"/>
            <w:hideMark/>
          </w:tcPr>
          <w:p w14:paraId="08FB3226" w14:textId="3478F0CF" w:rsidR="00733939" w:rsidRPr="00733939" w:rsidRDefault="00130E35" w:rsidP="00595343">
            <w:pPr>
              <w:spacing w:before="60" w:after="60" w:line="276" w:lineRule="auto"/>
              <w:rPr>
                <w:rFonts w:cs="Times New Roman"/>
                <w:i/>
                <w:iCs/>
                <w:szCs w:val="24"/>
              </w:rPr>
            </w:pPr>
            <w:r w:rsidRPr="00232EF6">
              <w:rPr>
                <w:rFonts w:cs="Times New Roman"/>
                <w:bCs/>
                <w:i/>
                <w:iCs/>
                <w:szCs w:val="24"/>
              </w:rPr>
              <w:t>Outreach</w:t>
            </w:r>
            <w:r w:rsidRPr="00130E35">
              <w:rPr>
                <w:rFonts w:cs="Times New Roman"/>
                <w:bCs/>
                <w:i/>
                <w:iCs/>
                <w:szCs w:val="24"/>
              </w:rPr>
              <w:t xml:space="preserve"> and s</w:t>
            </w:r>
            <w:r w:rsidRPr="00232EF6">
              <w:rPr>
                <w:rFonts w:cs="Times New Roman"/>
                <w:bCs/>
                <w:i/>
                <w:iCs/>
                <w:szCs w:val="24"/>
              </w:rPr>
              <w:t>ensitization</w:t>
            </w:r>
          </w:p>
        </w:tc>
        <w:tc>
          <w:tcPr>
            <w:tcW w:w="1252" w:type="pct"/>
            <w:tcBorders>
              <w:top w:val="nil"/>
              <w:left w:val="nil"/>
              <w:bottom w:val="single" w:sz="4" w:space="0" w:color="auto"/>
              <w:right w:val="single" w:sz="4" w:space="0" w:color="auto"/>
            </w:tcBorders>
            <w:shd w:val="clear" w:color="auto" w:fill="auto"/>
            <w:hideMark/>
          </w:tcPr>
          <w:p w14:paraId="27BF8551" w14:textId="72D9C085" w:rsidR="00733939" w:rsidRPr="00733939" w:rsidRDefault="00130E35" w:rsidP="00595343">
            <w:pPr>
              <w:spacing w:before="60" w:after="60" w:line="276" w:lineRule="auto"/>
              <w:rPr>
                <w:rFonts w:cs="Times New Roman"/>
                <w:i/>
                <w:iCs/>
                <w:szCs w:val="24"/>
              </w:rPr>
            </w:pPr>
            <w:r w:rsidRPr="00130E35">
              <w:rPr>
                <w:rFonts w:cs="Times New Roman"/>
                <w:bCs/>
                <w:i/>
                <w:iCs/>
                <w:szCs w:val="24"/>
              </w:rPr>
              <w:t>Contingency planning</w:t>
            </w:r>
          </w:p>
        </w:tc>
      </w:tr>
      <w:tr w:rsidR="00130E35" w:rsidRPr="00733939" w14:paraId="7ED91BA0"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202" w:type="pct"/>
            <w:gridSpan w:val="2"/>
            <w:tcBorders>
              <w:top w:val="nil"/>
              <w:left w:val="single" w:sz="4" w:space="0" w:color="auto"/>
              <w:bottom w:val="single" w:sz="4" w:space="0" w:color="auto"/>
              <w:right w:val="single" w:sz="4" w:space="0" w:color="auto"/>
            </w:tcBorders>
            <w:shd w:val="clear" w:color="auto" w:fill="auto"/>
            <w:hideMark/>
          </w:tcPr>
          <w:p w14:paraId="7C2730F2" w14:textId="1800FB71" w:rsidR="00733939" w:rsidRPr="00733939" w:rsidRDefault="00BB1897" w:rsidP="00595343">
            <w:pPr>
              <w:spacing w:before="60" w:after="60" w:line="276" w:lineRule="auto"/>
              <w:rPr>
                <w:rFonts w:cs="Times New Roman"/>
                <w:szCs w:val="24"/>
              </w:rPr>
            </w:pPr>
            <w:r w:rsidRPr="00815DF6">
              <w:rPr>
                <w:rFonts w:cs="Times New Roman"/>
                <w:szCs w:val="24"/>
              </w:rPr>
              <w:t>MIC mobilized experts from different technology groups to independently develop and share technology challenges and discuss solutions before selection.</w:t>
            </w:r>
          </w:p>
        </w:tc>
        <w:tc>
          <w:tcPr>
            <w:tcW w:w="1205" w:type="pct"/>
            <w:gridSpan w:val="4"/>
            <w:tcBorders>
              <w:top w:val="nil"/>
              <w:left w:val="nil"/>
              <w:bottom w:val="single" w:sz="4" w:space="0" w:color="auto"/>
              <w:right w:val="single" w:sz="4" w:space="0" w:color="auto"/>
            </w:tcBorders>
            <w:shd w:val="clear" w:color="auto" w:fill="auto"/>
            <w:hideMark/>
          </w:tcPr>
          <w:p w14:paraId="068D9D0B" w14:textId="038F63A1" w:rsidR="00733939" w:rsidRPr="00733939" w:rsidRDefault="00BB1897" w:rsidP="00595343">
            <w:pPr>
              <w:spacing w:before="60" w:after="60" w:line="276" w:lineRule="auto"/>
              <w:rPr>
                <w:rFonts w:cs="Times New Roman"/>
                <w:szCs w:val="24"/>
              </w:rPr>
            </w:pPr>
            <w:r w:rsidRPr="00815DF6">
              <w:rPr>
                <w:rFonts w:cs="Times New Roman"/>
                <w:szCs w:val="24"/>
              </w:rPr>
              <w:t>Given the client-facing nature of the tool, no training is required or provided. A highly connected and tech-savvy population enabled scale-up.</w:t>
            </w:r>
          </w:p>
        </w:tc>
        <w:tc>
          <w:tcPr>
            <w:tcW w:w="1342" w:type="pct"/>
            <w:gridSpan w:val="4"/>
            <w:tcBorders>
              <w:top w:val="nil"/>
              <w:left w:val="nil"/>
              <w:bottom w:val="single" w:sz="4" w:space="0" w:color="auto"/>
              <w:right w:val="single" w:sz="4" w:space="0" w:color="auto"/>
            </w:tcBorders>
            <w:shd w:val="clear" w:color="auto" w:fill="auto"/>
            <w:hideMark/>
          </w:tcPr>
          <w:p w14:paraId="01CE5C7B" w14:textId="2CCE5AC9" w:rsidR="00733939" w:rsidRPr="00733939" w:rsidRDefault="00BB1897" w:rsidP="00595343">
            <w:pPr>
              <w:spacing w:before="60" w:after="60" w:line="276" w:lineRule="auto"/>
              <w:rPr>
                <w:rFonts w:cs="Times New Roman"/>
                <w:szCs w:val="24"/>
              </w:rPr>
            </w:pPr>
            <w:r w:rsidRPr="00815DF6">
              <w:rPr>
                <w:rFonts w:cs="Times New Roman"/>
                <w:szCs w:val="24"/>
              </w:rPr>
              <w:t xml:space="preserve">The MOH leveraged </w:t>
            </w:r>
            <w:proofErr w:type="spellStart"/>
            <w:r w:rsidRPr="00815DF6">
              <w:rPr>
                <w:rFonts w:cs="Times New Roman"/>
                <w:szCs w:val="24"/>
              </w:rPr>
              <w:t>Zalo</w:t>
            </w:r>
            <w:proofErr w:type="spellEnd"/>
            <w:r w:rsidRPr="00815DF6">
              <w:rPr>
                <w:rFonts w:cs="Times New Roman"/>
                <w:szCs w:val="24"/>
              </w:rPr>
              <w:t xml:space="preserve"> and telecom groups to encourage downloads. Campaigns encouraged users to install themselves and for others: </w:t>
            </w:r>
            <w:r w:rsidR="00640713">
              <w:rPr>
                <w:rFonts w:cs="Times New Roman"/>
                <w:szCs w:val="24"/>
              </w:rPr>
              <w:t>“</w:t>
            </w:r>
            <w:r w:rsidRPr="00815DF6">
              <w:rPr>
                <w:rFonts w:cs="Times New Roman"/>
                <w:szCs w:val="24"/>
              </w:rPr>
              <w:t>Protect yourself, protect your community.</w:t>
            </w:r>
            <w:r w:rsidR="00640713">
              <w:rPr>
                <w:rFonts w:cs="Times New Roman"/>
                <w:szCs w:val="24"/>
              </w:rPr>
              <w:t>”</w:t>
            </w:r>
          </w:p>
        </w:tc>
        <w:tc>
          <w:tcPr>
            <w:tcW w:w="1252" w:type="pct"/>
            <w:tcBorders>
              <w:top w:val="nil"/>
              <w:left w:val="nil"/>
              <w:bottom w:val="single" w:sz="4" w:space="0" w:color="auto"/>
              <w:right w:val="single" w:sz="4" w:space="0" w:color="auto"/>
            </w:tcBorders>
            <w:shd w:val="clear" w:color="auto" w:fill="auto"/>
            <w:hideMark/>
          </w:tcPr>
          <w:p w14:paraId="64BE97F9" w14:textId="13A610FE" w:rsidR="00733939" w:rsidRPr="00733939" w:rsidRDefault="00BB1897" w:rsidP="00595343">
            <w:pPr>
              <w:spacing w:before="60" w:after="60" w:line="276" w:lineRule="auto"/>
              <w:rPr>
                <w:rFonts w:cs="Times New Roman"/>
                <w:szCs w:val="24"/>
              </w:rPr>
            </w:pPr>
            <w:r w:rsidRPr="00815DF6">
              <w:rPr>
                <w:rFonts w:cs="Times New Roman"/>
                <w:szCs w:val="24"/>
              </w:rPr>
              <w:t>Suite of tools designed to address limitations in previous builds.</w:t>
            </w:r>
          </w:p>
        </w:tc>
      </w:tr>
      <w:tr w:rsidR="00733939" w:rsidRPr="00733939" w14:paraId="78408D55"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05B6BE" w14:textId="0AC0A5C0" w:rsidR="00733939" w:rsidRPr="00733939" w:rsidRDefault="00733939" w:rsidP="00595343">
            <w:pPr>
              <w:spacing w:before="60" w:after="60" w:line="276" w:lineRule="auto"/>
              <w:rPr>
                <w:rFonts w:cs="Times New Roman"/>
                <w:szCs w:val="24"/>
              </w:rPr>
            </w:pPr>
            <w:r w:rsidRPr="00733939">
              <w:rPr>
                <w:rFonts w:cs="Times New Roman"/>
                <w:bCs/>
                <w:szCs w:val="24"/>
              </w:rPr>
              <w:t xml:space="preserve">Area 6: </w:t>
            </w:r>
            <w:r w:rsidR="00330AF1" w:rsidRPr="00330AF1">
              <w:rPr>
                <w:rFonts w:cs="Times New Roman"/>
                <w:bCs/>
                <w:szCs w:val="24"/>
              </w:rPr>
              <w:t>Monitoring and evaluation</w:t>
            </w:r>
          </w:p>
        </w:tc>
      </w:tr>
      <w:tr w:rsidR="00733939" w:rsidRPr="00733939" w14:paraId="4F0FE4B5"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406" w:type="pct"/>
            <w:gridSpan w:val="6"/>
            <w:tcBorders>
              <w:top w:val="nil"/>
              <w:left w:val="single" w:sz="4" w:space="0" w:color="auto"/>
              <w:bottom w:val="single" w:sz="4" w:space="0" w:color="auto"/>
              <w:right w:val="single" w:sz="4" w:space="0" w:color="auto"/>
            </w:tcBorders>
            <w:shd w:val="clear" w:color="auto" w:fill="auto"/>
            <w:hideMark/>
          </w:tcPr>
          <w:p w14:paraId="5F7AEED0"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Process monitoring</w:t>
            </w:r>
          </w:p>
        </w:tc>
        <w:tc>
          <w:tcPr>
            <w:tcW w:w="2594" w:type="pct"/>
            <w:gridSpan w:val="5"/>
            <w:tcBorders>
              <w:top w:val="nil"/>
              <w:left w:val="nil"/>
              <w:bottom w:val="single" w:sz="4" w:space="0" w:color="auto"/>
              <w:right w:val="single" w:sz="4" w:space="0" w:color="auto"/>
            </w:tcBorders>
            <w:shd w:val="clear" w:color="auto" w:fill="auto"/>
            <w:hideMark/>
          </w:tcPr>
          <w:p w14:paraId="0A288200" w14:textId="77777777" w:rsidR="00733939" w:rsidRPr="00733939" w:rsidRDefault="00733939" w:rsidP="00595343">
            <w:pPr>
              <w:spacing w:before="60" w:after="60" w:line="276" w:lineRule="auto"/>
              <w:rPr>
                <w:rFonts w:cs="Times New Roman"/>
                <w:i/>
                <w:iCs/>
                <w:szCs w:val="24"/>
              </w:rPr>
            </w:pPr>
            <w:r w:rsidRPr="00733939">
              <w:rPr>
                <w:rFonts w:cs="Times New Roman"/>
                <w:bCs/>
                <w:i/>
                <w:iCs/>
                <w:szCs w:val="24"/>
              </w:rPr>
              <w:t xml:space="preserve">Evaluation </w:t>
            </w:r>
          </w:p>
        </w:tc>
      </w:tr>
      <w:tr w:rsidR="00733939" w:rsidRPr="00733939" w14:paraId="44B18742" w14:textId="77777777" w:rsidTr="0048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2406" w:type="pct"/>
            <w:gridSpan w:val="6"/>
            <w:tcBorders>
              <w:top w:val="nil"/>
              <w:left w:val="single" w:sz="4" w:space="0" w:color="auto"/>
              <w:bottom w:val="single" w:sz="4" w:space="0" w:color="auto"/>
              <w:right w:val="single" w:sz="4" w:space="0" w:color="auto"/>
            </w:tcBorders>
            <w:shd w:val="clear" w:color="auto" w:fill="auto"/>
            <w:hideMark/>
          </w:tcPr>
          <w:p w14:paraId="2FC5E220" w14:textId="14D4546D" w:rsidR="00733939" w:rsidRPr="00733939" w:rsidRDefault="00BB1897" w:rsidP="00595343">
            <w:pPr>
              <w:spacing w:before="60" w:after="60" w:line="276" w:lineRule="auto"/>
              <w:rPr>
                <w:rFonts w:cs="Times New Roman"/>
                <w:szCs w:val="24"/>
              </w:rPr>
            </w:pPr>
            <w:r w:rsidRPr="00815DF6">
              <w:rPr>
                <w:rFonts w:cs="Times New Roman"/>
                <w:szCs w:val="24"/>
              </w:rPr>
              <w:t>Additional details are required to understand use of the apps beyond the number of downloads (e.g., forms submitted, time on app, reporting for household members).</w:t>
            </w:r>
          </w:p>
        </w:tc>
        <w:tc>
          <w:tcPr>
            <w:tcW w:w="2594" w:type="pct"/>
            <w:gridSpan w:val="5"/>
            <w:tcBorders>
              <w:top w:val="nil"/>
              <w:left w:val="nil"/>
              <w:bottom w:val="single" w:sz="4" w:space="0" w:color="auto"/>
              <w:right w:val="single" w:sz="4" w:space="0" w:color="auto"/>
            </w:tcBorders>
            <w:shd w:val="clear" w:color="auto" w:fill="auto"/>
            <w:hideMark/>
          </w:tcPr>
          <w:p w14:paraId="5580AE74" w14:textId="7DC957BC" w:rsidR="00733939" w:rsidRPr="00733939" w:rsidRDefault="00BB1897" w:rsidP="00595343">
            <w:pPr>
              <w:spacing w:before="60" w:after="60" w:line="276" w:lineRule="auto"/>
              <w:rPr>
                <w:rFonts w:cs="Times New Roman"/>
                <w:szCs w:val="24"/>
              </w:rPr>
            </w:pPr>
            <w:r w:rsidRPr="00815DF6">
              <w:rPr>
                <w:rFonts w:cs="Times New Roman"/>
                <w:szCs w:val="24"/>
              </w:rPr>
              <w:t xml:space="preserve">Both NCOVI and </w:t>
            </w:r>
            <w:proofErr w:type="spellStart"/>
            <w:r w:rsidRPr="00815DF6">
              <w:rPr>
                <w:rFonts w:cs="Times New Roman"/>
                <w:szCs w:val="24"/>
              </w:rPr>
              <w:t>Bluezone</w:t>
            </w:r>
            <w:proofErr w:type="spellEnd"/>
            <w:r w:rsidRPr="00815DF6">
              <w:rPr>
                <w:rFonts w:cs="Times New Roman"/>
                <w:szCs w:val="24"/>
              </w:rPr>
              <w:t xml:space="preserve"> were used to identify contacts, but their impact (and intentions to evaluate the impact) are unclear.</w:t>
            </w:r>
          </w:p>
        </w:tc>
      </w:tr>
    </w:tbl>
    <w:p w14:paraId="6ED219B2" w14:textId="77777777" w:rsidR="00E25834" w:rsidRDefault="00E25834" w:rsidP="00FE1D2D">
      <w:pPr>
        <w:rPr>
          <w:rFonts w:cs="Times New Roman"/>
          <w:bCs/>
          <w:szCs w:val="24"/>
        </w:rPr>
      </w:pPr>
    </w:p>
    <w:p w14:paraId="4A4E934C" w14:textId="56DE4412" w:rsidR="00FE1D2D" w:rsidRPr="00A408E3" w:rsidRDefault="00784F35" w:rsidP="00FE1D2D">
      <w:pPr>
        <w:rPr>
          <w:rFonts w:cs="Times New Roman"/>
          <w:b/>
          <w:bCs/>
          <w:szCs w:val="24"/>
        </w:rPr>
      </w:pPr>
      <w:r w:rsidRPr="00815DF6">
        <w:rPr>
          <w:rFonts w:cs="Times New Roman"/>
          <w:bCs/>
          <w:szCs w:val="24"/>
        </w:rPr>
        <w:t>Note: To assess the performance of the eight digital health tools in our assessment, we used a framework from the World Health Organization</w:t>
      </w:r>
      <w:r w:rsidR="005870AD">
        <w:rPr>
          <w:rFonts w:cs="Times New Roman"/>
          <w:bCs/>
          <w:szCs w:val="24"/>
        </w:rPr>
        <w:t>’</w:t>
      </w:r>
      <w:r w:rsidRPr="00815DF6">
        <w:rPr>
          <w:rFonts w:cs="Times New Roman"/>
          <w:bCs/>
          <w:szCs w:val="24"/>
        </w:rPr>
        <w:t xml:space="preserve">s </w:t>
      </w:r>
      <w:hyperlink r:id="rId11" w:history="1">
        <w:r w:rsidRPr="003B2539">
          <w:rPr>
            <w:rStyle w:val="Hyperlink"/>
            <w:rFonts w:cs="Times New Roman"/>
            <w:bCs/>
            <w:i/>
            <w:iCs/>
            <w:szCs w:val="24"/>
          </w:rPr>
          <w:t xml:space="preserve">MAPS Toolkit: </w:t>
        </w:r>
        <w:r w:rsidRPr="00A15742">
          <w:rPr>
            <w:rStyle w:val="Hyperlink"/>
            <w:i/>
            <w:iCs/>
          </w:rPr>
          <w:t xml:space="preserve">mHealth Assessment and Planning </w:t>
        </w:r>
        <w:r w:rsidRPr="00A15742">
          <w:rPr>
            <w:rStyle w:val="Hyperlink"/>
            <w:i/>
            <w:iCs/>
          </w:rPr>
          <w:lastRenderedPageBreak/>
          <w:t>for Scale</w:t>
        </w:r>
      </w:hyperlink>
      <w:r w:rsidRPr="00815DF6">
        <w:rPr>
          <w:rFonts w:cs="Times New Roman"/>
          <w:bCs/>
          <w:szCs w:val="24"/>
        </w:rPr>
        <w:t>,</w:t>
      </w:r>
      <w:r w:rsidR="00104455">
        <w:rPr>
          <w:rStyle w:val="FootnoteReference"/>
          <w:rFonts w:cs="Times New Roman"/>
          <w:bCs/>
          <w:szCs w:val="24"/>
        </w:rPr>
        <w:footnoteReference w:id="1"/>
      </w:r>
      <w:r w:rsidRPr="00815DF6">
        <w:rPr>
          <w:rFonts w:cs="Times New Roman"/>
          <w:bCs/>
          <w:szCs w:val="24"/>
        </w:rPr>
        <w:t xml:space="preserve"> which identifies six axes for assessing the implementation and scalability of a given program: groundwork, partnerships, financial health, technology and architecture, operations, and monitoring and evaluation.</w:t>
      </w:r>
    </w:p>
    <w:sectPr w:rsidR="00FE1D2D" w:rsidRPr="00A408E3" w:rsidSect="00FE1D2D">
      <w:headerReference w:type="even" r:id="rId12"/>
      <w:headerReference w:type="default" r:id="rId13"/>
      <w:footerReference w:type="even" r:id="rId14"/>
      <w:footerReference w:type="default" r:id="rId15"/>
      <w:headerReference w:type="first" r:id="rId16"/>
      <w:footerReference w:type="first" r:id="rId17"/>
      <w:footnotePr>
        <w:numFmt w:val="chicago"/>
      </w:footnotePr>
      <w:pgSz w:w="12240" w:h="15840"/>
      <w:pgMar w:top="1138" w:right="1282" w:bottom="1138" w:left="1181"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7042" w14:textId="77777777" w:rsidR="00C3621A" w:rsidRDefault="00C3621A" w:rsidP="00117666">
      <w:pPr>
        <w:spacing w:after="0"/>
      </w:pPr>
      <w:r>
        <w:separator/>
      </w:r>
    </w:p>
  </w:endnote>
  <w:endnote w:type="continuationSeparator" w:id="0">
    <w:p w14:paraId="1DD0C636" w14:textId="77777777" w:rsidR="00C3621A" w:rsidRDefault="00C3621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21DDCC13" w:rsidR="00686C9D" w:rsidRPr="00577C4C" w:rsidRDefault="00C52A7B">
    <w:pPr>
      <w:pStyle w:val="Footer"/>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51D4B8BD" wp14:editId="54EAC3C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2B34" w14:textId="77777777" w:rsidR="00FC121B" w:rsidRDefault="00FC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245E" w14:textId="77777777" w:rsidR="00C3621A" w:rsidRDefault="00C3621A" w:rsidP="00117666">
      <w:pPr>
        <w:spacing w:after="0"/>
      </w:pPr>
      <w:r>
        <w:separator/>
      </w:r>
    </w:p>
  </w:footnote>
  <w:footnote w:type="continuationSeparator" w:id="0">
    <w:p w14:paraId="5F816D05" w14:textId="77777777" w:rsidR="00C3621A" w:rsidRDefault="00C3621A" w:rsidP="00117666">
      <w:pPr>
        <w:spacing w:after="0"/>
      </w:pPr>
      <w:r>
        <w:continuationSeparator/>
      </w:r>
    </w:p>
  </w:footnote>
  <w:footnote w:id="1">
    <w:p w14:paraId="12818EB2" w14:textId="51121685" w:rsidR="00104455" w:rsidRPr="00104455" w:rsidRDefault="00104455" w:rsidP="00104455">
      <w:pPr>
        <w:spacing w:before="0" w:after="0"/>
        <w:rPr>
          <w:rFonts w:eastAsia="Times New Roman" w:cs="Times New Roman"/>
          <w:szCs w:val="24"/>
        </w:rPr>
      </w:pPr>
      <w:r>
        <w:rPr>
          <w:rStyle w:val="FootnoteReference"/>
        </w:rPr>
        <w:footnoteRef/>
      </w:r>
      <w:r>
        <w:t xml:space="preserve"> </w:t>
      </w:r>
      <w:r w:rsidRPr="00104455">
        <w:t>World Health Organization</w:t>
      </w:r>
      <w:r>
        <w:t xml:space="preserve"> (WHO)</w:t>
      </w:r>
      <w:r w:rsidRPr="00104455">
        <w:t xml:space="preserve">, United Nations Foundation, UNDP/UNFPA/WHO/World Bank Special </w:t>
      </w:r>
      <w:proofErr w:type="spellStart"/>
      <w:r w:rsidRPr="00104455">
        <w:t>Programme</w:t>
      </w:r>
      <w:proofErr w:type="spellEnd"/>
      <w:r w:rsidRPr="00104455">
        <w:t xml:space="preserve"> of Research, Development and Research Training in Human Reproduction &amp; Johns Hopkins University.</w:t>
      </w:r>
      <w:r w:rsidRPr="00815DF6">
        <w:rPr>
          <w:rFonts w:cs="Times New Roman"/>
          <w:bCs/>
          <w:szCs w:val="24"/>
        </w:rPr>
        <w:t xml:space="preserve"> </w:t>
      </w:r>
      <w:r>
        <w:rPr>
          <w:rFonts w:cs="Times New Roman"/>
          <w:bCs/>
          <w:i/>
          <w:iCs/>
          <w:szCs w:val="24"/>
        </w:rPr>
        <w:t xml:space="preserve">The </w:t>
      </w:r>
      <w:r w:rsidRPr="00104455">
        <w:rPr>
          <w:rFonts w:cs="Times New Roman"/>
          <w:bCs/>
          <w:i/>
          <w:iCs/>
          <w:szCs w:val="24"/>
        </w:rPr>
        <w:t xml:space="preserve">MAPS Toolkit: </w:t>
      </w:r>
      <w:r w:rsidRPr="00A15742">
        <w:rPr>
          <w:rFonts w:cs="Times New Roman"/>
          <w:bCs/>
          <w:i/>
          <w:iCs/>
          <w:szCs w:val="24"/>
        </w:rPr>
        <w:t>mHealth Assessment and Planning for Scale</w:t>
      </w:r>
      <w:r>
        <w:rPr>
          <w:rFonts w:cs="Times New Roman"/>
          <w:bCs/>
          <w:szCs w:val="24"/>
        </w:rPr>
        <w:t xml:space="preserve">. Geneva: WHO; 2015. </w:t>
      </w:r>
      <w:hyperlink r:id="rId1" w:history="1">
        <w:r w:rsidRPr="00455FCF">
          <w:rPr>
            <w:rStyle w:val="Hyperlink"/>
            <w:rFonts w:cs="Times New Roman"/>
            <w:bCs/>
            <w:szCs w:val="24"/>
          </w:rPr>
          <w:t>https://apps.who.int/iris/handle/10665/185238</w:t>
        </w:r>
      </w:hyperlink>
      <w:r>
        <w:rPr>
          <w:rFonts w:cs="Times New Roman"/>
          <w:bCs/>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294FB0D1" w:rsidR="00686C9D" w:rsidRPr="007E3148" w:rsidRDefault="00C52A7B" w:rsidP="00A53000">
    <w:pPr>
      <w:pStyle w:val="Header"/>
    </w:pPr>
    <w:r w:rsidRPr="007E3148">
      <w:ptab w:relativeTo="margin" w:alignment="center" w:leader="none"/>
    </w:r>
    <w:r w:rsidRPr="007E314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09AEC5D8" w:rsidR="00686C9D" w:rsidRPr="00A53000" w:rsidRDefault="00C52A7B" w:rsidP="00A53000">
    <w:pPr>
      <w:pStyle w:val="Header"/>
    </w:pPr>
    <w:r w:rsidRPr="007E3148">
      <w:ptab w:relativeTo="margin" w:alignment="center" w:leader="none"/>
    </w:r>
    <w:r w:rsidRPr="007E3148">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65BA68B" w:rsidR="00686C9D" w:rsidRDefault="00C52A7B" w:rsidP="00A530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A5A7A"/>
    <w:multiLevelType w:val="hybridMultilevel"/>
    <w:tmpl w:val="8D18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02F90"/>
    <w:multiLevelType w:val="hybridMultilevel"/>
    <w:tmpl w:val="BC301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33E90"/>
    <w:multiLevelType w:val="hybridMultilevel"/>
    <w:tmpl w:val="AFF2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5A71F4"/>
    <w:multiLevelType w:val="hybridMultilevel"/>
    <w:tmpl w:val="FFB6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1F3F5E71"/>
    <w:multiLevelType w:val="hybridMultilevel"/>
    <w:tmpl w:val="A2F4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305B5"/>
    <w:multiLevelType w:val="hybridMultilevel"/>
    <w:tmpl w:val="4F8C24FA"/>
    <w:lvl w:ilvl="0" w:tplc="A9DCD718">
      <w:start w:val="1"/>
      <w:numFmt w:val="bullet"/>
      <w:pStyle w:val="ListParagraph"/>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0" w15:restartNumberingAfterBreak="0">
    <w:nsid w:val="302A7CAC"/>
    <w:multiLevelType w:val="multilevel"/>
    <w:tmpl w:val="C6A8CCEA"/>
    <w:numStyleLink w:val="Headings"/>
  </w:abstractNum>
  <w:abstractNum w:abstractNumId="11" w15:restartNumberingAfterBreak="0">
    <w:nsid w:val="309B57A2"/>
    <w:multiLevelType w:val="hybridMultilevel"/>
    <w:tmpl w:val="61100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845AD4"/>
    <w:multiLevelType w:val="hybridMultilevel"/>
    <w:tmpl w:val="A660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E5FEF"/>
    <w:multiLevelType w:val="hybridMultilevel"/>
    <w:tmpl w:val="3244D8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F2CDB"/>
    <w:multiLevelType w:val="hybridMultilevel"/>
    <w:tmpl w:val="ECA0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52297"/>
    <w:multiLevelType w:val="hybridMultilevel"/>
    <w:tmpl w:val="8B547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8A28DF"/>
    <w:multiLevelType w:val="hybridMultilevel"/>
    <w:tmpl w:val="FA8670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E6C53"/>
    <w:multiLevelType w:val="hybridMultilevel"/>
    <w:tmpl w:val="DF9E6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634EB"/>
    <w:multiLevelType w:val="hybridMultilevel"/>
    <w:tmpl w:val="17D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A22D9"/>
    <w:multiLevelType w:val="hybridMultilevel"/>
    <w:tmpl w:val="14CC2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F6981"/>
    <w:multiLevelType w:val="hybridMultilevel"/>
    <w:tmpl w:val="8AB8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A773C"/>
    <w:multiLevelType w:val="multilevel"/>
    <w:tmpl w:val="FA02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873C0"/>
    <w:multiLevelType w:val="hybridMultilevel"/>
    <w:tmpl w:val="DABA9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2418AF"/>
    <w:multiLevelType w:val="hybridMultilevel"/>
    <w:tmpl w:val="0790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C6F29"/>
    <w:multiLevelType w:val="multilevel"/>
    <w:tmpl w:val="C6A8CCEA"/>
    <w:numStyleLink w:val="Headings"/>
  </w:abstractNum>
  <w:abstractNum w:abstractNumId="35" w15:restartNumberingAfterBreak="0">
    <w:nsid w:val="7F3C6594"/>
    <w:multiLevelType w:val="hybridMultilevel"/>
    <w:tmpl w:val="536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8"/>
  </w:num>
  <w:num w:numId="3">
    <w:abstractNumId w:val="1"/>
  </w:num>
  <w:num w:numId="4">
    <w:abstractNumId w:val="3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num>
  <w:num w:numId="8">
    <w:abstractNumId w:val="14"/>
  </w:num>
  <w:num w:numId="9">
    <w:abstractNumId w:val="22"/>
  </w:num>
  <w:num w:numId="10">
    <w:abstractNumId w:val="15"/>
  </w:num>
  <w:num w:numId="11">
    <w:abstractNumId w:val="6"/>
  </w:num>
  <w:num w:numId="12">
    <w:abstractNumId w:val="36"/>
  </w:num>
  <w:num w:numId="13">
    <w:abstractNumId w:val="27"/>
  </w:num>
  <w:num w:numId="14">
    <w:abstractNumId w:val="9"/>
  </w:num>
  <w:num w:numId="15">
    <w:abstractNumId w:val="26"/>
  </w:num>
  <w:num w:numId="16">
    <w:abstractNumId w:val="30"/>
  </w:num>
  <w:num w:numId="17">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4"/>
  </w:num>
  <w:num w:numId="21">
    <w:abstractNumId w:val="7"/>
  </w:num>
  <w:num w:numId="22">
    <w:abstractNumId w:val="7"/>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8"/>
  </w:num>
  <w:num w:numId="24">
    <w:abstractNumId w:val="8"/>
  </w:num>
  <w:num w:numId="25">
    <w:abstractNumId w:val="2"/>
  </w:num>
  <w:num w:numId="26">
    <w:abstractNumId w:val="13"/>
  </w:num>
  <w:num w:numId="27">
    <w:abstractNumId w:val="35"/>
  </w:num>
  <w:num w:numId="28">
    <w:abstractNumId w:val="5"/>
  </w:num>
  <w:num w:numId="29">
    <w:abstractNumId w:val="33"/>
  </w:num>
  <w:num w:numId="30">
    <w:abstractNumId w:val="12"/>
  </w:num>
  <w:num w:numId="31">
    <w:abstractNumId w:val="21"/>
  </w:num>
  <w:num w:numId="32">
    <w:abstractNumId w:val="20"/>
  </w:num>
  <w:num w:numId="33">
    <w:abstractNumId w:val="29"/>
  </w:num>
  <w:num w:numId="34">
    <w:abstractNumId w:val="3"/>
  </w:num>
  <w:num w:numId="35">
    <w:abstractNumId w:val="17"/>
  </w:num>
  <w:num w:numId="36">
    <w:abstractNumId w:val="4"/>
  </w:num>
  <w:num w:numId="37">
    <w:abstractNumId w:val="23"/>
  </w:num>
  <w:num w:numId="38">
    <w:abstractNumId w:val="25"/>
  </w:num>
  <w:num w:numId="39">
    <w:abstractNumId w:val="32"/>
  </w:num>
  <w:num w:numId="40">
    <w:abstractNumId w:val="16"/>
  </w:num>
  <w:num w:numId="41">
    <w:abstractNumId w:val="11"/>
  </w:num>
  <w:num w:numId="42">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13CF3"/>
    <w:rsid w:val="00034304"/>
    <w:rsid w:val="00035434"/>
    <w:rsid w:val="0004193B"/>
    <w:rsid w:val="00045678"/>
    <w:rsid w:val="000458E4"/>
    <w:rsid w:val="00046016"/>
    <w:rsid w:val="00063D84"/>
    <w:rsid w:val="0006636D"/>
    <w:rsid w:val="00075AFC"/>
    <w:rsid w:val="00077D53"/>
    <w:rsid w:val="00081394"/>
    <w:rsid w:val="000B34BD"/>
    <w:rsid w:val="000C126A"/>
    <w:rsid w:val="000C7E2A"/>
    <w:rsid w:val="000D6EE6"/>
    <w:rsid w:val="000F4CFB"/>
    <w:rsid w:val="00104455"/>
    <w:rsid w:val="001075E2"/>
    <w:rsid w:val="00117666"/>
    <w:rsid w:val="001223A7"/>
    <w:rsid w:val="00130E35"/>
    <w:rsid w:val="00134256"/>
    <w:rsid w:val="00147395"/>
    <w:rsid w:val="001552C9"/>
    <w:rsid w:val="00166291"/>
    <w:rsid w:val="00177D84"/>
    <w:rsid w:val="001964EF"/>
    <w:rsid w:val="001B1A2C"/>
    <w:rsid w:val="001C2C3E"/>
    <w:rsid w:val="001D5C23"/>
    <w:rsid w:val="001E229E"/>
    <w:rsid w:val="001F4C07"/>
    <w:rsid w:val="00201F50"/>
    <w:rsid w:val="00203AAD"/>
    <w:rsid w:val="00220439"/>
    <w:rsid w:val="00220AEA"/>
    <w:rsid w:val="00220C07"/>
    <w:rsid w:val="00226954"/>
    <w:rsid w:val="00232EF6"/>
    <w:rsid w:val="00242033"/>
    <w:rsid w:val="002439D4"/>
    <w:rsid w:val="002629A3"/>
    <w:rsid w:val="00265660"/>
    <w:rsid w:val="00267D18"/>
    <w:rsid w:val="00271AB9"/>
    <w:rsid w:val="00286038"/>
    <w:rsid w:val="002868E2"/>
    <w:rsid w:val="002869C3"/>
    <w:rsid w:val="002936E4"/>
    <w:rsid w:val="00296B88"/>
    <w:rsid w:val="002B69E4"/>
    <w:rsid w:val="002C74CA"/>
    <w:rsid w:val="002D41E2"/>
    <w:rsid w:val="002D7C76"/>
    <w:rsid w:val="002E4590"/>
    <w:rsid w:val="002F744D"/>
    <w:rsid w:val="00303DE6"/>
    <w:rsid w:val="00310124"/>
    <w:rsid w:val="0031510E"/>
    <w:rsid w:val="00330AF1"/>
    <w:rsid w:val="00340955"/>
    <w:rsid w:val="00343A10"/>
    <w:rsid w:val="00343D57"/>
    <w:rsid w:val="003542CC"/>
    <w:rsid w:val="003544FB"/>
    <w:rsid w:val="00354F6D"/>
    <w:rsid w:val="0036518A"/>
    <w:rsid w:val="00365D63"/>
    <w:rsid w:val="0036793B"/>
    <w:rsid w:val="00372682"/>
    <w:rsid w:val="00376373"/>
    <w:rsid w:val="00376CC5"/>
    <w:rsid w:val="00382B71"/>
    <w:rsid w:val="0038484D"/>
    <w:rsid w:val="00393E22"/>
    <w:rsid w:val="0039693B"/>
    <w:rsid w:val="003A13C9"/>
    <w:rsid w:val="003B2539"/>
    <w:rsid w:val="003C310F"/>
    <w:rsid w:val="003D2F2D"/>
    <w:rsid w:val="003E000C"/>
    <w:rsid w:val="00401590"/>
    <w:rsid w:val="004118D5"/>
    <w:rsid w:val="00422C94"/>
    <w:rsid w:val="00434D10"/>
    <w:rsid w:val="00436EE3"/>
    <w:rsid w:val="00463E3D"/>
    <w:rsid w:val="004645AE"/>
    <w:rsid w:val="0047577C"/>
    <w:rsid w:val="00482ECC"/>
    <w:rsid w:val="004B3BBF"/>
    <w:rsid w:val="004C1C7B"/>
    <w:rsid w:val="004D3E33"/>
    <w:rsid w:val="004D4B51"/>
    <w:rsid w:val="004D647A"/>
    <w:rsid w:val="004F3D13"/>
    <w:rsid w:val="0050417F"/>
    <w:rsid w:val="00521D3C"/>
    <w:rsid w:val="005250F2"/>
    <w:rsid w:val="005525ED"/>
    <w:rsid w:val="005615BD"/>
    <w:rsid w:val="0057032D"/>
    <w:rsid w:val="00573BEC"/>
    <w:rsid w:val="005870AD"/>
    <w:rsid w:val="00595343"/>
    <w:rsid w:val="005A1D84"/>
    <w:rsid w:val="005A70EA"/>
    <w:rsid w:val="005C0B27"/>
    <w:rsid w:val="005C1E06"/>
    <w:rsid w:val="005C3963"/>
    <w:rsid w:val="005D004F"/>
    <w:rsid w:val="005D1840"/>
    <w:rsid w:val="005D2B32"/>
    <w:rsid w:val="005D35E4"/>
    <w:rsid w:val="005D7910"/>
    <w:rsid w:val="005F0C82"/>
    <w:rsid w:val="00603B48"/>
    <w:rsid w:val="00606728"/>
    <w:rsid w:val="00611FEA"/>
    <w:rsid w:val="0062154F"/>
    <w:rsid w:val="00622D70"/>
    <w:rsid w:val="00631A8C"/>
    <w:rsid w:val="00633600"/>
    <w:rsid w:val="00640713"/>
    <w:rsid w:val="006429B1"/>
    <w:rsid w:val="00644211"/>
    <w:rsid w:val="00651CA2"/>
    <w:rsid w:val="00653D60"/>
    <w:rsid w:val="00660D05"/>
    <w:rsid w:val="006627C2"/>
    <w:rsid w:val="00664E48"/>
    <w:rsid w:val="00671D9A"/>
    <w:rsid w:val="00673952"/>
    <w:rsid w:val="00681821"/>
    <w:rsid w:val="00686C9D"/>
    <w:rsid w:val="00694758"/>
    <w:rsid w:val="006B2D5B"/>
    <w:rsid w:val="006B39EF"/>
    <w:rsid w:val="006B7D14"/>
    <w:rsid w:val="006C7BB3"/>
    <w:rsid w:val="006D5B93"/>
    <w:rsid w:val="0071664F"/>
    <w:rsid w:val="00716932"/>
    <w:rsid w:val="00725A7D"/>
    <w:rsid w:val="0073085C"/>
    <w:rsid w:val="00733784"/>
    <w:rsid w:val="00733939"/>
    <w:rsid w:val="00733A19"/>
    <w:rsid w:val="00742429"/>
    <w:rsid w:val="00746505"/>
    <w:rsid w:val="00763E46"/>
    <w:rsid w:val="00784F35"/>
    <w:rsid w:val="00790BB3"/>
    <w:rsid w:val="00792043"/>
    <w:rsid w:val="00793198"/>
    <w:rsid w:val="00797EDD"/>
    <w:rsid w:val="007A03AD"/>
    <w:rsid w:val="007A31C7"/>
    <w:rsid w:val="007B0322"/>
    <w:rsid w:val="007C0E3F"/>
    <w:rsid w:val="007C206C"/>
    <w:rsid w:val="007C5729"/>
    <w:rsid w:val="007E046E"/>
    <w:rsid w:val="008111E4"/>
    <w:rsid w:val="0081301C"/>
    <w:rsid w:val="00815DF6"/>
    <w:rsid w:val="00817DD6"/>
    <w:rsid w:val="00835752"/>
    <w:rsid w:val="00841915"/>
    <w:rsid w:val="00851551"/>
    <w:rsid w:val="008629A9"/>
    <w:rsid w:val="0088513A"/>
    <w:rsid w:val="008923F7"/>
    <w:rsid w:val="00893C19"/>
    <w:rsid w:val="00895670"/>
    <w:rsid w:val="008A1514"/>
    <w:rsid w:val="008B677B"/>
    <w:rsid w:val="008C09AA"/>
    <w:rsid w:val="008D2375"/>
    <w:rsid w:val="008D4A6E"/>
    <w:rsid w:val="008D6C8D"/>
    <w:rsid w:val="008E2B54"/>
    <w:rsid w:val="008E4404"/>
    <w:rsid w:val="008E58C7"/>
    <w:rsid w:val="008F4D18"/>
    <w:rsid w:val="008F4EBB"/>
    <w:rsid w:val="008F5021"/>
    <w:rsid w:val="009165F4"/>
    <w:rsid w:val="00943573"/>
    <w:rsid w:val="009450EE"/>
    <w:rsid w:val="00970443"/>
    <w:rsid w:val="009716E5"/>
    <w:rsid w:val="00971B61"/>
    <w:rsid w:val="009759D1"/>
    <w:rsid w:val="00975BCE"/>
    <w:rsid w:val="00980C31"/>
    <w:rsid w:val="009955FF"/>
    <w:rsid w:val="009A4FC9"/>
    <w:rsid w:val="009B308C"/>
    <w:rsid w:val="009D20E5"/>
    <w:rsid w:val="009D259D"/>
    <w:rsid w:val="009F3734"/>
    <w:rsid w:val="009F7AFB"/>
    <w:rsid w:val="00A006F0"/>
    <w:rsid w:val="00A15742"/>
    <w:rsid w:val="00A16FD5"/>
    <w:rsid w:val="00A35ACB"/>
    <w:rsid w:val="00A408E3"/>
    <w:rsid w:val="00A50BC2"/>
    <w:rsid w:val="00A50D9D"/>
    <w:rsid w:val="00A53000"/>
    <w:rsid w:val="00A545C6"/>
    <w:rsid w:val="00A54B9F"/>
    <w:rsid w:val="00A63E1F"/>
    <w:rsid w:val="00A64491"/>
    <w:rsid w:val="00A652D0"/>
    <w:rsid w:val="00A75F87"/>
    <w:rsid w:val="00A81A6A"/>
    <w:rsid w:val="00A84313"/>
    <w:rsid w:val="00A84CEB"/>
    <w:rsid w:val="00A86A99"/>
    <w:rsid w:val="00A93D9A"/>
    <w:rsid w:val="00A95D8B"/>
    <w:rsid w:val="00AC0270"/>
    <w:rsid w:val="00AC3EA3"/>
    <w:rsid w:val="00AC792D"/>
    <w:rsid w:val="00AD21F0"/>
    <w:rsid w:val="00B02CEB"/>
    <w:rsid w:val="00B03646"/>
    <w:rsid w:val="00B13816"/>
    <w:rsid w:val="00B1586E"/>
    <w:rsid w:val="00B33F63"/>
    <w:rsid w:val="00B4548B"/>
    <w:rsid w:val="00B51BFB"/>
    <w:rsid w:val="00B54FFB"/>
    <w:rsid w:val="00B5623A"/>
    <w:rsid w:val="00B657B8"/>
    <w:rsid w:val="00B71B10"/>
    <w:rsid w:val="00B7643A"/>
    <w:rsid w:val="00B84920"/>
    <w:rsid w:val="00B8556A"/>
    <w:rsid w:val="00B912CB"/>
    <w:rsid w:val="00B94F78"/>
    <w:rsid w:val="00B97956"/>
    <w:rsid w:val="00BB1897"/>
    <w:rsid w:val="00BB6970"/>
    <w:rsid w:val="00BC1997"/>
    <w:rsid w:val="00BD4D8C"/>
    <w:rsid w:val="00BE771F"/>
    <w:rsid w:val="00C012A3"/>
    <w:rsid w:val="00C16F19"/>
    <w:rsid w:val="00C2500E"/>
    <w:rsid w:val="00C3621A"/>
    <w:rsid w:val="00C52A7B"/>
    <w:rsid w:val="00C6324C"/>
    <w:rsid w:val="00C679AA"/>
    <w:rsid w:val="00C70820"/>
    <w:rsid w:val="00C724CF"/>
    <w:rsid w:val="00C75972"/>
    <w:rsid w:val="00C82792"/>
    <w:rsid w:val="00C86833"/>
    <w:rsid w:val="00C948FD"/>
    <w:rsid w:val="00C95AF8"/>
    <w:rsid w:val="00CA1201"/>
    <w:rsid w:val="00CB43D5"/>
    <w:rsid w:val="00CB57A5"/>
    <w:rsid w:val="00CC76F9"/>
    <w:rsid w:val="00CD066B"/>
    <w:rsid w:val="00CD46E2"/>
    <w:rsid w:val="00CD7F2A"/>
    <w:rsid w:val="00CE515A"/>
    <w:rsid w:val="00CF5C32"/>
    <w:rsid w:val="00D00D0B"/>
    <w:rsid w:val="00D04B69"/>
    <w:rsid w:val="00D3180A"/>
    <w:rsid w:val="00D34B52"/>
    <w:rsid w:val="00D41A05"/>
    <w:rsid w:val="00D44B0E"/>
    <w:rsid w:val="00D46F51"/>
    <w:rsid w:val="00D537FA"/>
    <w:rsid w:val="00D54332"/>
    <w:rsid w:val="00D5547D"/>
    <w:rsid w:val="00D75654"/>
    <w:rsid w:val="00D80D99"/>
    <w:rsid w:val="00D8709C"/>
    <w:rsid w:val="00D9503C"/>
    <w:rsid w:val="00DA05B6"/>
    <w:rsid w:val="00DC4E5C"/>
    <w:rsid w:val="00DD73EF"/>
    <w:rsid w:val="00DE23E8"/>
    <w:rsid w:val="00DF29AB"/>
    <w:rsid w:val="00E0128B"/>
    <w:rsid w:val="00E07ED2"/>
    <w:rsid w:val="00E110B6"/>
    <w:rsid w:val="00E25834"/>
    <w:rsid w:val="00E3719A"/>
    <w:rsid w:val="00E45D46"/>
    <w:rsid w:val="00E517D6"/>
    <w:rsid w:val="00E64E17"/>
    <w:rsid w:val="00E74946"/>
    <w:rsid w:val="00E76F56"/>
    <w:rsid w:val="00E77918"/>
    <w:rsid w:val="00EA3D3C"/>
    <w:rsid w:val="00EB1D74"/>
    <w:rsid w:val="00EB241D"/>
    <w:rsid w:val="00EC7CC3"/>
    <w:rsid w:val="00EE060B"/>
    <w:rsid w:val="00EE06A9"/>
    <w:rsid w:val="00EF3AD6"/>
    <w:rsid w:val="00F07587"/>
    <w:rsid w:val="00F12909"/>
    <w:rsid w:val="00F204D3"/>
    <w:rsid w:val="00F2371C"/>
    <w:rsid w:val="00F33CB1"/>
    <w:rsid w:val="00F34F65"/>
    <w:rsid w:val="00F46494"/>
    <w:rsid w:val="00F52CE2"/>
    <w:rsid w:val="00F5351D"/>
    <w:rsid w:val="00F558AB"/>
    <w:rsid w:val="00F56D5B"/>
    <w:rsid w:val="00F61D89"/>
    <w:rsid w:val="00F85D59"/>
    <w:rsid w:val="00F86ABB"/>
    <w:rsid w:val="00FA32BA"/>
    <w:rsid w:val="00FA5448"/>
    <w:rsid w:val="00FA5BCA"/>
    <w:rsid w:val="00FC121B"/>
    <w:rsid w:val="00FC24D9"/>
    <w:rsid w:val="00FD7648"/>
    <w:rsid w:val="00FE1D2D"/>
    <w:rsid w:val="33E0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19"/>
    <w:pPr>
      <w:spacing w:before="120" w:after="12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4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90249673">
      <w:bodyDiv w:val="1"/>
      <w:marLeft w:val="0"/>
      <w:marRight w:val="0"/>
      <w:marTop w:val="0"/>
      <w:marBottom w:val="0"/>
      <w:divBdr>
        <w:top w:val="none" w:sz="0" w:space="0" w:color="auto"/>
        <w:left w:val="none" w:sz="0" w:space="0" w:color="auto"/>
        <w:bottom w:val="none" w:sz="0" w:space="0" w:color="auto"/>
        <w:right w:val="none" w:sz="0" w:space="0" w:color="auto"/>
      </w:divBdr>
      <w:divsChild>
        <w:div w:id="1123114410">
          <w:marLeft w:val="0"/>
          <w:marRight w:val="0"/>
          <w:marTop w:val="0"/>
          <w:marBottom w:val="0"/>
          <w:divBdr>
            <w:top w:val="none" w:sz="0" w:space="0" w:color="auto"/>
            <w:left w:val="none" w:sz="0" w:space="0" w:color="auto"/>
            <w:bottom w:val="none" w:sz="0" w:space="0" w:color="auto"/>
            <w:right w:val="none" w:sz="0" w:space="0" w:color="auto"/>
          </w:divBdr>
        </w:div>
      </w:divsChild>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44607751">
      <w:bodyDiv w:val="1"/>
      <w:marLeft w:val="0"/>
      <w:marRight w:val="0"/>
      <w:marTop w:val="0"/>
      <w:marBottom w:val="0"/>
      <w:divBdr>
        <w:top w:val="none" w:sz="0" w:space="0" w:color="auto"/>
        <w:left w:val="none" w:sz="0" w:space="0" w:color="auto"/>
        <w:bottom w:val="none" w:sz="0" w:space="0" w:color="auto"/>
        <w:right w:val="none" w:sz="0" w:space="0" w:color="auto"/>
      </w:divBdr>
      <w:divsChild>
        <w:div w:id="1069695799">
          <w:marLeft w:val="0"/>
          <w:marRight w:val="0"/>
          <w:marTop w:val="0"/>
          <w:marBottom w:val="0"/>
          <w:divBdr>
            <w:top w:val="none" w:sz="0" w:space="0" w:color="auto"/>
            <w:left w:val="none" w:sz="0" w:space="0" w:color="auto"/>
            <w:bottom w:val="none" w:sz="0" w:space="0" w:color="auto"/>
            <w:right w:val="none" w:sz="0" w:space="0" w:color="auto"/>
          </w:divBdr>
        </w:div>
      </w:divsChild>
    </w:div>
    <w:div w:id="245194352">
      <w:bodyDiv w:val="1"/>
      <w:marLeft w:val="0"/>
      <w:marRight w:val="0"/>
      <w:marTop w:val="0"/>
      <w:marBottom w:val="0"/>
      <w:divBdr>
        <w:top w:val="none" w:sz="0" w:space="0" w:color="auto"/>
        <w:left w:val="none" w:sz="0" w:space="0" w:color="auto"/>
        <w:bottom w:val="none" w:sz="0" w:space="0" w:color="auto"/>
        <w:right w:val="none" w:sz="0" w:space="0" w:color="auto"/>
      </w:divBdr>
      <w:divsChild>
        <w:div w:id="1314212598">
          <w:marLeft w:val="0"/>
          <w:marRight w:val="0"/>
          <w:marTop w:val="0"/>
          <w:marBottom w:val="0"/>
          <w:divBdr>
            <w:top w:val="none" w:sz="0" w:space="0" w:color="auto"/>
            <w:left w:val="none" w:sz="0" w:space="0" w:color="auto"/>
            <w:bottom w:val="none" w:sz="0" w:space="0" w:color="auto"/>
            <w:right w:val="none" w:sz="0" w:space="0" w:color="auto"/>
          </w:divBdr>
        </w:div>
      </w:divsChild>
    </w:div>
    <w:div w:id="306593360">
      <w:bodyDiv w:val="1"/>
      <w:marLeft w:val="0"/>
      <w:marRight w:val="0"/>
      <w:marTop w:val="0"/>
      <w:marBottom w:val="0"/>
      <w:divBdr>
        <w:top w:val="none" w:sz="0" w:space="0" w:color="auto"/>
        <w:left w:val="none" w:sz="0" w:space="0" w:color="auto"/>
        <w:bottom w:val="none" w:sz="0" w:space="0" w:color="auto"/>
        <w:right w:val="none" w:sz="0" w:space="0" w:color="auto"/>
      </w:divBdr>
      <w:divsChild>
        <w:div w:id="1236476694">
          <w:marLeft w:val="0"/>
          <w:marRight w:val="0"/>
          <w:marTop w:val="0"/>
          <w:marBottom w:val="0"/>
          <w:divBdr>
            <w:top w:val="none" w:sz="0" w:space="0" w:color="auto"/>
            <w:left w:val="none" w:sz="0" w:space="0" w:color="auto"/>
            <w:bottom w:val="none" w:sz="0" w:space="0" w:color="auto"/>
            <w:right w:val="none" w:sz="0" w:space="0" w:color="auto"/>
          </w:divBdr>
        </w:div>
      </w:divsChild>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04201031">
      <w:bodyDiv w:val="1"/>
      <w:marLeft w:val="0"/>
      <w:marRight w:val="0"/>
      <w:marTop w:val="0"/>
      <w:marBottom w:val="0"/>
      <w:divBdr>
        <w:top w:val="none" w:sz="0" w:space="0" w:color="auto"/>
        <w:left w:val="none" w:sz="0" w:space="0" w:color="auto"/>
        <w:bottom w:val="none" w:sz="0" w:space="0" w:color="auto"/>
        <w:right w:val="none" w:sz="0" w:space="0" w:color="auto"/>
      </w:divBdr>
    </w:div>
    <w:div w:id="555314333">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97644064">
      <w:bodyDiv w:val="1"/>
      <w:marLeft w:val="0"/>
      <w:marRight w:val="0"/>
      <w:marTop w:val="0"/>
      <w:marBottom w:val="0"/>
      <w:divBdr>
        <w:top w:val="none" w:sz="0" w:space="0" w:color="auto"/>
        <w:left w:val="none" w:sz="0" w:space="0" w:color="auto"/>
        <w:bottom w:val="none" w:sz="0" w:space="0" w:color="auto"/>
        <w:right w:val="none" w:sz="0" w:space="0" w:color="auto"/>
      </w:divBdr>
      <w:divsChild>
        <w:div w:id="501287511">
          <w:marLeft w:val="0"/>
          <w:marRight w:val="0"/>
          <w:marTop w:val="0"/>
          <w:marBottom w:val="0"/>
          <w:divBdr>
            <w:top w:val="none" w:sz="0" w:space="0" w:color="auto"/>
            <w:left w:val="none" w:sz="0" w:space="0" w:color="auto"/>
            <w:bottom w:val="none" w:sz="0" w:space="0" w:color="auto"/>
            <w:right w:val="none" w:sz="0" w:space="0" w:color="auto"/>
          </w:divBdr>
        </w:div>
      </w:divsChild>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10423851">
      <w:bodyDiv w:val="1"/>
      <w:marLeft w:val="0"/>
      <w:marRight w:val="0"/>
      <w:marTop w:val="0"/>
      <w:marBottom w:val="0"/>
      <w:divBdr>
        <w:top w:val="none" w:sz="0" w:space="0" w:color="auto"/>
        <w:left w:val="none" w:sz="0" w:space="0" w:color="auto"/>
        <w:bottom w:val="none" w:sz="0" w:space="0" w:color="auto"/>
        <w:right w:val="none" w:sz="0" w:space="0" w:color="auto"/>
      </w:divBdr>
      <w:divsChild>
        <w:div w:id="450589652">
          <w:marLeft w:val="0"/>
          <w:marRight w:val="0"/>
          <w:marTop w:val="0"/>
          <w:marBottom w:val="0"/>
          <w:divBdr>
            <w:top w:val="none" w:sz="0" w:space="0" w:color="auto"/>
            <w:left w:val="none" w:sz="0" w:space="0" w:color="auto"/>
            <w:bottom w:val="none" w:sz="0" w:space="0" w:color="auto"/>
            <w:right w:val="none" w:sz="0" w:space="0" w:color="auto"/>
          </w:divBdr>
        </w:div>
      </w:divsChild>
    </w:div>
    <w:div w:id="8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768848314">
          <w:marLeft w:val="0"/>
          <w:marRight w:val="0"/>
          <w:marTop w:val="0"/>
          <w:marBottom w:val="0"/>
          <w:divBdr>
            <w:top w:val="none" w:sz="0" w:space="0" w:color="auto"/>
            <w:left w:val="none" w:sz="0" w:space="0" w:color="auto"/>
            <w:bottom w:val="none" w:sz="0" w:space="0" w:color="auto"/>
            <w:right w:val="none" w:sz="0" w:space="0" w:color="auto"/>
          </w:divBdr>
        </w:div>
      </w:divsChild>
    </w:div>
    <w:div w:id="826702453">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40989647">
      <w:bodyDiv w:val="1"/>
      <w:marLeft w:val="0"/>
      <w:marRight w:val="0"/>
      <w:marTop w:val="0"/>
      <w:marBottom w:val="0"/>
      <w:divBdr>
        <w:top w:val="none" w:sz="0" w:space="0" w:color="auto"/>
        <w:left w:val="none" w:sz="0" w:space="0" w:color="auto"/>
        <w:bottom w:val="none" w:sz="0" w:space="0" w:color="auto"/>
        <w:right w:val="none" w:sz="0" w:space="0" w:color="auto"/>
      </w:divBdr>
    </w:div>
    <w:div w:id="986670990">
      <w:bodyDiv w:val="1"/>
      <w:marLeft w:val="0"/>
      <w:marRight w:val="0"/>
      <w:marTop w:val="0"/>
      <w:marBottom w:val="0"/>
      <w:divBdr>
        <w:top w:val="none" w:sz="0" w:space="0" w:color="auto"/>
        <w:left w:val="none" w:sz="0" w:space="0" w:color="auto"/>
        <w:bottom w:val="none" w:sz="0" w:space="0" w:color="auto"/>
        <w:right w:val="none" w:sz="0" w:space="0" w:color="auto"/>
      </w:divBdr>
      <w:divsChild>
        <w:div w:id="432015734">
          <w:marLeft w:val="0"/>
          <w:marRight w:val="0"/>
          <w:marTop w:val="0"/>
          <w:marBottom w:val="0"/>
          <w:divBdr>
            <w:top w:val="none" w:sz="0" w:space="0" w:color="auto"/>
            <w:left w:val="none" w:sz="0" w:space="0" w:color="auto"/>
            <w:bottom w:val="none" w:sz="0" w:space="0" w:color="auto"/>
            <w:right w:val="none" w:sz="0" w:space="0" w:color="auto"/>
          </w:divBdr>
        </w:div>
      </w:divsChild>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66534743">
      <w:bodyDiv w:val="1"/>
      <w:marLeft w:val="0"/>
      <w:marRight w:val="0"/>
      <w:marTop w:val="0"/>
      <w:marBottom w:val="0"/>
      <w:divBdr>
        <w:top w:val="none" w:sz="0" w:space="0" w:color="auto"/>
        <w:left w:val="none" w:sz="0" w:space="0" w:color="auto"/>
        <w:bottom w:val="none" w:sz="0" w:space="0" w:color="auto"/>
        <w:right w:val="none" w:sz="0" w:space="0" w:color="auto"/>
      </w:divBdr>
      <w:divsChild>
        <w:div w:id="176428150">
          <w:marLeft w:val="0"/>
          <w:marRight w:val="0"/>
          <w:marTop w:val="0"/>
          <w:marBottom w:val="0"/>
          <w:divBdr>
            <w:top w:val="none" w:sz="0" w:space="0" w:color="auto"/>
            <w:left w:val="none" w:sz="0" w:space="0" w:color="auto"/>
            <w:bottom w:val="none" w:sz="0" w:space="0" w:color="auto"/>
            <w:right w:val="none" w:sz="0" w:space="0" w:color="auto"/>
          </w:divBdr>
        </w:div>
      </w:divsChild>
    </w:div>
    <w:div w:id="1158378543">
      <w:bodyDiv w:val="1"/>
      <w:marLeft w:val="0"/>
      <w:marRight w:val="0"/>
      <w:marTop w:val="0"/>
      <w:marBottom w:val="0"/>
      <w:divBdr>
        <w:top w:val="none" w:sz="0" w:space="0" w:color="auto"/>
        <w:left w:val="none" w:sz="0" w:space="0" w:color="auto"/>
        <w:bottom w:val="none" w:sz="0" w:space="0" w:color="auto"/>
        <w:right w:val="none" w:sz="0" w:space="0" w:color="auto"/>
      </w:divBdr>
    </w:div>
    <w:div w:id="1171213426">
      <w:bodyDiv w:val="1"/>
      <w:marLeft w:val="0"/>
      <w:marRight w:val="0"/>
      <w:marTop w:val="0"/>
      <w:marBottom w:val="0"/>
      <w:divBdr>
        <w:top w:val="none" w:sz="0" w:space="0" w:color="auto"/>
        <w:left w:val="none" w:sz="0" w:space="0" w:color="auto"/>
        <w:bottom w:val="none" w:sz="0" w:space="0" w:color="auto"/>
        <w:right w:val="none" w:sz="0" w:space="0" w:color="auto"/>
      </w:divBdr>
    </w:div>
    <w:div w:id="1171481707">
      <w:bodyDiv w:val="1"/>
      <w:marLeft w:val="0"/>
      <w:marRight w:val="0"/>
      <w:marTop w:val="0"/>
      <w:marBottom w:val="0"/>
      <w:divBdr>
        <w:top w:val="none" w:sz="0" w:space="0" w:color="auto"/>
        <w:left w:val="none" w:sz="0" w:space="0" w:color="auto"/>
        <w:bottom w:val="none" w:sz="0" w:space="0" w:color="auto"/>
        <w:right w:val="none" w:sz="0" w:space="0" w:color="auto"/>
      </w:divBdr>
    </w:div>
    <w:div w:id="1219047833">
      <w:bodyDiv w:val="1"/>
      <w:marLeft w:val="0"/>
      <w:marRight w:val="0"/>
      <w:marTop w:val="0"/>
      <w:marBottom w:val="0"/>
      <w:divBdr>
        <w:top w:val="none" w:sz="0" w:space="0" w:color="auto"/>
        <w:left w:val="none" w:sz="0" w:space="0" w:color="auto"/>
        <w:bottom w:val="none" w:sz="0" w:space="0" w:color="auto"/>
        <w:right w:val="none" w:sz="0" w:space="0" w:color="auto"/>
      </w:divBdr>
      <w:divsChild>
        <w:div w:id="1156846530">
          <w:marLeft w:val="0"/>
          <w:marRight w:val="0"/>
          <w:marTop w:val="0"/>
          <w:marBottom w:val="0"/>
          <w:divBdr>
            <w:top w:val="none" w:sz="0" w:space="0" w:color="auto"/>
            <w:left w:val="none" w:sz="0" w:space="0" w:color="auto"/>
            <w:bottom w:val="none" w:sz="0" w:space="0" w:color="auto"/>
            <w:right w:val="none" w:sz="0" w:space="0" w:color="auto"/>
          </w:divBdr>
        </w:div>
      </w:divsChild>
    </w:div>
    <w:div w:id="1233153014">
      <w:bodyDiv w:val="1"/>
      <w:marLeft w:val="0"/>
      <w:marRight w:val="0"/>
      <w:marTop w:val="0"/>
      <w:marBottom w:val="0"/>
      <w:divBdr>
        <w:top w:val="none" w:sz="0" w:space="0" w:color="auto"/>
        <w:left w:val="none" w:sz="0" w:space="0" w:color="auto"/>
        <w:bottom w:val="none" w:sz="0" w:space="0" w:color="auto"/>
        <w:right w:val="none" w:sz="0" w:space="0" w:color="auto"/>
      </w:divBdr>
    </w:div>
    <w:div w:id="1234197948">
      <w:bodyDiv w:val="1"/>
      <w:marLeft w:val="0"/>
      <w:marRight w:val="0"/>
      <w:marTop w:val="0"/>
      <w:marBottom w:val="0"/>
      <w:divBdr>
        <w:top w:val="none" w:sz="0" w:space="0" w:color="auto"/>
        <w:left w:val="none" w:sz="0" w:space="0" w:color="auto"/>
        <w:bottom w:val="none" w:sz="0" w:space="0" w:color="auto"/>
        <w:right w:val="none" w:sz="0" w:space="0" w:color="auto"/>
      </w:divBdr>
      <w:divsChild>
        <w:div w:id="230895498">
          <w:marLeft w:val="0"/>
          <w:marRight w:val="0"/>
          <w:marTop w:val="0"/>
          <w:marBottom w:val="0"/>
          <w:divBdr>
            <w:top w:val="none" w:sz="0" w:space="0" w:color="auto"/>
            <w:left w:val="none" w:sz="0" w:space="0" w:color="auto"/>
            <w:bottom w:val="none" w:sz="0" w:space="0" w:color="auto"/>
            <w:right w:val="none" w:sz="0" w:space="0" w:color="auto"/>
          </w:divBdr>
        </w:div>
      </w:divsChild>
    </w:div>
    <w:div w:id="1269460365">
      <w:bodyDiv w:val="1"/>
      <w:marLeft w:val="0"/>
      <w:marRight w:val="0"/>
      <w:marTop w:val="0"/>
      <w:marBottom w:val="0"/>
      <w:divBdr>
        <w:top w:val="none" w:sz="0" w:space="0" w:color="auto"/>
        <w:left w:val="none" w:sz="0" w:space="0" w:color="auto"/>
        <w:bottom w:val="none" w:sz="0" w:space="0" w:color="auto"/>
        <w:right w:val="none" w:sz="0" w:space="0" w:color="auto"/>
      </w:divBdr>
      <w:divsChild>
        <w:div w:id="217018660">
          <w:marLeft w:val="0"/>
          <w:marRight w:val="0"/>
          <w:marTop w:val="0"/>
          <w:marBottom w:val="0"/>
          <w:divBdr>
            <w:top w:val="none" w:sz="0" w:space="0" w:color="auto"/>
            <w:left w:val="none" w:sz="0" w:space="0" w:color="auto"/>
            <w:bottom w:val="none" w:sz="0" w:space="0" w:color="auto"/>
            <w:right w:val="none" w:sz="0" w:space="0" w:color="auto"/>
          </w:divBdr>
        </w:div>
      </w:divsChild>
    </w:div>
    <w:div w:id="1352954864">
      <w:bodyDiv w:val="1"/>
      <w:marLeft w:val="0"/>
      <w:marRight w:val="0"/>
      <w:marTop w:val="0"/>
      <w:marBottom w:val="0"/>
      <w:divBdr>
        <w:top w:val="none" w:sz="0" w:space="0" w:color="auto"/>
        <w:left w:val="none" w:sz="0" w:space="0" w:color="auto"/>
        <w:bottom w:val="none" w:sz="0" w:space="0" w:color="auto"/>
        <w:right w:val="none" w:sz="0" w:space="0" w:color="auto"/>
      </w:divBdr>
      <w:divsChild>
        <w:div w:id="1327592758">
          <w:marLeft w:val="0"/>
          <w:marRight w:val="0"/>
          <w:marTop w:val="0"/>
          <w:marBottom w:val="0"/>
          <w:divBdr>
            <w:top w:val="none" w:sz="0" w:space="0" w:color="auto"/>
            <w:left w:val="none" w:sz="0" w:space="0" w:color="auto"/>
            <w:bottom w:val="none" w:sz="0" w:space="0" w:color="auto"/>
            <w:right w:val="none" w:sz="0" w:space="0" w:color="auto"/>
          </w:divBdr>
        </w:div>
      </w:divsChild>
    </w:div>
    <w:div w:id="1353605836">
      <w:bodyDiv w:val="1"/>
      <w:marLeft w:val="0"/>
      <w:marRight w:val="0"/>
      <w:marTop w:val="0"/>
      <w:marBottom w:val="0"/>
      <w:divBdr>
        <w:top w:val="none" w:sz="0" w:space="0" w:color="auto"/>
        <w:left w:val="none" w:sz="0" w:space="0" w:color="auto"/>
        <w:bottom w:val="none" w:sz="0" w:space="0" w:color="auto"/>
        <w:right w:val="none" w:sz="0" w:space="0" w:color="auto"/>
      </w:divBdr>
    </w:div>
    <w:div w:id="1375886337">
      <w:bodyDiv w:val="1"/>
      <w:marLeft w:val="0"/>
      <w:marRight w:val="0"/>
      <w:marTop w:val="0"/>
      <w:marBottom w:val="0"/>
      <w:divBdr>
        <w:top w:val="none" w:sz="0" w:space="0" w:color="auto"/>
        <w:left w:val="none" w:sz="0" w:space="0" w:color="auto"/>
        <w:bottom w:val="none" w:sz="0" w:space="0" w:color="auto"/>
        <w:right w:val="none" w:sz="0" w:space="0" w:color="auto"/>
      </w:divBdr>
      <w:divsChild>
        <w:div w:id="399447794">
          <w:marLeft w:val="0"/>
          <w:marRight w:val="0"/>
          <w:marTop w:val="0"/>
          <w:marBottom w:val="0"/>
          <w:divBdr>
            <w:top w:val="none" w:sz="0" w:space="0" w:color="auto"/>
            <w:left w:val="none" w:sz="0" w:space="0" w:color="auto"/>
            <w:bottom w:val="none" w:sz="0" w:space="0" w:color="auto"/>
            <w:right w:val="none" w:sz="0" w:space="0" w:color="auto"/>
          </w:divBdr>
        </w:div>
      </w:divsChild>
    </w:div>
    <w:div w:id="1607348432">
      <w:bodyDiv w:val="1"/>
      <w:marLeft w:val="0"/>
      <w:marRight w:val="0"/>
      <w:marTop w:val="0"/>
      <w:marBottom w:val="0"/>
      <w:divBdr>
        <w:top w:val="none" w:sz="0" w:space="0" w:color="auto"/>
        <w:left w:val="none" w:sz="0" w:space="0" w:color="auto"/>
        <w:bottom w:val="none" w:sz="0" w:space="0" w:color="auto"/>
        <w:right w:val="none" w:sz="0" w:space="0" w:color="auto"/>
      </w:divBdr>
      <w:divsChild>
        <w:div w:id="1252740255">
          <w:marLeft w:val="0"/>
          <w:marRight w:val="0"/>
          <w:marTop w:val="0"/>
          <w:marBottom w:val="0"/>
          <w:divBdr>
            <w:top w:val="none" w:sz="0" w:space="0" w:color="auto"/>
            <w:left w:val="none" w:sz="0" w:space="0" w:color="auto"/>
            <w:bottom w:val="none" w:sz="0" w:space="0" w:color="auto"/>
            <w:right w:val="none" w:sz="0" w:space="0" w:color="auto"/>
          </w:divBdr>
        </w:div>
      </w:divsChild>
    </w:div>
    <w:div w:id="1727870539">
      <w:bodyDiv w:val="1"/>
      <w:marLeft w:val="0"/>
      <w:marRight w:val="0"/>
      <w:marTop w:val="0"/>
      <w:marBottom w:val="0"/>
      <w:divBdr>
        <w:top w:val="none" w:sz="0" w:space="0" w:color="auto"/>
        <w:left w:val="none" w:sz="0" w:space="0" w:color="auto"/>
        <w:bottom w:val="none" w:sz="0" w:space="0" w:color="auto"/>
        <w:right w:val="none" w:sz="0" w:space="0" w:color="auto"/>
      </w:divBdr>
    </w:div>
    <w:div w:id="1808626465">
      <w:bodyDiv w:val="1"/>
      <w:marLeft w:val="0"/>
      <w:marRight w:val="0"/>
      <w:marTop w:val="0"/>
      <w:marBottom w:val="0"/>
      <w:divBdr>
        <w:top w:val="none" w:sz="0" w:space="0" w:color="auto"/>
        <w:left w:val="none" w:sz="0" w:space="0" w:color="auto"/>
        <w:bottom w:val="none" w:sz="0" w:space="0" w:color="auto"/>
        <w:right w:val="none" w:sz="0" w:space="0" w:color="auto"/>
      </w:divBdr>
    </w:div>
    <w:div w:id="1849054239">
      <w:bodyDiv w:val="1"/>
      <w:marLeft w:val="0"/>
      <w:marRight w:val="0"/>
      <w:marTop w:val="0"/>
      <w:marBottom w:val="0"/>
      <w:divBdr>
        <w:top w:val="none" w:sz="0" w:space="0" w:color="auto"/>
        <w:left w:val="none" w:sz="0" w:space="0" w:color="auto"/>
        <w:bottom w:val="none" w:sz="0" w:space="0" w:color="auto"/>
        <w:right w:val="none" w:sz="0" w:space="0" w:color="auto"/>
      </w:divBdr>
    </w:div>
    <w:div w:id="1913538317">
      <w:bodyDiv w:val="1"/>
      <w:marLeft w:val="0"/>
      <w:marRight w:val="0"/>
      <w:marTop w:val="0"/>
      <w:marBottom w:val="0"/>
      <w:divBdr>
        <w:top w:val="none" w:sz="0" w:space="0" w:color="auto"/>
        <w:left w:val="none" w:sz="0" w:space="0" w:color="auto"/>
        <w:bottom w:val="none" w:sz="0" w:space="0" w:color="auto"/>
        <w:right w:val="none" w:sz="0" w:space="0" w:color="auto"/>
      </w:divBdr>
    </w:div>
    <w:div w:id="20096683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16515114">
      <w:bodyDiv w:val="1"/>
      <w:marLeft w:val="0"/>
      <w:marRight w:val="0"/>
      <w:marTop w:val="0"/>
      <w:marBottom w:val="0"/>
      <w:divBdr>
        <w:top w:val="none" w:sz="0" w:space="0" w:color="auto"/>
        <w:left w:val="none" w:sz="0" w:space="0" w:color="auto"/>
        <w:bottom w:val="none" w:sz="0" w:space="0" w:color="auto"/>
        <w:right w:val="none" w:sz="0" w:space="0" w:color="auto"/>
      </w:divBdr>
      <w:divsChild>
        <w:div w:id="873005350">
          <w:marLeft w:val="0"/>
          <w:marRight w:val="0"/>
          <w:marTop w:val="0"/>
          <w:marBottom w:val="0"/>
          <w:divBdr>
            <w:top w:val="none" w:sz="0" w:space="0" w:color="auto"/>
            <w:left w:val="none" w:sz="0" w:space="0" w:color="auto"/>
            <w:bottom w:val="none" w:sz="0" w:space="0" w:color="auto"/>
            <w:right w:val="none" w:sz="0" w:space="0" w:color="auto"/>
          </w:divBdr>
        </w:div>
      </w:divsChild>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ho.int/iris/bitstream/handle/10665/185238/9789241509510_eng.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handle/10665/1852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79de2bf4-38f8-4b7f-9cb4-c37ff554c27a">
      <Url xsi:nil="true"/>
      <Description xsi:nil="true"/>
    </Link>
    <lcf76f155ced4ddcb4097134ff3c332f xmlns="79de2bf4-38f8-4b7f-9cb4-c37ff554c27a">
      <Terms xmlns="http://schemas.microsoft.com/office/infopath/2007/PartnerControls"/>
    </lcf76f155ced4ddcb4097134ff3c332f>
    <TaxCatchAll xmlns="bcaddf40-6706-4f62-95ca-6a261bcf9391"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D25C28B9A18D1C4888EBD7DC5001989C" ma:contentTypeVersion="16" ma:contentTypeDescription="Create a new document." ma:contentTypeScope="" ma:versionID="5531984af48d072befe63a91fc66f8a5">
  <xsd:schema xmlns:xsd="http://www.w3.org/2001/XMLSchema" xmlns:xs="http://www.w3.org/2001/XMLSchema" xmlns:p="http://schemas.microsoft.com/office/2006/metadata/properties" xmlns:ns2="79de2bf4-38f8-4b7f-9cb4-c37ff554c27a" xmlns:ns3="bcaddf40-6706-4f62-95ca-6a261bcf9391" targetNamespace="http://schemas.microsoft.com/office/2006/metadata/properties" ma:root="true" ma:fieldsID="7b644c8dba3b89ac03ce5bda1e1c5ad9" ns2:_="" ns3:_="">
    <xsd:import namespace="79de2bf4-38f8-4b7f-9cb4-c37ff554c27a"/>
    <xsd:import namespace="bcaddf40-6706-4f62-95ca-6a261bcf93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ink"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2bf4-38f8-4b7f-9cb4-c37ff554c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43b47-dc88-48d6-9e15-fe997ec221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ddf40-6706-4f62-95ca-6a261bcf93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fd4cdd-20c5-4dcf-8426-7f69d5bfd689}" ma:internalName="TaxCatchAll" ma:showField="CatchAllData" ma:web="bcaddf40-6706-4f62-95ca-6a261bcf9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DC5FE-FB86-4307-94C7-92F3ABE10413}">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caddf40-6706-4f62-95ca-6a261bcf9391"/>
    <ds:schemaRef ds:uri="http://purl.org/dc/dcmitype/"/>
    <ds:schemaRef ds:uri="79de2bf4-38f8-4b7f-9cb4-c37ff554c27a"/>
    <ds:schemaRef ds:uri="http://purl.org/dc/terms/"/>
  </ds:schemaRefs>
</ds:datastoreItem>
</file>

<file path=customXml/itemProps2.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customXml/itemProps3.xml><?xml version="1.0" encoding="utf-8"?>
<ds:datastoreItem xmlns:ds="http://schemas.openxmlformats.org/officeDocument/2006/customXml" ds:itemID="{B5C28E02-AC2E-4C64-B350-04419BA18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e2bf4-38f8-4b7f-9cb4-c37ff554c27a"/>
    <ds:schemaRef ds:uri="bcaddf40-6706-4f62-95ca-6a261bcf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4620A-1B51-4DAF-904C-B19E3CB83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16</Pages>
  <Words>4466</Words>
  <Characters>25460</Characters>
  <Application>Microsoft Office Word</Application>
  <DocSecurity>0</DocSecurity>
  <Lines>212</Lines>
  <Paragraphs>59</Paragraphs>
  <ScaleCrop>false</ScaleCrop>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Tandem Editing</dc:creator>
  <cp:keywords/>
  <dc:description/>
  <cp:lastModifiedBy>Chevy Lazenby</cp:lastModifiedBy>
  <cp:revision>2</cp:revision>
  <cp:lastPrinted>2013-10-03T12:51:00Z</cp:lastPrinted>
  <dcterms:created xsi:type="dcterms:W3CDTF">2022-03-08T19:13:00Z</dcterms:created>
  <dcterms:modified xsi:type="dcterms:W3CDTF">2022-03-08T19:13:00Z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1773700</vt:lpwstr>
  </property>
  <property fmtid="{D5CDD505-2E9C-101B-9397-08002B2CF9AE}" pid="4" name="MSIP_Label_852752cf-d49f-4823-b47c-7232a076d5ce_Enabled">
    <vt:lpwstr>True</vt:lpwstr>
  </property>
  <property fmtid="{D5CDD505-2E9C-101B-9397-08002B2CF9AE}" pid="5" name="MSIP_Label_852752cf-d49f-4823-b47c-7232a076d5ce_SiteId">
    <vt:lpwstr>e38fdd56-dd64-4d67-b048-e7c0ae321d11</vt:lpwstr>
  </property>
  <property fmtid="{D5CDD505-2E9C-101B-9397-08002B2CF9AE}" pid="6" name="MSIP_Label_852752cf-d49f-4823-b47c-7232a076d5ce_Owner">
    <vt:lpwstr>becky.bartlein@gatesventures.com</vt:lpwstr>
  </property>
  <property fmtid="{D5CDD505-2E9C-101B-9397-08002B2CF9AE}" pid="7" name="MSIP_Label_852752cf-d49f-4823-b47c-7232a076d5ce_SetDate">
    <vt:lpwstr>2022-01-21T22:21:32.2159691Z</vt:lpwstr>
  </property>
  <property fmtid="{D5CDD505-2E9C-101B-9397-08002B2CF9AE}" pid="8" name="MSIP_Label_852752cf-d49f-4823-b47c-7232a076d5ce_Name">
    <vt:lpwstr>General</vt:lpwstr>
  </property>
  <property fmtid="{D5CDD505-2E9C-101B-9397-08002B2CF9AE}" pid="9" name="MSIP_Label_852752cf-d49f-4823-b47c-7232a076d5ce_Application">
    <vt:lpwstr>Microsoft Azure Information Protection</vt:lpwstr>
  </property>
  <property fmtid="{D5CDD505-2E9C-101B-9397-08002B2CF9AE}" pid="10" name="MSIP_Label_852752cf-d49f-4823-b47c-7232a076d5ce_ActionId">
    <vt:lpwstr>089000f5-a812-43fb-8275-655ae275e54f</vt:lpwstr>
  </property>
  <property fmtid="{D5CDD505-2E9C-101B-9397-08002B2CF9AE}" pid="11" name="MSIP_Label_852752cf-d49f-4823-b47c-7232a076d5ce_Extended_MSFT_Method">
    <vt:lpwstr>Automatic</vt:lpwstr>
  </property>
  <property fmtid="{D5CDD505-2E9C-101B-9397-08002B2CF9AE}" pid="12" name="Sensitivity">
    <vt:lpwstr>General</vt:lpwstr>
  </property>
  <property fmtid="{D5CDD505-2E9C-101B-9397-08002B2CF9AE}" pid="13" name="ContentTypeId">
    <vt:lpwstr>0x010100D25C28B9A18D1C4888EBD7DC5001989C</vt:lpwstr>
  </property>
  <property fmtid="{D5CDD505-2E9C-101B-9397-08002B2CF9AE}" pid="14" name="InsertAsFootnote">
    <vt:lpwstr>False</vt:lpwstr>
  </property>
  <property fmtid="{D5CDD505-2E9C-101B-9397-08002B2CF9AE}" pid="15" name="StyleId">
    <vt:lpwstr>http://www.zotero.org/styles/vancouver</vt:lpwstr>
  </property>
  <property fmtid="{D5CDD505-2E9C-101B-9397-08002B2CF9AE}" pid="16" name="MediaServiceImageTags">
    <vt:lpwstr/>
  </property>
</Properties>
</file>