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B9EF" w14:textId="398EC8A7" w:rsidR="00145461" w:rsidRPr="00F51FEC" w:rsidRDefault="00145461" w:rsidP="00145461">
      <w:pPr>
        <w:rPr>
          <w:b/>
          <w:bCs/>
          <w:szCs w:val="24"/>
        </w:rPr>
      </w:pPr>
      <w:r w:rsidRPr="00F51FEC">
        <w:rPr>
          <w:rFonts w:hint="eastAsia"/>
          <w:b/>
          <w:bCs/>
          <w:szCs w:val="24"/>
          <w:lang w:eastAsia="zh-TW"/>
        </w:rPr>
        <w:t>E</w:t>
      </w:r>
      <w:r w:rsidRPr="00F51FEC">
        <w:rPr>
          <w:b/>
          <w:bCs/>
          <w:szCs w:val="24"/>
        </w:rPr>
        <w:t>ffect size</w:t>
      </w:r>
    </w:p>
    <w:p w14:paraId="7B395DA2" w14:textId="77777777" w:rsidR="002E0D7B" w:rsidRPr="00893A63" w:rsidRDefault="002E0D7B" w:rsidP="002E0D7B">
      <w:pPr>
        <w:rPr>
          <w:szCs w:val="24"/>
        </w:rPr>
      </w:pPr>
      <w:r w:rsidRPr="00893A63">
        <w:rPr>
          <w:szCs w:val="24"/>
        </w:rPr>
        <w:t xml:space="preserve">To investigate the effect size, the partial eta squared method was used. </w:t>
      </w:r>
      <w:r>
        <w:rPr>
          <w:szCs w:val="24"/>
        </w:rPr>
        <w:t>B</w:t>
      </w:r>
      <w:r w:rsidRPr="00893A63">
        <w:rPr>
          <w:szCs w:val="24"/>
        </w:rPr>
        <w:t xml:space="preserve">ased on </w:t>
      </w:r>
      <w:r>
        <w:rPr>
          <w:szCs w:val="24"/>
        </w:rPr>
        <w:t>Cohen's</w:t>
      </w:r>
      <w:r w:rsidRPr="00893A63">
        <w:rPr>
          <w:szCs w:val="24"/>
        </w:rPr>
        <w:t xml:space="preserve"> guideline</w:t>
      </w:r>
      <w:r>
        <w:rPr>
          <w:szCs w:val="24"/>
        </w:rPr>
        <w:t>,</w:t>
      </w:r>
      <w:r w:rsidRPr="00893A63">
        <w:rPr>
          <w:szCs w:val="24"/>
        </w:rPr>
        <w:t xml:space="preserve"> </w:t>
      </w:r>
      <w:r>
        <w:rPr>
          <w:szCs w:val="24"/>
        </w:rPr>
        <w:t xml:space="preserve">the value of </w:t>
      </w:r>
      <w:r w:rsidRPr="00893A63">
        <w:rPr>
          <w:szCs w:val="24"/>
        </w:rPr>
        <w:t xml:space="preserve">0.138 </w:t>
      </w:r>
      <w:r>
        <w:rPr>
          <w:szCs w:val="24"/>
        </w:rPr>
        <w:t xml:space="preserve">is </w:t>
      </w:r>
      <w:r w:rsidRPr="00893A63">
        <w:rPr>
          <w:szCs w:val="24"/>
        </w:rPr>
        <w:t xml:space="preserve">for a large effect size, 0.059 </w:t>
      </w:r>
      <w:r>
        <w:rPr>
          <w:szCs w:val="24"/>
        </w:rPr>
        <w:t xml:space="preserve">is </w:t>
      </w:r>
      <w:r w:rsidRPr="00893A63">
        <w:rPr>
          <w:szCs w:val="24"/>
        </w:rPr>
        <w:t xml:space="preserve">for a moderate effect size, and </w:t>
      </w:r>
      <w:r>
        <w:rPr>
          <w:szCs w:val="24"/>
        </w:rPr>
        <w:t xml:space="preserve">is </w:t>
      </w:r>
      <w:r w:rsidRPr="00893A63">
        <w:rPr>
          <w:szCs w:val="24"/>
        </w:rPr>
        <w:t xml:space="preserve">0.01 for </w:t>
      </w:r>
      <w:r>
        <w:rPr>
          <w:szCs w:val="24"/>
        </w:rPr>
        <w:t xml:space="preserve">a </w:t>
      </w:r>
      <w:r w:rsidRPr="00893A63">
        <w:rPr>
          <w:szCs w:val="24"/>
        </w:rPr>
        <w:t>small effect size.</w:t>
      </w:r>
    </w:p>
    <w:p w14:paraId="2316EEE0" w14:textId="4E495098" w:rsidR="00145461" w:rsidRDefault="00145461" w:rsidP="00145461">
      <w:pPr>
        <w:rPr>
          <w:szCs w:val="24"/>
        </w:rPr>
      </w:pPr>
      <w:r w:rsidRPr="00893A63">
        <w:rPr>
          <w:szCs w:val="24"/>
        </w:rPr>
        <w:t>Partial Eta Squared values were 0.314 for maximum hip extension in paretic/</w:t>
      </w:r>
      <w:r>
        <w:rPr>
          <w:szCs w:val="24"/>
        </w:rPr>
        <w:t>nondominant</w:t>
      </w:r>
      <w:r w:rsidRPr="00893A63">
        <w:rPr>
          <w:szCs w:val="24"/>
        </w:rPr>
        <w:t xml:space="preserve"> leg, 0.203 for maximum hip flexion in paretic/</w:t>
      </w:r>
      <w:r>
        <w:rPr>
          <w:szCs w:val="24"/>
        </w:rPr>
        <w:t>nondominant</w:t>
      </w:r>
      <w:r w:rsidRPr="00893A63">
        <w:rPr>
          <w:szCs w:val="24"/>
        </w:rPr>
        <w:t xml:space="preserve"> leg, 0.114 for maximum knee extension in paretic/</w:t>
      </w:r>
      <w:r>
        <w:rPr>
          <w:szCs w:val="24"/>
        </w:rPr>
        <w:t>nondominant</w:t>
      </w:r>
      <w:r w:rsidRPr="00893A63">
        <w:rPr>
          <w:szCs w:val="24"/>
        </w:rPr>
        <w:t>, 0.125 for maximum ankle plantar flexion. These results indicate the effect size was moderate to large based on the literature (</w:t>
      </w:r>
      <w:r>
        <w:rPr>
          <w:szCs w:val="24"/>
        </w:rPr>
        <w:t>Cohen, 1988</w:t>
      </w:r>
      <w:r w:rsidRPr="00893A63">
        <w:rPr>
          <w:szCs w:val="24"/>
        </w:rPr>
        <w:t>). </w:t>
      </w:r>
    </w:p>
    <w:p w14:paraId="2C34135F" w14:textId="2AD4AD4F" w:rsidR="00793196" w:rsidRDefault="00793196" w:rsidP="00793196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Reference:</w:t>
      </w:r>
    </w:p>
    <w:p w14:paraId="7212CC4E" w14:textId="40197897" w:rsidR="00793196" w:rsidRDefault="00793196" w:rsidP="00793196">
      <w:pPr>
        <w:rPr>
          <w:szCs w:val="24"/>
          <w:shd w:val="clear" w:color="auto" w:fill="FFFFFF"/>
        </w:rPr>
      </w:pPr>
      <w:r w:rsidRPr="00A82C2E">
        <w:rPr>
          <w:szCs w:val="24"/>
          <w:shd w:val="clear" w:color="auto" w:fill="FFFFFF"/>
        </w:rPr>
        <w:t xml:space="preserve">Cohen J. Statistical Power Analysis for the Behavioral Sciences, 2nd ed. </w:t>
      </w:r>
      <w:proofErr w:type="spellStart"/>
      <w:r w:rsidRPr="00A82C2E">
        <w:rPr>
          <w:szCs w:val="24"/>
          <w:shd w:val="clear" w:color="auto" w:fill="FFFFFF"/>
        </w:rPr>
        <w:t>Hillsdle</w:t>
      </w:r>
      <w:proofErr w:type="spellEnd"/>
      <w:r w:rsidRPr="00A82C2E">
        <w:rPr>
          <w:szCs w:val="24"/>
          <w:shd w:val="clear" w:color="auto" w:fill="FFFFFF"/>
        </w:rPr>
        <w:t>. 1988.</w:t>
      </w:r>
    </w:p>
    <w:p w14:paraId="09777740" w14:textId="77777777" w:rsidR="007E01DC" w:rsidRPr="00893A63" w:rsidRDefault="007E01DC" w:rsidP="00145461">
      <w:pPr>
        <w:rPr>
          <w:szCs w:val="24"/>
        </w:rPr>
      </w:pPr>
    </w:p>
    <w:p w14:paraId="0088E447" w14:textId="3BED7BBD" w:rsidR="00BD0E39" w:rsidRPr="00F51FEC" w:rsidRDefault="00C94717" w:rsidP="00BD0E39">
      <w:pPr>
        <w:rPr>
          <w:b/>
          <w:bCs/>
          <w:szCs w:val="24"/>
        </w:rPr>
      </w:pPr>
      <w:r>
        <w:rPr>
          <w:b/>
          <w:bCs/>
          <w:szCs w:val="24"/>
          <w:lang w:eastAsia="zh-TW"/>
        </w:rPr>
        <w:t>Limitations</w:t>
      </w:r>
      <w:r w:rsidR="00BD0E39">
        <w:rPr>
          <w:b/>
          <w:bCs/>
          <w:szCs w:val="24"/>
          <w:lang w:eastAsia="zh-TW"/>
        </w:rPr>
        <w:t xml:space="preserve"> </w:t>
      </w:r>
    </w:p>
    <w:p w14:paraId="36B9E10F" w14:textId="62E70B6C" w:rsidR="00A52566" w:rsidRPr="001530D5" w:rsidRDefault="00C94717" w:rsidP="001530D5">
      <w:pPr>
        <w:rPr>
          <w:szCs w:val="24"/>
        </w:rPr>
      </w:pPr>
      <w:r w:rsidRPr="001530D5">
        <w:rPr>
          <w:szCs w:val="24"/>
        </w:rPr>
        <w:t xml:space="preserve">The potential limitation of this study might be the </w:t>
      </w:r>
      <w:r w:rsidR="001C0D4F" w:rsidRPr="001530D5">
        <w:rPr>
          <w:szCs w:val="24"/>
        </w:rPr>
        <w:t>reliability and validity</w:t>
      </w:r>
      <w:r w:rsidRPr="001530D5">
        <w:rPr>
          <w:szCs w:val="24"/>
        </w:rPr>
        <w:t xml:space="preserve"> of IMU-based sensors. Specifically, a concern related to the peaks of knee flexion in swing phase was raised (Park and Yoon, 2021). </w:t>
      </w:r>
      <w:r w:rsidR="002F036B" w:rsidRPr="001530D5">
        <w:rPr>
          <w:szCs w:val="24"/>
        </w:rPr>
        <w:t xml:space="preserve">However, if taking a close look on the values, the differences in angles of Knee flexion (IMU: 67.66 ± 5.79 vs. Mocap: 64.58 ± 5.21) and Ankle dorsiflexion and plantar flexion (IMU: 9.63 ± 2.90 vs Mocap: 12.66 ± 2.71; IMU: −23.16 ± 5.09 vs. Mocap: −19.44 ± 3.7) were below 5º. For instrumented motion capture, absolute errors of &lt; </w:t>
      </w:r>
      <w:r w:rsidR="00A54981" w:rsidRPr="001530D5">
        <w:rPr>
          <w:szCs w:val="24"/>
        </w:rPr>
        <w:t>4-</w:t>
      </w:r>
      <w:r w:rsidR="002F036B" w:rsidRPr="001530D5">
        <w:rPr>
          <w:szCs w:val="24"/>
        </w:rPr>
        <w:t>5° have been proposed as clinically reasonable (</w:t>
      </w:r>
      <w:r w:rsidR="00DC11FB" w:rsidRPr="001530D5">
        <w:rPr>
          <w:szCs w:val="24"/>
        </w:rPr>
        <w:t xml:space="preserve">McGinley et al., </w:t>
      </w:r>
      <w:r w:rsidR="00DE53FD" w:rsidRPr="001530D5">
        <w:rPr>
          <w:szCs w:val="24"/>
        </w:rPr>
        <w:t xml:space="preserve">2009; </w:t>
      </w:r>
      <w:r w:rsidR="002F036B" w:rsidRPr="001530D5">
        <w:rPr>
          <w:szCs w:val="24"/>
        </w:rPr>
        <w:t>Berner et al., 2020</w:t>
      </w:r>
      <w:r w:rsidR="005E51EB" w:rsidRPr="001530D5">
        <w:rPr>
          <w:szCs w:val="24"/>
        </w:rPr>
        <w:t>B</w:t>
      </w:r>
      <w:r w:rsidR="00A54981" w:rsidRPr="001530D5">
        <w:rPr>
          <w:szCs w:val="24"/>
        </w:rPr>
        <w:t xml:space="preserve">, </w:t>
      </w:r>
      <w:proofErr w:type="spellStart"/>
      <w:r w:rsidR="00A54981" w:rsidRPr="001530D5">
        <w:rPr>
          <w:szCs w:val="24"/>
        </w:rPr>
        <w:t>Seel</w:t>
      </w:r>
      <w:proofErr w:type="spellEnd"/>
      <w:r w:rsidR="00A54981" w:rsidRPr="001530D5">
        <w:rPr>
          <w:szCs w:val="24"/>
        </w:rPr>
        <w:t xml:space="preserve"> et al., 2014</w:t>
      </w:r>
      <w:r w:rsidR="002F036B" w:rsidRPr="001530D5">
        <w:rPr>
          <w:szCs w:val="24"/>
        </w:rPr>
        <w:t xml:space="preserve">). </w:t>
      </w:r>
      <w:r w:rsidR="00E04A1D" w:rsidRPr="001530D5">
        <w:rPr>
          <w:szCs w:val="24"/>
        </w:rPr>
        <w:t xml:space="preserve">Specifically, Berner et al., </w:t>
      </w:r>
      <w:r w:rsidR="00C93614" w:rsidRPr="001530D5">
        <w:rPr>
          <w:szCs w:val="24"/>
        </w:rPr>
        <w:t>(2020</w:t>
      </w:r>
      <w:r w:rsidR="00F44A54" w:rsidRPr="001530D5">
        <w:rPr>
          <w:szCs w:val="24"/>
        </w:rPr>
        <w:t>A</w:t>
      </w:r>
      <w:r w:rsidR="00C93614" w:rsidRPr="001530D5">
        <w:rPr>
          <w:szCs w:val="24"/>
        </w:rPr>
        <w:t>)</w:t>
      </w:r>
      <w:r w:rsidR="00F44A54" w:rsidRPr="001530D5">
        <w:rPr>
          <w:szCs w:val="24"/>
        </w:rPr>
        <w:t xml:space="preserve"> </w:t>
      </w:r>
      <w:r w:rsidR="00BF13E1" w:rsidRPr="001530D5">
        <w:rPr>
          <w:szCs w:val="24"/>
        </w:rPr>
        <w:t xml:space="preserve">showed that the </w:t>
      </w:r>
      <w:r w:rsidR="00BE321B" w:rsidRPr="001530D5">
        <w:rPr>
          <w:szCs w:val="24"/>
        </w:rPr>
        <w:t xml:space="preserve">root-mean-square errors in </w:t>
      </w:r>
      <w:r w:rsidR="00BF13E1" w:rsidRPr="001530D5">
        <w:rPr>
          <w:szCs w:val="24"/>
        </w:rPr>
        <w:t xml:space="preserve">hip flexion/extension, </w:t>
      </w:r>
      <w:r w:rsidR="002C1A62" w:rsidRPr="001530D5">
        <w:rPr>
          <w:szCs w:val="24"/>
        </w:rPr>
        <w:t xml:space="preserve">knee flexion/extension, and ankle dorsi/plantar flexion </w:t>
      </w:r>
      <w:r w:rsidR="006B1064" w:rsidRPr="001530D5">
        <w:rPr>
          <w:szCs w:val="24"/>
        </w:rPr>
        <w:t xml:space="preserve">were within 3º to 4º after </w:t>
      </w:r>
      <w:r w:rsidR="006A1651" w:rsidRPr="001530D5">
        <w:rPr>
          <w:szCs w:val="24"/>
        </w:rPr>
        <w:t>adjusting the IMU output</w:t>
      </w:r>
      <w:r w:rsidR="007705CF" w:rsidRPr="001530D5">
        <w:rPr>
          <w:szCs w:val="24"/>
        </w:rPr>
        <w:t xml:space="preserve"> </w:t>
      </w:r>
      <w:r w:rsidR="000B5CAA" w:rsidRPr="001530D5">
        <w:rPr>
          <w:szCs w:val="24"/>
        </w:rPr>
        <w:t xml:space="preserve">by </w:t>
      </w:r>
      <w:r w:rsidR="00E0445B" w:rsidRPr="001530D5">
        <w:rPr>
          <w:szCs w:val="24"/>
        </w:rPr>
        <w:t>offsetting</w:t>
      </w:r>
      <w:r w:rsidR="000B5CAA" w:rsidRPr="001530D5">
        <w:rPr>
          <w:szCs w:val="24"/>
        </w:rPr>
        <w:t xml:space="preserve"> the calibration trials</w:t>
      </w:r>
      <w:r w:rsidR="00A767D4" w:rsidRPr="001530D5">
        <w:rPr>
          <w:szCs w:val="24"/>
        </w:rPr>
        <w:t xml:space="preserve"> from </w:t>
      </w:r>
      <w:r w:rsidR="00EF4610" w:rsidRPr="001530D5">
        <w:rPr>
          <w:szCs w:val="24"/>
        </w:rPr>
        <w:t>opti</w:t>
      </w:r>
      <w:r w:rsidR="00963902" w:rsidRPr="001530D5">
        <w:rPr>
          <w:szCs w:val="24"/>
        </w:rPr>
        <w:t>cal motion capture system</w:t>
      </w:r>
      <w:r w:rsidR="006A1651" w:rsidRPr="001530D5">
        <w:rPr>
          <w:szCs w:val="24"/>
        </w:rPr>
        <w:t>.</w:t>
      </w:r>
      <w:r w:rsidR="00E04A1D" w:rsidRPr="001530D5">
        <w:rPr>
          <w:szCs w:val="24"/>
        </w:rPr>
        <w:t xml:space="preserve"> </w:t>
      </w:r>
      <w:r w:rsidR="00AF00DC" w:rsidRPr="001530D5">
        <w:rPr>
          <w:szCs w:val="24"/>
        </w:rPr>
        <w:t>Same</w:t>
      </w:r>
      <w:r w:rsidR="002F036B" w:rsidRPr="001530D5">
        <w:rPr>
          <w:szCs w:val="24"/>
        </w:rPr>
        <w:t xml:space="preserve"> device</w:t>
      </w:r>
      <w:r w:rsidR="00F83A4A" w:rsidRPr="001530D5">
        <w:rPr>
          <w:szCs w:val="24"/>
        </w:rPr>
        <w:t xml:space="preserve"> as the current study</w:t>
      </w:r>
      <w:r w:rsidR="002F036B" w:rsidRPr="001530D5">
        <w:rPr>
          <w:szCs w:val="24"/>
        </w:rPr>
        <w:t xml:space="preserve"> (</w:t>
      </w:r>
      <w:proofErr w:type="spellStart"/>
      <w:r w:rsidR="002F036B" w:rsidRPr="001530D5">
        <w:rPr>
          <w:szCs w:val="24"/>
        </w:rPr>
        <w:t>myo</w:t>
      </w:r>
      <w:r w:rsidR="001A2D3C" w:rsidRPr="001530D5">
        <w:rPr>
          <w:szCs w:val="24"/>
        </w:rPr>
        <w:t>Motion</w:t>
      </w:r>
      <w:proofErr w:type="spellEnd"/>
      <w:r w:rsidR="001A2D3C" w:rsidRPr="001530D5">
        <w:rPr>
          <w:szCs w:val="24"/>
        </w:rPr>
        <w:t xml:space="preserve">, </w:t>
      </w:r>
      <w:proofErr w:type="spellStart"/>
      <w:r w:rsidR="001A2D3C" w:rsidRPr="001530D5">
        <w:rPr>
          <w:szCs w:val="24"/>
        </w:rPr>
        <w:t>Noraxon</w:t>
      </w:r>
      <w:proofErr w:type="spellEnd"/>
      <w:r w:rsidR="002F036B" w:rsidRPr="001530D5">
        <w:rPr>
          <w:szCs w:val="24"/>
        </w:rPr>
        <w:t xml:space="preserve">) was </w:t>
      </w:r>
      <w:r w:rsidR="00605A7C" w:rsidRPr="001530D5">
        <w:rPr>
          <w:szCs w:val="24"/>
        </w:rPr>
        <w:t xml:space="preserve">also </w:t>
      </w:r>
      <w:r w:rsidR="002F036B" w:rsidRPr="001530D5">
        <w:rPr>
          <w:szCs w:val="24"/>
        </w:rPr>
        <w:t>used to identify the gait alternation in adults with/without HIV (Berner et al., 2020B). The results suggested that root-mean-square-error and bias were smaller than 5° in the interest points in the current study: Hip flexion – initial contact, Peak hip extension, Knee extension -- stance, knee flexion – stance to swing, ankle plantarflexion and ankle dorsiflexion.</w:t>
      </w:r>
      <w:r w:rsidR="004F4DD0" w:rsidRPr="001530D5">
        <w:rPr>
          <w:szCs w:val="24"/>
        </w:rPr>
        <w:t xml:space="preserve"> </w:t>
      </w:r>
      <w:r w:rsidR="00BA768F" w:rsidRPr="001530D5">
        <w:rPr>
          <w:szCs w:val="24"/>
        </w:rPr>
        <w:t>Whether these joint angles were adjusted or unadjusted</w:t>
      </w:r>
      <w:r w:rsidR="0050271B" w:rsidRPr="001530D5">
        <w:rPr>
          <w:szCs w:val="24"/>
        </w:rPr>
        <w:t xml:space="preserve">, this previous study did not provide the clear answers. </w:t>
      </w:r>
      <w:r w:rsidR="00DB330A" w:rsidRPr="001530D5">
        <w:rPr>
          <w:szCs w:val="24"/>
        </w:rPr>
        <w:t xml:space="preserve">Regardless, </w:t>
      </w:r>
      <w:r w:rsidR="0035523E" w:rsidRPr="001530D5">
        <w:rPr>
          <w:szCs w:val="24"/>
        </w:rPr>
        <w:t>this study</w:t>
      </w:r>
      <w:r w:rsidR="007B0ADF" w:rsidRPr="001530D5">
        <w:rPr>
          <w:szCs w:val="24"/>
        </w:rPr>
        <w:t xml:space="preserve"> followed the same procedure for calibration as this previous study</w:t>
      </w:r>
      <w:r w:rsidR="004E4353" w:rsidRPr="001530D5">
        <w:rPr>
          <w:szCs w:val="24"/>
        </w:rPr>
        <w:t xml:space="preserve">, which </w:t>
      </w:r>
      <w:r w:rsidR="005F57B9" w:rsidRPr="001530D5">
        <w:rPr>
          <w:szCs w:val="24"/>
        </w:rPr>
        <w:t xml:space="preserve">was </w:t>
      </w:r>
      <w:r w:rsidR="004E4353" w:rsidRPr="001530D5">
        <w:rPr>
          <w:szCs w:val="24"/>
        </w:rPr>
        <w:t>suggested manufacturer’s instructions</w:t>
      </w:r>
      <w:r w:rsidR="00D511E1" w:rsidRPr="001530D5">
        <w:rPr>
          <w:szCs w:val="24"/>
        </w:rPr>
        <w:t xml:space="preserve">. </w:t>
      </w:r>
      <w:r w:rsidR="00AA4404" w:rsidRPr="001530D5">
        <w:rPr>
          <w:szCs w:val="24"/>
        </w:rPr>
        <w:t>Importantly</w:t>
      </w:r>
      <w:r w:rsidR="00D511E1" w:rsidRPr="001530D5">
        <w:rPr>
          <w:szCs w:val="24"/>
        </w:rPr>
        <w:t xml:space="preserve">, the IMU calibration </w:t>
      </w:r>
      <w:r w:rsidR="00AA4404" w:rsidRPr="001530D5">
        <w:rPr>
          <w:szCs w:val="24"/>
        </w:rPr>
        <w:t>was performed repeatedly prior to each trial.</w:t>
      </w:r>
      <w:r w:rsidR="007510F7" w:rsidRPr="001530D5">
        <w:rPr>
          <w:szCs w:val="24"/>
        </w:rPr>
        <w:t xml:space="preserve"> </w:t>
      </w:r>
      <w:r w:rsidR="00C43DEE" w:rsidRPr="001530D5">
        <w:rPr>
          <w:szCs w:val="24"/>
        </w:rPr>
        <w:t xml:space="preserve">Therefore, </w:t>
      </w:r>
      <w:r w:rsidR="001A2D3C" w:rsidRPr="001530D5">
        <w:rPr>
          <w:szCs w:val="24"/>
        </w:rPr>
        <w:t xml:space="preserve">it is reasonable </w:t>
      </w:r>
      <w:r w:rsidR="00AE5110" w:rsidRPr="001530D5">
        <w:rPr>
          <w:szCs w:val="24"/>
        </w:rPr>
        <w:t xml:space="preserve">to assume that this device </w:t>
      </w:r>
      <w:r w:rsidR="00CF6A13" w:rsidRPr="001530D5">
        <w:rPr>
          <w:szCs w:val="24"/>
        </w:rPr>
        <w:t>can</w:t>
      </w:r>
      <w:r w:rsidR="00AE5110" w:rsidRPr="001530D5">
        <w:rPr>
          <w:szCs w:val="24"/>
        </w:rPr>
        <w:t xml:space="preserve"> be </w:t>
      </w:r>
      <w:r w:rsidR="00C10AA0" w:rsidRPr="001530D5">
        <w:rPr>
          <w:szCs w:val="24"/>
        </w:rPr>
        <w:t xml:space="preserve">used to measure the joint angles in </w:t>
      </w:r>
      <w:r w:rsidR="00F83A4A" w:rsidRPr="001530D5">
        <w:rPr>
          <w:szCs w:val="24"/>
        </w:rPr>
        <w:t>patients with stroke in the current study</w:t>
      </w:r>
      <w:r w:rsidR="00FE780D" w:rsidRPr="001530D5">
        <w:rPr>
          <w:szCs w:val="24"/>
        </w:rPr>
        <w:t xml:space="preserve">. </w:t>
      </w:r>
      <w:r w:rsidR="002B4DFF" w:rsidRPr="001530D5">
        <w:rPr>
          <w:szCs w:val="24"/>
        </w:rPr>
        <w:t xml:space="preserve">Nevertheless, this </w:t>
      </w:r>
      <w:r w:rsidR="00217380" w:rsidRPr="001530D5">
        <w:rPr>
          <w:szCs w:val="24"/>
        </w:rPr>
        <w:t>apparent</w:t>
      </w:r>
      <w:r w:rsidR="002B4DFF" w:rsidRPr="001530D5">
        <w:rPr>
          <w:szCs w:val="24"/>
        </w:rPr>
        <w:t xml:space="preserve"> </w:t>
      </w:r>
      <w:r w:rsidR="00217380" w:rsidRPr="001530D5">
        <w:rPr>
          <w:szCs w:val="24"/>
        </w:rPr>
        <w:t>limitation still need</w:t>
      </w:r>
      <w:r w:rsidR="00CD448B" w:rsidRPr="001530D5">
        <w:rPr>
          <w:szCs w:val="24"/>
        </w:rPr>
        <w:t>s</w:t>
      </w:r>
      <w:r w:rsidR="00217380" w:rsidRPr="001530D5">
        <w:rPr>
          <w:szCs w:val="24"/>
        </w:rPr>
        <w:t xml:space="preserve"> to be </w:t>
      </w:r>
      <w:r w:rsidR="00CD448B" w:rsidRPr="001530D5">
        <w:rPr>
          <w:szCs w:val="24"/>
        </w:rPr>
        <w:t>addressed</w:t>
      </w:r>
      <w:r w:rsidR="00217380" w:rsidRPr="001530D5">
        <w:rPr>
          <w:szCs w:val="24"/>
        </w:rPr>
        <w:t xml:space="preserve"> in the future studies by </w:t>
      </w:r>
      <w:r w:rsidR="007D76A2" w:rsidRPr="001530D5">
        <w:rPr>
          <w:szCs w:val="24"/>
        </w:rPr>
        <w:t>investigating</w:t>
      </w:r>
      <w:r w:rsidR="00217380" w:rsidRPr="001530D5">
        <w:rPr>
          <w:szCs w:val="24"/>
        </w:rPr>
        <w:t xml:space="preserve"> </w:t>
      </w:r>
      <w:r w:rsidR="00D74EB2" w:rsidRPr="001530D5">
        <w:rPr>
          <w:szCs w:val="24"/>
        </w:rPr>
        <w:t xml:space="preserve">the reliability and validity of </w:t>
      </w:r>
      <w:r w:rsidR="007D76A2" w:rsidRPr="001530D5">
        <w:rPr>
          <w:szCs w:val="24"/>
        </w:rPr>
        <w:t>this device</w:t>
      </w:r>
      <w:r w:rsidR="00D74EB2" w:rsidRPr="001530D5">
        <w:rPr>
          <w:szCs w:val="24"/>
        </w:rPr>
        <w:t xml:space="preserve"> </w:t>
      </w:r>
      <w:r w:rsidR="007D76A2" w:rsidRPr="001530D5">
        <w:rPr>
          <w:szCs w:val="24"/>
        </w:rPr>
        <w:t>during</w:t>
      </w:r>
      <w:r w:rsidR="00D74EB2" w:rsidRPr="001530D5">
        <w:rPr>
          <w:szCs w:val="24"/>
        </w:rPr>
        <w:t xml:space="preserve"> gait with large sample size</w:t>
      </w:r>
      <w:r w:rsidR="008B292E" w:rsidRPr="001530D5">
        <w:rPr>
          <w:szCs w:val="24"/>
        </w:rPr>
        <w:t xml:space="preserve"> and with different populations</w:t>
      </w:r>
      <w:r w:rsidR="00217380" w:rsidRPr="001530D5">
        <w:rPr>
          <w:szCs w:val="24"/>
        </w:rPr>
        <w:t xml:space="preserve">. </w:t>
      </w:r>
    </w:p>
    <w:p w14:paraId="237A9413" w14:textId="7BDDBD1C" w:rsidR="00C94717" w:rsidRPr="00376CC5" w:rsidRDefault="004B6215" w:rsidP="001530D5">
      <w:pPr>
        <w:rPr>
          <w:szCs w:val="24"/>
          <w:lang w:eastAsia="zh-TW"/>
        </w:rPr>
      </w:pPr>
      <w:r w:rsidRPr="001530D5">
        <w:rPr>
          <w:szCs w:val="24"/>
        </w:rPr>
        <w:t xml:space="preserve">Another potential limitation was the gait speed in healthy controls and in patients with stroke in the current study. </w:t>
      </w:r>
      <w:r w:rsidR="005C09FC" w:rsidRPr="001530D5">
        <w:rPr>
          <w:szCs w:val="24"/>
        </w:rPr>
        <w:t xml:space="preserve">A study </w:t>
      </w:r>
      <w:r w:rsidR="009F013E" w:rsidRPr="001530D5">
        <w:rPr>
          <w:szCs w:val="24"/>
        </w:rPr>
        <w:t xml:space="preserve">used data from </w:t>
      </w:r>
      <w:r w:rsidR="00A263A1" w:rsidRPr="001530D5">
        <w:rPr>
          <w:szCs w:val="24"/>
        </w:rPr>
        <w:t>34, 445</w:t>
      </w:r>
      <w:r w:rsidR="009F013E" w:rsidRPr="001530D5">
        <w:rPr>
          <w:szCs w:val="24"/>
        </w:rPr>
        <w:t xml:space="preserve"> older adults aged 65 years or older and indicated that their average speed is 0.92 m/s</w:t>
      </w:r>
      <w:r w:rsidR="002C7F6E" w:rsidRPr="001530D5">
        <w:rPr>
          <w:szCs w:val="24"/>
        </w:rPr>
        <w:t xml:space="preserve"> (</w:t>
      </w:r>
      <w:proofErr w:type="spellStart"/>
      <w:r w:rsidR="00BF0F9A" w:rsidRPr="001530D5">
        <w:rPr>
          <w:szCs w:val="24"/>
        </w:rPr>
        <w:t>Studenski</w:t>
      </w:r>
      <w:proofErr w:type="spellEnd"/>
      <w:r w:rsidR="00BF0F9A" w:rsidRPr="001530D5">
        <w:rPr>
          <w:szCs w:val="24"/>
        </w:rPr>
        <w:t xml:space="preserve"> et al., </w:t>
      </w:r>
      <w:r w:rsidR="00817C3C" w:rsidRPr="001530D5">
        <w:rPr>
          <w:szCs w:val="24"/>
        </w:rPr>
        <w:t>2011</w:t>
      </w:r>
      <w:r w:rsidR="002C7F6E" w:rsidRPr="001530D5">
        <w:rPr>
          <w:szCs w:val="24"/>
        </w:rPr>
        <w:t>)</w:t>
      </w:r>
      <w:r w:rsidR="00817C3C" w:rsidRPr="001530D5">
        <w:rPr>
          <w:szCs w:val="24"/>
        </w:rPr>
        <w:t>.</w:t>
      </w:r>
      <w:r w:rsidR="0077483B" w:rsidRPr="001530D5">
        <w:rPr>
          <w:szCs w:val="24"/>
        </w:rPr>
        <w:t xml:space="preserve"> Additionally, </w:t>
      </w:r>
      <w:r w:rsidR="005B56E5" w:rsidRPr="001530D5">
        <w:rPr>
          <w:szCs w:val="24"/>
        </w:rPr>
        <w:t xml:space="preserve">the </w:t>
      </w:r>
      <w:r w:rsidR="00C33F76" w:rsidRPr="001530D5">
        <w:rPr>
          <w:szCs w:val="24"/>
        </w:rPr>
        <w:t xml:space="preserve">average </w:t>
      </w:r>
      <w:r w:rsidR="005B56E5" w:rsidRPr="001530D5">
        <w:rPr>
          <w:szCs w:val="24"/>
        </w:rPr>
        <w:t>walking</w:t>
      </w:r>
      <w:r w:rsidR="00C33F76" w:rsidRPr="001530D5">
        <w:rPr>
          <w:szCs w:val="24"/>
        </w:rPr>
        <w:t xml:space="preserve"> speed is</w:t>
      </w:r>
      <w:r w:rsidR="00270E6D" w:rsidRPr="001530D5">
        <w:rPr>
          <w:szCs w:val="24"/>
        </w:rPr>
        <w:t xml:space="preserve"> 0.2</w:t>
      </w:r>
      <w:r w:rsidR="006265EE" w:rsidRPr="001530D5">
        <w:rPr>
          <w:szCs w:val="24"/>
        </w:rPr>
        <w:t xml:space="preserve">9 m/s in </w:t>
      </w:r>
      <w:r w:rsidR="00BB02CA" w:rsidRPr="001530D5">
        <w:rPr>
          <w:szCs w:val="24"/>
        </w:rPr>
        <w:t>the acute phase of recovery (</w:t>
      </w:r>
      <w:r w:rsidR="00296D95" w:rsidRPr="001530D5">
        <w:rPr>
          <w:szCs w:val="24"/>
        </w:rPr>
        <w:t>McCain et al., 2008</w:t>
      </w:r>
      <w:r w:rsidR="00BB02CA" w:rsidRPr="001530D5">
        <w:rPr>
          <w:szCs w:val="24"/>
        </w:rPr>
        <w:t>)</w:t>
      </w:r>
      <w:r w:rsidR="00A65DA7" w:rsidRPr="001530D5">
        <w:rPr>
          <w:szCs w:val="24"/>
        </w:rPr>
        <w:t>. The average walking</w:t>
      </w:r>
      <w:r w:rsidR="00970828" w:rsidRPr="001530D5">
        <w:rPr>
          <w:szCs w:val="24"/>
        </w:rPr>
        <w:t xml:space="preserve"> speeds</w:t>
      </w:r>
      <w:r w:rsidR="00A65DA7" w:rsidRPr="001530D5">
        <w:rPr>
          <w:szCs w:val="24"/>
        </w:rPr>
        <w:t xml:space="preserve"> </w:t>
      </w:r>
      <w:r w:rsidR="00970828" w:rsidRPr="001530D5">
        <w:rPr>
          <w:szCs w:val="24"/>
        </w:rPr>
        <w:t>in</w:t>
      </w:r>
      <w:r w:rsidR="00A65DA7" w:rsidRPr="001530D5">
        <w:rPr>
          <w:szCs w:val="24"/>
        </w:rPr>
        <w:t xml:space="preserve"> both stroke survivors and controls </w:t>
      </w:r>
      <w:r w:rsidR="00BB01D6" w:rsidRPr="001530D5">
        <w:rPr>
          <w:szCs w:val="24"/>
        </w:rPr>
        <w:t xml:space="preserve">were slower than previous reports. </w:t>
      </w:r>
      <w:r w:rsidR="00C716CC" w:rsidRPr="001530D5">
        <w:rPr>
          <w:szCs w:val="24"/>
        </w:rPr>
        <w:t xml:space="preserve">We </w:t>
      </w:r>
      <w:r w:rsidR="00C716CC" w:rsidRPr="001530D5">
        <w:rPr>
          <w:szCs w:val="24"/>
        </w:rPr>
        <w:lastRenderedPageBreak/>
        <w:t xml:space="preserve">speculated that 1) these </w:t>
      </w:r>
      <w:r w:rsidR="00AC1191" w:rsidRPr="001530D5">
        <w:rPr>
          <w:szCs w:val="24"/>
        </w:rPr>
        <w:t xml:space="preserve">older adults </w:t>
      </w:r>
      <w:r w:rsidR="002A5E01" w:rsidRPr="001530D5">
        <w:rPr>
          <w:szCs w:val="24"/>
        </w:rPr>
        <w:t xml:space="preserve">and strokes </w:t>
      </w:r>
      <w:r w:rsidR="007D625F" w:rsidRPr="001530D5">
        <w:rPr>
          <w:szCs w:val="24"/>
        </w:rPr>
        <w:t xml:space="preserve">survivors </w:t>
      </w:r>
      <w:r w:rsidR="007B126B" w:rsidRPr="001530D5">
        <w:rPr>
          <w:szCs w:val="24"/>
        </w:rPr>
        <w:t xml:space="preserve">in China </w:t>
      </w:r>
      <w:r w:rsidR="00AC1191" w:rsidRPr="001530D5">
        <w:rPr>
          <w:szCs w:val="24"/>
        </w:rPr>
        <w:t>were unfamiliar with treadmill walking</w:t>
      </w:r>
      <w:r w:rsidR="002A5E01" w:rsidRPr="001530D5">
        <w:rPr>
          <w:szCs w:val="24"/>
        </w:rPr>
        <w:t xml:space="preserve">, and 2) when they signed </w:t>
      </w:r>
      <w:r w:rsidR="006A04D6" w:rsidRPr="001530D5">
        <w:rPr>
          <w:szCs w:val="24"/>
        </w:rPr>
        <w:t xml:space="preserve">the informed consent, they were noticed that the inclined walking </w:t>
      </w:r>
      <w:r w:rsidR="00420DFF" w:rsidRPr="001530D5">
        <w:rPr>
          <w:szCs w:val="24"/>
        </w:rPr>
        <w:t xml:space="preserve">trials </w:t>
      </w:r>
      <w:r w:rsidR="006A04D6" w:rsidRPr="001530D5">
        <w:rPr>
          <w:szCs w:val="24"/>
        </w:rPr>
        <w:t xml:space="preserve">were </w:t>
      </w:r>
      <w:r w:rsidR="00420DFF" w:rsidRPr="001530D5">
        <w:rPr>
          <w:szCs w:val="24"/>
        </w:rPr>
        <w:t xml:space="preserve">given. </w:t>
      </w:r>
      <w:r w:rsidR="00303567" w:rsidRPr="001530D5">
        <w:rPr>
          <w:szCs w:val="24"/>
        </w:rPr>
        <w:t xml:space="preserve">Therefore, these patients and controls might attempt to use slow walking speed </w:t>
      </w:r>
      <w:r w:rsidR="00AD4B92" w:rsidRPr="001530D5">
        <w:rPr>
          <w:szCs w:val="24"/>
        </w:rPr>
        <w:t xml:space="preserve">strategies </w:t>
      </w:r>
      <w:r w:rsidR="00076703" w:rsidRPr="001530D5">
        <w:rPr>
          <w:szCs w:val="24"/>
        </w:rPr>
        <w:t xml:space="preserve">as their preferred walking speed </w:t>
      </w:r>
      <w:r w:rsidR="00303567" w:rsidRPr="001530D5">
        <w:rPr>
          <w:szCs w:val="24"/>
        </w:rPr>
        <w:t>to maintain the balance</w:t>
      </w:r>
      <w:r w:rsidR="00076703" w:rsidRPr="001530D5">
        <w:rPr>
          <w:szCs w:val="24"/>
        </w:rPr>
        <w:t xml:space="preserve"> during inclined walking trial</w:t>
      </w:r>
      <w:r w:rsidR="00303567" w:rsidRPr="001530D5">
        <w:rPr>
          <w:szCs w:val="24"/>
        </w:rPr>
        <w:t>.</w:t>
      </w:r>
      <w:r w:rsidR="00303567">
        <w:rPr>
          <w:szCs w:val="24"/>
        </w:rPr>
        <w:t xml:space="preserve"> </w:t>
      </w:r>
    </w:p>
    <w:p w14:paraId="3F47EF96" w14:textId="77777777" w:rsidR="00085770" w:rsidRDefault="00085770" w:rsidP="005E7E01">
      <w:pPr>
        <w:rPr>
          <w:szCs w:val="24"/>
          <w:shd w:val="clear" w:color="auto" w:fill="FFFFFF"/>
        </w:rPr>
      </w:pPr>
    </w:p>
    <w:p w14:paraId="288E276F" w14:textId="58904FCB" w:rsidR="00E5223B" w:rsidRDefault="00E5223B" w:rsidP="005E7E01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Reference:</w:t>
      </w:r>
    </w:p>
    <w:p w14:paraId="212C024C" w14:textId="6265B677" w:rsidR="009F40B7" w:rsidRDefault="009F40B7" w:rsidP="009F40B7">
      <w:pPr>
        <w:rPr>
          <w:szCs w:val="24"/>
          <w:shd w:val="clear" w:color="auto" w:fill="FFFFFF"/>
        </w:rPr>
      </w:pPr>
      <w:r w:rsidRPr="00B621AC">
        <w:rPr>
          <w:szCs w:val="24"/>
          <w:shd w:val="clear" w:color="auto" w:fill="FFFFFF"/>
        </w:rPr>
        <w:t>Berner, K., Cockcroft, J., Morris, L. D., &amp; Louw, Q. (2020</w:t>
      </w:r>
      <w:r>
        <w:rPr>
          <w:szCs w:val="24"/>
          <w:shd w:val="clear" w:color="auto" w:fill="FFFFFF"/>
        </w:rPr>
        <w:t>A</w:t>
      </w:r>
      <w:r w:rsidRPr="00B621AC">
        <w:rPr>
          <w:szCs w:val="24"/>
          <w:shd w:val="clear" w:color="auto" w:fill="FFFFFF"/>
        </w:rPr>
        <w:t xml:space="preserve">). Concurrent validity and within-session reliability of gait kinematics measured using an inertial motion capture system with repeated calibration. Journal of Bodywork and Movement Therapies, 24(4), 251–260. </w:t>
      </w:r>
      <w:hyperlink r:id="rId4" w:history="1">
        <w:r w:rsidRPr="00814E3C">
          <w:rPr>
            <w:rStyle w:val="Hyperlink"/>
            <w:szCs w:val="24"/>
            <w:shd w:val="clear" w:color="auto" w:fill="FFFFFF"/>
          </w:rPr>
          <w:t>https://doi.org/10.1016/j.jbmt.2020.06.008</w:t>
        </w:r>
      </w:hyperlink>
    </w:p>
    <w:p w14:paraId="3842B86A" w14:textId="7315D05D" w:rsidR="003B658C" w:rsidRPr="00B621AC" w:rsidRDefault="003B658C" w:rsidP="003B658C">
      <w:pPr>
        <w:rPr>
          <w:szCs w:val="24"/>
          <w:shd w:val="clear" w:color="auto" w:fill="FFFFFF"/>
        </w:rPr>
      </w:pPr>
      <w:r w:rsidRPr="00B621AC">
        <w:rPr>
          <w:szCs w:val="24"/>
          <w:shd w:val="clear" w:color="auto" w:fill="FFFFFF"/>
        </w:rPr>
        <w:t>Berner, K., Cockcroft, J., &amp; Louw, Q. (2020</w:t>
      </w:r>
      <w:r w:rsidR="009F40B7">
        <w:rPr>
          <w:szCs w:val="24"/>
          <w:shd w:val="clear" w:color="auto" w:fill="FFFFFF"/>
        </w:rPr>
        <w:t>B</w:t>
      </w:r>
      <w:r w:rsidRPr="00B621AC">
        <w:rPr>
          <w:szCs w:val="24"/>
          <w:shd w:val="clear" w:color="auto" w:fill="FFFFFF"/>
        </w:rPr>
        <w:t xml:space="preserve">). Kinematics and temporospatial parameters during gait from inertial motion capture in adults with and without HIV: A validity and reliability study. </w:t>
      </w:r>
      <w:proofErr w:type="spellStart"/>
      <w:r w:rsidRPr="00B621AC">
        <w:rPr>
          <w:szCs w:val="24"/>
          <w:shd w:val="clear" w:color="auto" w:fill="FFFFFF"/>
        </w:rPr>
        <w:t>BioMedical</w:t>
      </w:r>
      <w:proofErr w:type="spellEnd"/>
      <w:r w:rsidRPr="00B621AC">
        <w:rPr>
          <w:szCs w:val="24"/>
          <w:shd w:val="clear" w:color="auto" w:fill="FFFFFF"/>
        </w:rPr>
        <w:t xml:space="preserve"> Engineering </w:t>
      </w:r>
      <w:proofErr w:type="spellStart"/>
      <w:r w:rsidRPr="00B621AC">
        <w:rPr>
          <w:szCs w:val="24"/>
          <w:shd w:val="clear" w:color="auto" w:fill="FFFFFF"/>
        </w:rPr>
        <w:t>OnLine</w:t>
      </w:r>
      <w:proofErr w:type="spellEnd"/>
      <w:r w:rsidRPr="00B621AC">
        <w:rPr>
          <w:szCs w:val="24"/>
          <w:shd w:val="clear" w:color="auto" w:fill="FFFFFF"/>
        </w:rPr>
        <w:t>, 19(1), 57. https://doi.org/10.1186/s12938-020-00802-2</w:t>
      </w:r>
    </w:p>
    <w:p w14:paraId="1F72E523" w14:textId="77777777" w:rsidR="005E3F84" w:rsidRDefault="005E3F84" w:rsidP="005E3F84">
      <w:pPr>
        <w:spacing w:before="0" w:after="0"/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</w:pPr>
      <w:r w:rsidRPr="005E3F84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McCain, K. J., Pollo, F. E., Baum, B. S., Coleman, S. C., Baker, S., &amp; Smith, P. S. (2008). Locomotor treadmill training with partial body-weight support before overground gait in adults with acute stroke: a pilot study. </w:t>
      </w:r>
      <w:r w:rsidRPr="005E3F84">
        <w:rPr>
          <w:rFonts w:eastAsia="Times New Roman" w:cs="Times New Roman"/>
          <w:i/>
          <w:iCs/>
          <w:color w:val="212121"/>
          <w:szCs w:val="24"/>
          <w:lang w:eastAsia="zh-TW"/>
        </w:rPr>
        <w:t>Archives of physical medicine and rehabilitation</w:t>
      </w:r>
      <w:r w:rsidRPr="005E3F84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, </w:t>
      </w:r>
      <w:r w:rsidRPr="005E3F84">
        <w:rPr>
          <w:rFonts w:eastAsia="Times New Roman" w:cs="Times New Roman"/>
          <w:i/>
          <w:iCs/>
          <w:color w:val="212121"/>
          <w:szCs w:val="24"/>
          <w:lang w:eastAsia="zh-TW"/>
        </w:rPr>
        <w:t>89</w:t>
      </w:r>
      <w:r w:rsidRPr="005E3F84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(4), 684–691. </w:t>
      </w:r>
      <w:hyperlink r:id="rId5" w:history="1">
        <w:r w:rsidRPr="005E3F84">
          <w:rPr>
            <w:rStyle w:val="Hyperlink"/>
            <w:rFonts w:eastAsia="Times New Roman" w:cs="Times New Roman"/>
            <w:szCs w:val="24"/>
            <w:shd w:val="clear" w:color="auto" w:fill="FFFFFF"/>
            <w:lang w:eastAsia="zh-TW"/>
          </w:rPr>
          <w:t>https://doi.org/10.1016/j.apmr.2007.09.050</w:t>
        </w:r>
      </w:hyperlink>
      <w:r w:rsidRPr="005E3F84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.</w:t>
      </w:r>
    </w:p>
    <w:p w14:paraId="191ACDA9" w14:textId="77777777" w:rsidR="005E3F84" w:rsidRPr="005E3F84" w:rsidRDefault="005E3F84" w:rsidP="005E3F84">
      <w:pPr>
        <w:spacing w:before="0" w:after="0"/>
        <w:rPr>
          <w:rFonts w:eastAsia="Times New Roman" w:cs="Times New Roman"/>
          <w:szCs w:val="24"/>
          <w:lang w:eastAsia="zh-TW"/>
        </w:rPr>
      </w:pPr>
    </w:p>
    <w:p w14:paraId="7F706B1B" w14:textId="2AED4F13" w:rsidR="0054517A" w:rsidRPr="0054517A" w:rsidRDefault="0054517A" w:rsidP="0054517A">
      <w:pPr>
        <w:spacing w:before="0" w:after="0"/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</w:pPr>
      <w:r w:rsidRPr="0054517A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McGinley, J. L., Baker, R., Wolfe, R., &amp; Morris, M. E. (2009). The reliability of three-dimensional kinematic gait measurements: a systematic review. </w:t>
      </w:r>
      <w:r w:rsidRPr="0054517A">
        <w:rPr>
          <w:rFonts w:eastAsia="Times New Roman" w:cs="Times New Roman"/>
          <w:i/>
          <w:iCs/>
          <w:color w:val="212121"/>
          <w:szCs w:val="24"/>
          <w:lang w:eastAsia="zh-TW"/>
        </w:rPr>
        <w:t>Gait &amp; posture</w:t>
      </w:r>
      <w:r w:rsidRPr="0054517A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, </w:t>
      </w:r>
      <w:r w:rsidRPr="0054517A">
        <w:rPr>
          <w:rFonts w:eastAsia="Times New Roman" w:cs="Times New Roman"/>
          <w:i/>
          <w:iCs/>
          <w:color w:val="212121"/>
          <w:szCs w:val="24"/>
          <w:lang w:eastAsia="zh-TW"/>
        </w:rPr>
        <w:t>29</w:t>
      </w:r>
      <w:r w:rsidRPr="0054517A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(3), 360–369. </w:t>
      </w:r>
      <w:hyperlink r:id="rId6" w:history="1">
        <w:r w:rsidRPr="0054517A">
          <w:rPr>
            <w:rStyle w:val="Hyperlink"/>
            <w:rFonts w:eastAsia="Times New Roman" w:cs="Times New Roman"/>
            <w:szCs w:val="24"/>
            <w:shd w:val="clear" w:color="auto" w:fill="FFFFFF"/>
            <w:lang w:eastAsia="zh-TW"/>
          </w:rPr>
          <w:t>https://doi.org/10.1016/j.gaitpost.2008.09.003</w:t>
        </w:r>
      </w:hyperlink>
      <w:r w:rsidRPr="0054517A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.</w:t>
      </w:r>
    </w:p>
    <w:p w14:paraId="233BD19C" w14:textId="77777777" w:rsidR="00A6563C" w:rsidRDefault="00A6563C" w:rsidP="002C7F6E">
      <w:pPr>
        <w:spacing w:before="0" w:after="0"/>
        <w:rPr>
          <w:rFonts w:eastAsia="Times New Roman" w:cs="Times New Roman"/>
        </w:rPr>
      </w:pPr>
    </w:p>
    <w:p w14:paraId="46331AAC" w14:textId="77777777" w:rsidR="005E3F84" w:rsidRPr="001530D5" w:rsidRDefault="005E3F84" w:rsidP="005E3F84">
      <w:pPr>
        <w:rPr>
          <w:szCs w:val="24"/>
          <w:shd w:val="clear" w:color="auto" w:fill="FFFFFF"/>
          <w:lang w:val="de-DE"/>
        </w:rPr>
      </w:pPr>
      <w:r w:rsidRPr="00501A31">
        <w:rPr>
          <w:szCs w:val="24"/>
          <w:shd w:val="clear" w:color="auto" w:fill="FFFFFF"/>
        </w:rPr>
        <w:t xml:space="preserve">Park, S., &amp; Yoon, S. (2021). Validity Evaluation of an Inertial Measurement Unit (IMU) in Gait Analysis Using Statistical Parametric Mapping (SPM). </w:t>
      </w:r>
      <w:r w:rsidRPr="001530D5">
        <w:rPr>
          <w:i/>
          <w:iCs/>
          <w:szCs w:val="24"/>
          <w:shd w:val="clear" w:color="auto" w:fill="FFFFFF"/>
          <w:lang w:val="de-DE"/>
        </w:rPr>
        <w:t>Sensors (Basel, Switzerland)</w:t>
      </w:r>
      <w:r w:rsidRPr="001530D5">
        <w:rPr>
          <w:szCs w:val="24"/>
          <w:shd w:val="clear" w:color="auto" w:fill="FFFFFF"/>
          <w:lang w:val="de-DE"/>
        </w:rPr>
        <w:t xml:space="preserve">, 21(11), 3667. </w:t>
      </w:r>
      <w:r w:rsidR="001530D5">
        <w:fldChar w:fldCharType="begin"/>
      </w:r>
      <w:r w:rsidR="001530D5" w:rsidRPr="001530D5">
        <w:rPr>
          <w:lang w:val="de-DE"/>
        </w:rPr>
        <w:instrText xml:space="preserve"> HYPERLINK "https://doi.org/10.3390/s21113667" </w:instrText>
      </w:r>
      <w:r w:rsidR="001530D5">
        <w:fldChar w:fldCharType="separate"/>
      </w:r>
      <w:r w:rsidRPr="001530D5">
        <w:rPr>
          <w:rStyle w:val="Hyperlink"/>
          <w:szCs w:val="24"/>
          <w:shd w:val="clear" w:color="auto" w:fill="FFFFFF"/>
          <w:lang w:val="de-DE"/>
        </w:rPr>
        <w:t>https://doi.org/10.3390/s21113667</w:t>
      </w:r>
      <w:r w:rsidR="001530D5">
        <w:rPr>
          <w:rStyle w:val="Hyperlink"/>
          <w:szCs w:val="24"/>
          <w:shd w:val="clear" w:color="auto" w:fill="FFFFFF"/>
        </w:rPr>
        <w:fldChar w:fldCharType="end"/>
      </w:r>
      <w:r w:rsidRPr="001530D5">
        <w:rPr>
          <w:szCs w:val="24"/>
          <w:shd w:val="clear" w:color="auto" w:fill="FFFFFF"/>
          <w:lang w:val="de-DE"/>
        </w:rPr>
        <w:t>.</w:t>
      </w:r>
    </w:p>
    <w:p w14:paraId="421A5F58" w14:textId="77777777" w:rsidR="005E3F84" w:rsidRPr="00815F68" w:rsidRDefault="005E3F84" w:rsidP="005E3F84">
      <w:pPr>
        <w:spacing w:before="0" w:after="0"/>
        <w:rPr>
          <w:rFonts w:eastAsia="Times New Roman" w:cs="Times New Roman"/>
          <w:szCs w:val="24"/>
          <w:lang w:eastAsia="zh-TW"/>
        </w:rPr>
      </w:pPr>
      <w:r w:rsidRPr="001530D5">
        <w:rPr>
          <w:rFonts w:eastAsia="Times New Roman" w:cs="Times New Roman"/>
          <w:color w:val="212121"/>
          <w:szCs w:val="24"/>
          <w:shd w:val="clear" w:color="auto" w:fill="FFFFFF"/>
          <w:lang w:val="de-DE" w:eastAsia="zh-TW"/>
        </w:rPr>
        <w:t xml:space="preserve">Seel, T., Raisch, J., &amp; Schauer, T. (2014). </w:t>
      </w:r>
      <w:r w:rsidRPr="00815F68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IMU-based joint angle measurement for gait analysis. </w:t>
      </w:r>
      <w:r w:rsidRPr="00815F68">
        <w:rPr>
          <w:rFonts w:eastAsia="Times New Roman" w:cs="Times New Roman"/>
          <w:i/>
          <w:iCs/>
          <w:color w:val="212121"/>
          <w:szCs w:val="24"/>
          <w:lang w:eastAsia="zh-TW"/>
        </w:rPr>
        <w:t>Sensors (Basel, Switzerland)</w:t>
      </w:r>
      <w:r w:rsidRPr="00815F68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, </w:t>
      </w:r>
      <w:r w:rsidRPr="00815F68">
        <w:rPr>
          <w:rFonts w:eastAsia="Times New Roman" w:cs="Times New Roman"/>
          <w:i/>
          <w:iCs/>
          <w:color w:val="212121"/>
          <w:szCs w:val="24"/>
          <w:lang w:eastAsia="zh-TW"/>
        </w:rPr>
        <w:t>14</w:t>
      </w:r>
      <w:r w:rsidRPr="00815F68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(4), 6891–6909. https://doi.org/10.3390/s140406891</w:t>
      </w:r>
    </w:p>
    <w:p w14:paraId="08C8913B" w14:textId="77777777" w:rsidR="005E3F84" w:rsidRDefault="005E3F84" w:rsidP="005E3F84">
      <w:pPr>
        <w:spacing w:before="0" w:after="0"/>
        <w:rPr>
          <w:rFonts w:ascii="Segoe UI" w:eastAsia="Times New Roman" w:hAnsi="Segoe UI" w:cs="Segoe UI"/>
          <w:color w:val="212121"/>
          <w:szCs w:val="24"/>
          <w:shd w:val="clear" w:color="auto" w:fill="FFFFFF"/>
          <w:lang w:eastAsia="zh-TW"/>
        </w:rPr>
      </w:pPr>
    </w:p>
    <w:p w14:paraId="0BF2A04D" w14:textId="2A47ABEF" w:rsidR="005F5E93" w:rsidRPr="005F5E93" w:rsidRDefault="005F5E93" w:rsidP="005F5E93">
      <w:pPr>
        <w:spacing w:before="0" w:after="0"/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</w:pP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Studenski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, S., </w:t>
      </w: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Perera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, S., Patel, K., </w:t>
      </w: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Rosano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, C., Faulkner, K., </w:t>
      </w: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Inzitari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, M., Brach, J., Chandler, J., Cawthon, P., Connor, E. B., Nevitt, M., Visser, M., </w:t>
      </w: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Kritchevsky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, S., </w:t>
      </w: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Badinelli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, S., Harris, T., Newman, A. B., </w:t>
      </w: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Cauley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, J., </w:t>
      </w: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Ferrucci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, L., &amp; </w:t>
      </w:r>
      <w:proofErr w:type="spellStart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Guralnik</w:t>
      </w:r>
      <w:proofErr w:type="spellEnd"/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, J. (2011). Gait speed and survival in older adults. </w:t>
      </w:r>
      <w:r w:rsidRPr="005F5E93">
        <w:rPr>
          <w:rFonts w:eastAsia="Times New Roman" w:cs="Times New Roman"/>
          <w:i/>
          <w:iCs/>
          <w:color w:val="212121"/>
          <w:szCs w:val="24"/>
          <w:lang w:eastAsia="zh-TW"/>
        </w:rPr>
        <w:t>JAMA</w:t>
      </w:r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, </w:t>
      </w:r>
      <w:r w:rsidRPr="005F5E93">
        <w:rPr>
          <w:rFonts w:eastAsia="Times New Roman" w:cs="Times New Roman"/>
          <w:i/>
          <w:iCs/>
          <w:color w:val="212121"/>
          <w:szCs w:val="24"/>
          <w:lang w:eastAsia="zh-TW"/>
        </w:rPr>
        <w:t>305</w:t>
      </w:r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 xml:space="preserve">(1), 50–58. </w:t>
      </w:r>
      <w:hyperlink r:id="rId7" w:history="1">
        <w:r w:rsidRPr="005F5E93">
          <w:rPr>
            <w:rStyle w:val="Hyperlink"/>
            <w:rFonts w:eastAsia="Times New Roman" w:cs="Times New Roman"/>
            <w:szCs w:val="24"/>
            <w:shd w:val="clear" w:color="auto" w:fill="FFFFFF"/>
            <w:lang w:eastAsia="zh-TW"/>
          </w:rPr>
          <w:t>https://doi.org/10.1001/jama.2010.1923</w:t>
        </w:r>
      </w:hyperlink>
      <w:r w:rsidRPr="005F5E93">
        <w:rPr>
          <w:rFonts w:eastAsia="Times New Roman" w:cs="Times New Roman"/>
          <w:color w:val="212121"/>
          <w:szCs w:val="24"/>
          <w:shd w:val="clear" w:color="auto" w:fill="FFFFFF"/>
          <w:lang w:eastAsia="zh-TW"/>
        </w:rPr>
        <w:t>.</w:t>
      </w:r>
    </w:p>
    <w:p w14:paraId="655ACBAF" w14:textId="77777777" w:rsidR="005F5E93" w:rsidRPr="005F5E93" w:rsidRDefault="005F5E93" w:rsidP="005F5E93">
      <w:pPr>
        <w:spacing w:before="0" w:after="0"/>
        <w:rPr>
          <w:rFonts w:eastAsia="Times New Roman" w:cs="Times New Roman"/>
          <w:szCs w:val="24"/>
          <w:lang w:eastAsia="zh-TW"/>
        </w:rPr>
      </w:pPr>
    </w:p>
    <w:p w14:paraId="0FE258B8" w14:textId="77777777" w:rsidR="00160BE0" w:rsidRPr="002C7F6E" w:rsidRDefault="00160BE0" w:rsidP="002C7F6E">
      <w:pPr>
        <w:spacing w:before="0" w:after="0"/>
        <w:rPr>
          <w:rFonts w:eastAsia="Times New Roman" w:cs="Times New Roman"/>
          <w:szCs w:val="24"/>
          <w:lang w:eastAsia="zh-TW"/>
        </w:rPr>
      </w:pPr>
    </w:p>
    <w:p w14:paraId="4B5D795F" w14:textId="47B9FD6A" w:rsidR="00296D95" w:rsidRPr="005E3F84" w:rsidRDefault="00296D95" w:rsidP="00296D95">
      <w:pPr>
        <w:spacing w:before="0" w:after="0"/>
        <w:rPr>
          <w:rFonts w:eastAsia="Times New Roman" w:cs="Times New Roman"/>
          <w:szCs w:val="24"/>
          <w:lang w:eastAsia="zh-TW"/>
        </w:rPr>
      </w:pPr>
    </w:p>
    <w:p w14:paraId="519BE805" w14:textId="77777777" w:rsidR="005F5E93" w:rsidRPr="00296D95" w:rsidRDefault="005F5E93" w:rsidP="00296D95">
      <w:pPr>
        <w:spacing w:before="0" w:after="0"/>
        <w:rPr>
          <w:rFonts w:eastAsia="Times New Roman" w:cs="Times New Roman"/>
          <w:szCs w:val="24"/>
          <w:lang w:eastAsia="zh-TW"/>
        </w:rPr>
      </w:pPr>
    </w:p>
    <w:p w14:paraId="783574FA" w14:textId="77777777" w:rsidR="002C7F6E" w:rsidRPr="002A31F2" w:rsidRDefault="002C7F6E" w:rsidP="002A31F2">
      <w:pPr>
        <w:spacing w:before="100" w:beforeAutospacing="1" w:after="100" w:afterAutospacing="1"/>
        <w:rPr>
          <w:rFonts w:eastAsia="Times New Roman" w:cs="Times New Roman"/>
        </w:rPr>
      </w:pPr>
    </w:p>
    <w:sectPr w:rsidR="002C7F6E" w:rsidRPr="002A31F2" w:rsidSect="0014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DD"/>
    <w:rsid w:val="000034BB"/>
    <w:rsid w:val="000043BA"/>
    <w:rsid w:val="00021F40"/>
    <w:rsid w:val="00034E46"/>
    <w:rsid w:val="00073DC7"/>
    <w:rsid w:val="00076703"/>
    <w:rsid w:val="00080EE4"/>
    <w:rsid w:val="00085770"/>
    <w:rsid w:val="000A3F29"/>
    <w:rsid w:val="000B5CAA"/>
    <w:rsid w:val="000C3861"/>
    <w:rsid w:val="00104BA9"/>
    <w:rsid w:val="001223AF"/>
    <w:rsid w:val="00145461"/>
    <w:rsid w:val="001530D5"/>
    <w:rsid w:val="00160BE0"/>
    <w:rsid w:val="001A2D3C"/>
    <w:rsid w:val="001C0D4F"/>
    <w:rsid w:val="001C1997"/>
    <w:rsid w:val="001E2434"/>
    <w:rsid w:val="00217380"/>
    <w:rsid w:val="00221C7B"/>
    <w:rsid w:val="00242998"/>
    <w:rsid w:val="00253756"/>
    <w:rsid w:val="00257868"/>
    <w:rsid w:val="00257D13"/>
    <w:rsid w:val="00270E6D"/>
    <w:rsid w:val="002765DD"/>
    <w:rsid w:val="00296D95"/>
    <w:rsid w:val="002A31F2"/>
    <w:rsid w:val="002A4712"/>
    <w:rsid w:val="002A5E01"/>
    <w:rsid w:val="002B4DFF"/>
    <w:rsid w:val="002C1A62"/>
    <w:rsid w:val="002C7F6E"/>
    <w:rsid w:val="002E0D7B"/>
    <w:rsid w:val="002F036B"/>
    <w:rsid w:val="002F6ADB"/>
    <w:rsid w:val="00303567"/>
    <w:rsid w:val="00305C88"/>
    <w:rsid w:val="00320ADF"/>
    <w:rsid w:val="0032678F"/>
    <w:rsid w:val="0035523E"/>
    <w:rsid w:val="00370F51"/>
    <w:rsid w:val="003722A3"/>
    <w:rsid w:val="00384216"/>
    <w:rsid w:val="0038567C"/>
    <w:rsid w:val="003863C7"/>
    <w:rsid w:val="003B658C"/>
    <w:rsid w:val="003C6D8D"/>
    <w:rsid w:val="00403613"/>
    <w:rsid w:val="00420DFF"/>
    <w:rsid w:val="00443136"/>
    <w:rsid w:val="004B6215"/>
    <w:rsid w:val="004E4353"/>
    <w:rsid w:val="004F4DD0"/>
    <w:rsid w:val="0050271B"/>
    <w:rsid w:val="0054517A"/>
    <w:rsid w:val="00557BA7"/>
    <w:rsid w:val="005721AB"/>
    <w:rsid w:val="005B56E5"/>
    <w:rsid w:val="005C09FC"/>
    <w:rsid w:val="005E0CC1"/>
    <w:rsid w:val="005E3F84"/>
    <w:rsid w:val="005E51EB"/>
    <w:rsid w:val="005E7E01"/>
    <w:rsid w:val="005F57B9"/>
    <w:rsid w:val="005F5E93"/>
    <w:rsid w:val="00605A7C"/>
    <w:rsid w:val="006265EE"/>
    <w:rsid w:val="006458A7"/>
    <w:rsid w:val="00663060"/>
    <w:rsid w:val="00672073"/>
    <w:rsid w:val="006900CF"/>
    <w:rsid w:val="006901B2"/>
    <w:rsid w:val="006A04D6"/>
    <w:rsid w:val="006A1651"/>
    <w:rsid w:val="006B1064"/>
    <w:rsid w:val="006E2DDC"/>
    <w:rsid w:val="006F5B15"/>
    <w:rsid w:val="00701C1B"/>
    <w:rsid w:val="0073091C"/>
    <w:rsid w:val="00741FFE"/>
    <w:rsid w:val="007510F7"/>
    <w:rsid w:val="00763307"/>
    <w:rsid w:val="007705CF"/>
    <w:rsid w:val="0077483B"/>
    <w:rsid w:val="00793196"/>
    <w:rsid w:val="007B0ADF"/>
    <w:rsid w:val="007B126B"/>
    <w:rsid w:val="007D625F"/>
    <w:rsid w:val="007D76A2"/>
    <w:rsid w:val="007E01DC"/>
    <w:rsid w:val="007F77D0"/>
    <w:rsid w:val="00815F68"/>
    <w:rsid w:val="00817C3C"/>
    <w:rsid w:val="008600BA"/>
    <w:rsid w:val="00870B88"/>
    <w:rsid w:val="008B292E"/>
    <w:rsid w:val="008D5445"/>
    <w:rsid w:val="008E1B99"/>
    <w:rsid w:val="0090539E"/>
    <w:rsid w:val="00915689"/>
    <w:rsid w:val="00936292"/>
    <w:rsid w:val="00963902"/>
    <w:rsid w:val="00970828"/>
    <w:rsid w:val="00980CDD"/>
    <w:rsid w:val="00995948"/>
    <w:rsid w:val="009D430C"/>
    <w:rsid w:val="009F013E"/>
    <w:rsid w:val="009F300A"/>
    <w:rsid w:val="009F40B7"/>
    <w:rsid w:val="009F78E8"/>
    <w:rsid w:val="00A263A1"/>
    <w:rsid w:val="00A43029"/>
    <w:rsid w:val="00A472DA"/>
    <w:rsid w:val="00A52566"/>
    <w:rsid w:val="00A54981"/>
    <w:rsid w:val="00A62B6D"/>
    <w:rsid w:val="00A6563C"/>
    <w:rsid w:val="00A65DA7"/>
    <w:rsid w:val="00A767D4"/>
    <w:rsid w:val="00A767D6"/>
    <w:rsid w:val="00A843FB"/>
    <w:rsid w:val="00A93013"/>
    <w:rsid w:val="00A96EFF"/>
    <w:rsid w:val="00AA4404"/>
    <w:rsid w:val="00AC1191"/>
    <w:rsid w:val="00AD4B92"/>
    <w:rsid w:val="00AD4EF5"/>
    <w:rsid w:val="00AE5110"/>
    <w:rsid w:val="00AF00DC"/>
    <w:rsid w:val="00AF4768"/>
    <w:rsid w:val="00B669C4"/>
    <w:rsid w:val="00BA768F"/>
    <w:rsid w:val="00BB01D6"/>
    <w:rsid w:val="00BB02CA"/>
    <w:rsid w:val="00BC5BA6"/>
    <w:rsid w:val="00BD0E39"/>
    <w:rsid w:val="00BE321B"/>
    <w:rsid w:val="00BF0F9A"/>
    <w:rsid w:val="00BF13E1"/>
    <w:rsid w:val="00C0548E"/>
    <w:rsid w:val="00C10AA0"/>
    <w:rsid w:val="00C33F76"/>
    <w:rsid w:val="00C34ECF"/>
    <w:rsid w:val="00C3573B"/>
    <w:rsid w:val="00C43DEE"/>
    <w:rsid w:val="00C716CC"/>
    <w:rsid w:val="00C74C64"/>
    <w:rsid w:val="00C93614"/>
    <w:rsid w:val="00C94717"/>
    <w:rsid w:val="00CA5DF8"/>
    <w:rsid w:val="00CB2FBB"/>
    <w:rsid w:val="00CD448B"/>
    <w:rsid w:val="00CF6A13"/>
    <w:rsid w:val="00D3382E"/>
    <w:rsid w:val="00D511E1"/>
    <w:rsid w:val="00D74EB2"/>
    <w:rsid w:val="00D85769"/>
    <w:rsid w:val="00DB330A"/>
    <w:rsid w:val="00DC11FB"/>
    <w:rsid w:val="00DE53FD"/>
    <w:rsid w:val="00DE78D8"/>
    <w:rsid w:val="00DF2883"/>
    <w:rsid w:val="00E0445B"/>
    <w:rsid w:val="00E04A1D"/>
    <w:rsid w:val="00E12D6A"/>
    <w:rsid w:val="00E40D09"/>
    <w:rsid w:val="00E51D45"/>
    <w:rsid w:val="00E5223B"/>
    <w:rsid w:val="00E57013"/>
    <w:rsid w:val="00E75EAB"/>
    <w:rsid w:val="00EE42FD"/>
    <w:rsid w:val="00EF4610"/>
    <w:rsid w:val="00F16805"/>
    <w:rsid w:val="00F24AB0"/>
    <w:rsid w:val="00F34C32"/>
    <w:rsid w:val="00F44A54"/>
    <w:rsid w:val="00F510DD"/>
    <w:rsid w:val="00F665F1"/>
    <w:rsid w:val="00F83A4A"/>
    <w:rsid w:val="00F91A65"/>
    <w:rsid w:val="00FD701C"/>
    <w:rsid w:val="00FE780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51BAA3"/>
  <w15:chartTrackingRefBased/>
  <w15:docId w15:val="{D95491F6-B892-6448-BC8C-68D0AA68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 (Body CS)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61"/>
    <w:pPr>
      <w:spacing w:before="120" w:after="240"/>
    </w:pPr>
    <w:rPr>
      <w:rFonts w:ascii="Times New Roman" w:eastAsia="PMingLiU" w:hAnsi="Times New Roman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E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3C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F78E8"/>
  </w:style>
  <w:style w:type="character" w:styleId="UnresolvedMention">
    <w:name w:val="Unresolved Mention"/>
    <w:basedOn w:val="DefaultParagraphFont"/>
    <w:uiPriority w:val="99"/>
    <w:semiHidden/>
    <w:unhideWhenUsed/>
    <w:rsid w:val="00545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1/jama.2010.19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gaitpost.2008.09.003" TargetMode="External"/><Relationship Id="rId5" Type="http://schemas.openxmlformats.org/officeDocument/2006/relationships/hyperlink" Target="https://doi.org/10.1016/j.apmr.2007.09.050" TargetMode="External"/><Relationship Id="rId4" Type="http://schemas.openxmlformats.org/officeDocument/2006/relationships/hyperlink" Target="https://doi.org/10.1016/j.jbmt.2020.06.0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chien</dc:creator>
  <cp:keywords/>
  <dc:description/>
  <cp:lastModifiedBy>John Magri</cp:lastModifiedBy>
  <cp:revision>83</cp:revision>
  <dcterms:created xsi:type="dcterms:W3CDTF">2022-03-02T23:51:00Z</dcterms:created>
  <dcterms:modified xsi:type="dcterms:W3CDTF">2022-03-30T12:38:00Z</dcterms:modified>
</cp:coreProperties>
</file>