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4D059444" w14:textId="49180120" w:rsidR="00994A3D" w:rsidRDefault="00654E8F" w:rsidP="0001436A">
      <w:pPr>
        <w:pStyle w:val="Titre1"/>
      </w:pPr>
      <w:r w:rsidRPr="00994A3D">
        <w:t xml:space="preserve">Supplementary </w:t>
      </w:r>
      <w:r w:rsidR="0068393C">
        <w:t>Table</w:t>
      </w:r>
      <w:r w:rsidR="00192DA6">
        <w:t>s</w:t>
      </w:r>
      <w:r w:rsidR="0068393C">
        <w:t xml:space="preserve"> </w:t>
      </w:r>
    </w:p>
    <w:p w14:paraId="7EB5CA00" w14:textId="5B8D5A09" w:rsidR="00192DA6" w:rsidRPr="0068393C" w:rsidRDefault="00192DA6" w:rsidP="00192DA6">
      <w:pPr>
        <w:pStyle w:val="Titre1"/>
        <w:numPr>
          <w:ilvl w:val="0"/>
          <w:numId w:val="0"/>
        </w:numPr>
        <w:jc w:val="both"/>
      </w:pPr>
      <w:r w:rsidRPr="00994A3D">
        <w:t xml:space="preserve">Supplementary </w:t>
      </w:r>
      <w:r>
        <w:t>Table 1</w:t>
      </w:r>
      <w:r w:rsidRPr="0068393C">
        <w:t xml:space="preserve">: </w:t>
      </w:r>
      <w:r w:rsidRPr="00192DA6">
        <w:t xml:space="preserve">Comparison of umbilical blood cord derived products and </w:t>
      </w:r>
      <w:proofErr w:type="spellStart"/>
      <w:r w:rsidRPr="00192DA6">
        <w:t>haploidentical</w:t>
      </w:r>
      <w:proofErr w:type="spellEnd"/>
      <w:r w:rsidRPr="00192DA6">
        <w:t xml:space="preserve"> donor for </w:t>
      </w:r>
      <w:proofErr w:type="spellStart"/>
      <w:r w:rsidRPr="00192DA6">
        <w:t>aHSCT</w:t>
      </w:r>
      <w:proofErr w:type="spellEnd"/>
    </w:p>
    <w:p w14:paraId="007A0480" w14:textId="41084376" w:rsidR="00192DA6" w:rsidRDefault="00192DA6" w:rsidP="00192DA6">
      <w:r>
        <w:t xml:space="preserve">Adapted from “Who is the best alternative allotransplant donor”, Gale </w:t>
      </w:r>
      <w:r w:rsidRPr="00192DA6">
        <w:rPr>
          <w:i/>
        </w:rPr>
        <w:t>et al</w:t>
      </w:r>
      <w:r>
        <w:t xml:space="preserve"> </w:t>
      </w:r>
      <w:r>
        <w:fldChar w:fldCharType="begin"/>
      </w:r>
      <w:r>
        <w:instrText xml:space="preserve"> ADDIN ZOTERO_ITEM CSL_CITATION {"citationID":"ZQEC9zDG","properties":{"formattedCitation":"(1)","plainCitation":"(1)","noteIndex":0},"citationItems":[{"id":66,"uris":["http://zotero.org/users/4742789/items/37VG5VUK"],"uri":["http://zotero.org/users/4742789/items/37VG5VUK"],"itemData":{"id":66,"type":"article-journal","abstract":"Assuming that most physicians will chose an HLA-identical sibling as the best allotransplant donor, the question arises who is the best alternative donor when an HLA-identical sibling is unavailable? The most commonly used alternative donors are HLA-identical or -mismatched unrelated donors, HLA-matched or -mismatched umbilical cord blood donor or a related, HLA-haplotype-matched related donors. Each alternative donor option has advantages and disadvantages. We discuss selected aspects of these issues based on data from randomized clinical trials and observational databases. However, because there are limited data to address specific clinical settings, quantification of expert opinion is sometimes needed.","container-title":"Bone marrow transplantation","DOI":"10.1038/bmt.2015.94","ISSN":"0268-3369","issue":"0 2","journalAbbreviation":"Bone Marrow Transplant","note":"PMID: 26039206\nPMCID: PMC4520408","page":"S40-S42","source":"PubMed Central","title":"Who is the best alternative allotransplant donor?","volume":"50","author":[{"family":"Gale","given":"RP"},{"family":"Eapen","given":"M"}],"issued":{"date-parts":[["2015",6]]}}}],"schema":"https://github.com/citation-style-language/schema/raw/master/csl-citation.json"} </w:instrText>
      </w:r>
      <w:r>
        <w:fldChar w:fldCharType="separate"/>
      </w:r>
      <w:r w:rsidRPr="00192DA6">
        <w:rPr>
          <w:rFonts w:cs="Times New Roman"/>
        </w:rPr>
        <w:t>(1)</w:t>
      </w:r>
      <w:r>
        <w:fldChar w:fldCharType="end"/>
      </w:r>
      <w:r>
        <w:t xml:space="preserve"> and “Alternative donor transplant of benign primary hematologic disorders”, </w:t>
      </w:r>
      <w:proofErr w:type="spellStart"/>
      <w:r>
        <w:t>Tolar</w:t>
      </w:r>
      <w:proofErr w:type="spellEnd"/>
      <w:r>
        <w:t xml:space="preserve"> </w:t>
      </w:r>
      <w:r w:rsidRPr="00192DA6">
        <w:rPr>
          <w:i/>
        </w:rPr>
        <w:t>et al</w:t>
      </w:r>
      <w:r>
        <w:t xml:space="preserve"> </w:t>
      </w:r>
      <w:r>
        <w:fldChar w:fldCharType="begin"/>
      </w:r>
      <w:r>
        <w:instrText xml:space="preserve"> ADDIN ZOTERO_ITEM CSL_CITATION {"citationID":"KspHuyS9","properties":{"formattedCitation":"(2)","plainCitation":"(2)","noteIndex":0},"citationItems":[{"id":308,"uris":["http://zotero.org/users/4742789/items/RK6LTBAS"],"uri":["http://zotero.org/users/4742789/items/RK6LTBAS"],"itemData":{"id":308,"type":"article-journal","abstract":"Hematopoietic SCT is currently the only curative therapy for a range of benign inherited and acquired primary hematologic disorders in children, including BM failure syndromes and hemoglobinopathies. The preferred HLA-matched sibling donor is available for only about 25% of such children. However, there has been substantial progress over the last four decades in the use of alternative donors for those without a matched sibling—including HLA-matched unrelated donors, HLA-haploidentical related donors and unrelated-donor umbilical cord blood—so that it is now possible to find a donor for almost every child requiring an allograft. Below, we summarize the relative merits and limitations of the different alternative donors for benign hematologic conditions, first generally, and then in relation to specific disorders, and suggest recommendations for selecting such an alternative donor.","container-title":"Bone marrow transplantation","DOI":"10.1038/bmt.2015.1","ISSN":"0268-3369","issue":"5","journalAbbreviation":"Bone Marrow Transplant","note":"PMID: 25665040\nPMCID: PMC4424154","page":"619-627","source":"PubMed Central","title":"Alternative donor transplant of benign primary hematologic disorders","volume":"50","author":[{"family":"Tolar","given":"J"},{"family":"Sodani","given":"P"},{"family":"Symons","given":"H"}],"issued":{"date-parts":[["2015",5]]}}}],"schema":"https://github.com/citation-style-language/schema/raw/master/csl-citation.json"} </w:instrText>
      </w:r>
      <w:r>
        <w:fldChar w:fldCharType="separate"/>
      </w:r>
      <w:r w:rsidRPr="00192DA6">
        <w:rPr>
          <w:rFonts w:cs="Times New Roman"/>
        </w:rPr>
        <w:t>(2)</w:t>
      </w:r>
      <w:r>
        <w:fldChar w:fldCharType="end"/>
      </w:r>
    </w:p>
    <w:p w14:paraId="38F01798" w14:textId="640B41AB" w:rsidR="00192DA6" w:rsidRPr="00192DA6" w:rsidRDefault="00192DA6" w:rsidP="00192DA6">
      <w:r>
        <w:t>DLI: donor lymphocytes infusion, LFS: leukemia free survival, TNC: total nucleated cells</w:t>
      </w:r>
    </w:p>
    <w:tbl>
      <w:tblPr>
        <w:tblStyle w:val="Grilledutableau"/>
        <w:tblW w:w="10207" w:type="dxa"/>
        <w:jc w:val="center"/>
        <w:tblLayout w:type="fixed"/>
        <w:tblLook w:val="04A0" w:firstRow="1" w:lastRow="0" w:firstColumn="1" w:lastColumn="0" w:noHBand="0" w:noVBand="1"/>
      </w:tblPr>
      <w:tblGrid>
        <w:gridCol w:w="1277"/>
        <w:gridCol w:w="2126"/>
        <w:gridCol w:w="2537"/>
        <w:gridCol w:w="723"/>
        <w:gridCol w:w="1134"/>
        <w:gridCol w:w="993"/>
        <w:gridCol w:w="850"/>
        <w:gridCol w:w="567"/>
      </w:tblGrid>
      <w:tr w:rsidR="00192DA6" w:rsidRPr="00D77B48" w14:paraId="74118BB5" w14:textId="77777777" w:rsidTr="009B0049">
        <w:trPr>
          <w:trHeight w:val="160"/>
          <w:jc w:val="center"/>
        </w:trPr>
        <w:tc>
          <w:tcPr>
            <w:tcW w:w="1277" w:type="dxa"/>
          </w:tcPr>
          <w:p w14:paraId="7038A364" w14:textId="77777777" w:rsidR="00192DA6" w:rsidRPr="00D77B48" w:rsidRDefault="00192DA6" w:rsidP="00686A16">
            <w:pPr>
              <w:rPr>
                <w:sz w:val="18"/>
                <w:szCs w:val="18"/>
              </w:rPr>
            </w:pPr>
          </w:p>
        </w:tc>
        <w:tc>
          <w:tcPr>
            <w:tcW w:w="4663" w:type="dxa"/>
            <w:gridSpan w:val="2"/>
          </w:tcPr>
          <w:p w14:paraId="47E12D3C" w14:textId="77777777" w:rsidR="00192DA6" w:rsidRPr="00445775" w:rsidRDefault="00192DA6" w:rsidP="00686A16">
            <w:pPr>
              <w:pStyle w:val="Sansinterligne"/>
              <w:jc w:val="center"/>
              <w:rPr>
                <w:b/>
                <w:bCs/>
              </w:rPr>
            </w:pPr>
            <w:r w:rsidRPr="00445775">
              <w:rPr>
                <w:b/>
                <w:bCs/>
                <w:sz w:val="18"/>
                <w:szCs w:val="18"/>
              </w:rPr>
              <w:t>Logistics</w:t>
            </w:r>
          </w:p>
        </w:tc>
        <w:tc>
          <w:tcPr>
            <w:tcW w:w="4267" w:type="dxa"/>
            <w:gridSpan w:val="5"/>
          </w:tcPr>
          <w:p w14:paraId="24914505" w14:textId="77777777" w:rsidR="00192DA6" w:rsidRPr="00445775" w:rsidRDefault="00192DA6" w:rsidP="00686A16">
            <w:pPr>
              <w:jc w:val="center"/>
              <w:rPr>
                <w:b/>
                <w:bCs/>
                <w:sz w:val="18"/>
                <w:szCs w:val="18"/>
              </w:rPr>
            </w:pPr>
            <w:r w:rsidRPr="00445775">
              <w:rPr>
                <w:b/>
                <w:bCs/>
                <w:sz w:val="18"/>
                <w:szCs w:val="18"/>
              </w:rPr>
              <w:t>Clinical outcomes with current protocols</w:t>
            </w:r>
          </w:p>
        </w:tc>
      </w:tr>
      <w:tr w:rsidR="00192DA6" w:rsidRPr="008D6743" w14:paraId="04C1354A" w14:textId="77777777" w:rsidTr="009B0049">
        <w:trPr>
          <w:trHeight w:val="30"/>
          <w:jc w:val="center"/>
        </w:trPr>
        <w:tc>
          <w:tcPr>
            <w:tcW w:w="1277" w:type="dxa"/>
          </w:tcPr>
          <w:p w14:paraId="6029961D" w14:textId="77777777" w:rsidR="00192DA6" w:rsidRPr="00445775" w:rsidRDefault="00192DA6" w:rsidP="00686A16">
            <w:pPr>
              <w:rPr>
                <w:b/>
                <w:bCs/>
                <w:sz w:val="18"/>
                <w:szCs w:val="18"/>
              </w:rPr>
            </w:pPr>
            <w:r w:rsidRPr="00445775">
              <w:rPr>
                <w:b/>
                <w:bCs/>
                <w:sz w:val="18"/>
                <w:szCs w:val="18"/>
                <w:lang w:val="fr-FR"/>
              </w:rPr>
              <w:t>a</w:t>
            </w:r>
            <w:r w:rsidRPr="00445775">
              <w:rPr>
                <w:b/>
                <w:bCs/>
                <w:sz w:val="18"/>
                <w:szCs w:val="18"/>
              </w:rPr>
              <w:t>HSCT</w:t>
            </w:r>
          </w:p>
        </w:tc>
        <w:tc>
          <w:tcPr>
            <w:tcW w:w="2126" w:type="dxa"/>
          </w:tcPr>
          <w:p w14:paraId="3670BE03" w14:textId="77777777" w:rsidR="00192DA6" w:rsidRPr="00445775" w:rsidRDefault="00192DA6" w:rsidP="00686A16">
            <w:pPr>
              <w:jc w:val="center"/>
              <w:rPr>
                <w:b/>
                <w:bCs/>
                <w:sz w:val="18"/>
                <w:szCs w:val="18"/>
              </w:rPr>
            </w:pPr>
            <w:r w:rsidRPr="00445775">
              <w:rPr>
                <w:b/>
                <w:bCs/>
                <w:sz w:val="18"/>
                <w:szCs w:val="18"/>
              </w:rPr>
              <w:t>Advantages</w:t>
            </w:r>
          </w:p>
        </w:tc>
        <w:tc>
          <w:tcPr>
            <w:tcW w:w="2537" w:type="dxa"/>
          </w:tcPr>
          <w:p w14:paraId="1E364D03" w14:textId="77777777" w:rsidR="00192DA6" w:rsidRPr="00445775" w:rsidRDefault="00192DA6" w:rsidP="00686A16">
            <w:pPr>
              <w:jc w:val="center"/>
              <w:rPr>
                <w:b/>
                <w:bCs/>
                <w:sz w:val="18"/>
                <w:szCs w:val="18"/>
              </w:rPr>
            </w:pPr>
            <w:r w:rsidRPr="00445775">
              <w:rPr>
                <w:b/>
                <w:bCs/>
                <w:sz w:val="18"/>
                <w:szCs w:val="18"/>
              </w:rPr>
              <w:t>Disadvantages</w:t>
            </w:r>
          </w:p>
        </w:tc>
        <w:tc>
          <w:tcPr>
            <w:tcW w:w="723" w:type="dxa"/>
          </w:tcPr>
          <w:p w14:paraId="2435305A" w14:textId="77777777" w:rsidR="00192DA6" w:rsidRPr="00445775" w:rsidRDefault="00192DA6" w:rsidP="00686A16">
            <w:pPr>
              <w:jc w:val="center"/>
              <w:rPr>
                <w:b/>
                <w:bCs/>
                <w:sz w:val="18"/>
                <w:szCs w:val="18"/>
              </w:rPr>
            </w:pPr>
            <w:r w:rsidRPr="00445775">
              <w:rPr>
                <w:b/>
                <w:bCs/>
                <w:sz w:val="18"/>
                <w:szCs w:val="18"/>
              </w:rPr>
              <w:t>GF</w:t>
            </w:r>
          </w:p>
        </w:tc>
        <w:tc>
          <w:tcPr>
            <w:tcW w:w="1134" w:type="dxa"/>
          </w:tcPr>
          <w:p w14:paraId="278CB261" w14:textId="77777777" w:rsidR="00192DA6" w:rsidRPr="00445775" w:rsidRDefault="00192DA6" w:rsidP="00686A16">
            <w:pPr>
              <w:jc w:val="center"/>
              <w:rPr>
                <w:b/>
                <w:bCs/>
                <w:sz w:val="18"/>
                <w:szCs w:val="18"/>
              </w:rPr>
            </w:pPr>
            <w:r w:rsidRPr="00445775">
              <w:rPr>
                <w:b/>
                <w:bCs/>
                <w:sz w:val="18"/>
                <w:szCs w:val="18"/>
              </w:rPr>
              <w:t>GVHD</w:t>
            </w:r>
          </w:p>
        </w:tc>
        <w:tc>
          <w:tcPr>
            <w:tcW w:w="993" w:type="dxa"/>
          </w:tcPr>
          <w:p w14:paraId="5BA40A3B" w14:textId="77777777" w:rsidR="00192DA6" w:rsidRPr="00445775" w:rsidRDefault="00192DA6" w:rsidP="00686A16">
            <w:pPr>
              <w:jc w:val="center"/>
              <w:rPr>
                <w:b/>
                <w:bCs/>
                <w:sz w:val="18"/>
                <w:szCs w:val="18"/>
              </w:rPr>
            </w:pPr>
            <w:r w:rsidRPr="00445775">
              <w:rPr>
                <w:b/>
                <w:bCs/>
                <w:sz w:val="18"/>
                <w:szCs w:val="18"/>
              </w:rPr>
              <w:t>Infection</w:t>
            </w:r>
          </w:p>
        </w:tc>
        <w:tc>
          <w:tcPr>
            <w:tcW w:w="850" w:type="dxa"/>
          </w:tcPr>
          <w:p w14:paraId="3F294EDA" w14:textId="77777777" w:rsidR="00192DA6" w:rsidRPr="00445775" w:rsidRDefault="00192DA6" w:rsidP="00686A16">
            <w:pPr>
              <w:jc w:val="center"/>
              <w:rPr>
                <w:b/>
                <w:bCs/>
                <w:sz w:val="18"/>
                <w:szCs w:val="18"/>
              </w:rPr>
            </w:pPr>
            <w:r w:rsidRPr="00445775">
              <w:rPr>
                <w:b/>
                <w:bCs/>
                <w:sz w:val="18"/>
                <w:szCs w:val="18"/>
              </w:rPr>
              <w:t>Relapse</w:t>
            </w:r>
          </w:p>
        </w:tc>
        <w:tc>
          <w:tcPr>
            <w:tcW w:w="567" w:type="dxa"/>
          </w:tcPr>
          <w:p w14:paraId="2EC2DDBC" w14:textId="77777777" w:rsidR="00192DA6" w:rsidRPr="00445775" w:rsidRDefault="00192DA6" w:rsidP="00686A16">
            <w:pPr>
              <w:jc w:val="center"/>
              <w:rPr>
                <w:b/>
                <w:bCs/>
                <w:sz w:val="18"/>
                <w:szCs w:val="18"/>
              </w:rPr>
            </w:pPr>
            <w:r w:rsidRPr="00445775">
              <w:rPr>
                <w:b/>
                <w:bCs/>
                <w:sz w:val="18"/>
                <w:szCs w:val="18"/>
              </w:rPr>
              <w:t>LFS</w:t>
            </w:r>
          </w:p>
        </w:tc>
      </w:tr>
      <w:tr w:rsidR="00192DA6" w:rsidRPr="008D6743" w14:paraId="136FAF00" w14:textId="77777777" w:rsidTr="009B0049">
        <w:trPr>
          <w:trHeight w:val="1010"/>
          <w:jc w:val="center"/>
        </w:trPr>
        <w:tc>
          <w:tcPr>
            <w:tcW w:w="1277" w:type="dxa"/>
          </w:tcPr>
          <w:p w14:paraId="03261002" w14:textId="77777777" w:rsidR="00192DA6" w:rsidRPr="00445775" w:rsidRDefault="00192DA6" w:rsidP="00686A16">
            <w:pPr>
              <w:rPr>
                <w:rFonts w:cstheme="minorHAnsi"/>
                <w:b/>
                <w:bCs/>
                <w:sz w:val="18"/>
                <w:szCs w:val="18"/>
              </w:rPr>
            </w:pPr>
            <w:r>
              <w:rPr>
                <w:rFonts w:cstheme="minorHAnsi"/>
                <w:b/>
                <w:bCs/>
                <w:sz w:val="18"/>
                <w:szCs w:val="18"/>
              </w:rPr>
              <w:t>UBC</w:t>
            </w:r>
          </w:p>
        </w:tc>
        <w:tc>
          <w:tcPr>
            <w:tcW w:w="2126" w:type="dxa"/>
          </w:tcPr>
          <w:p w14:paraId="6640D213"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No risk for donor</w:t>
            </w:r>
          </w:p>
          <w:p w14:paraId="5FC80954" w14:textId="77777777" w:rsidR="00192DA6"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Low risk of infectious disease transmission of latent viruses</w:t>
            </w:r>
          </w:p>
          <w:p w14:paraId="181AD7F9" w14:textId="77777777" w:rsidR="00192DA6" w:rsidRPr="00D77B48" w:rsidRDefault="00192DA6" w:rsidP="00686A16">
            <w:pPr>
              <w:rPr>
                <w:rFonts w:cstheme="minorHAnsi"/>
                <w:sz w:val="18"/>
                <w:szCs w:val="18"/>
              </w:rPr>
            </w:pPr>
            <w:r>
              <w:rPr>
                <w:rFonts w:cstheme="minorHAnsi"/>
                <w:sz w:val="18"/>
                <w:szCs w:val="18"/>
              </w:rPr>
              <w:t>Easy to stock and deliver</w:t>
            </w:r>
          </w:p>
        </w:tc>
        <w:tc>
          <w:tcPr>
            <w:tcW w:w="2537" w:type="dxa"/>
          </w:tcPr>
          <w:p w14:paraId="58DC39FB" w14:textId="77777777" w:rsidR="00192DA6" w:rsidRPr="00D77B48" w:rsidRDefault="00192DA6" w:rsidP="00686A16">
            <w:pPr>
              <w:rPr>
                <w:rFonts w:cstheme="minorHAnsi"/>
                <w:color w:val="222222"/>
                <w:sz w:val="18"/>
                <w:szCs w:val="18"/>
                <w:shd w:val="clear" w:color="auto" w:fill="FFFFFF"/>
              </w:rPr>
            </w:pPr>
            <w:r>
              <w:rPr>
                <w:rFonts w:cstheme="minorHAnsi"/>
                <w:color w:val="222222"/>
                <w:sz w:val="18"/>
                <w:szCs w:val="18"/>
                <w:shd w:val="clear" w:color="auto" w:fill="FFFFFF"/>
              </w:rPr>
              <w:t>TNC / CD34+ 10x lower than adult donors</w:t>
            </w:r>
          </w:p>
          <w:p w14:paraId="13A939D0"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Single use</w:t>
            </w:r>
            <w:r>
              <w:rPr>
                <w:rFonts w:cstheme="minorHAnsi"/>
                <w:color w:val="222222"/>
                <w:sz w:val="18"/>
                <w:szCs w:val="18"/>
                <w:shd w:val="clear" w:color="auto" w:fill="FFFFFF"/>
              </w:rPr>
              <w:t>, n</w:t>
            </w:r>
            <w:r w:rsidRPr="00D77B48">
              <w:rPr>
                <w:rFonts w:cstheme="minorHAnsi"/>
                <w:color w:val="222222"/>
                <w:sz w:val="18"/>
                <w:szCs w:val="18"/>
                <w:shd w:val="clear" w:color="auto" w:fill="FFFFFF"/>
              </w:rPr>
              <w:t>o available DLI</w:t>
            </w:r>
          </w:p>
          <w:p w14:paraId="5E1B9C0E"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High costs</w:t>
            </w:r>
          </w:p>
          <w:p w14:paraId="643EA777" w14:textId="77777777" w:rsidR="00192DA6" w:rsidRPr="00D77B48" w:rsidRDefault="00192DA6" w:rsidP="00686A16">
            <w:pPr>
              <w:rPr>
                <w:rFonts w:cstheme="minorHAnsi"/>
                <w:sz w:val="18"/>
                <w:szCs w:val="18"/>
              </w:rPr>
            </w:pPr>
            <w:r w:rsidRPr="00D77B48">
              <w:rPr>
                <w:rFonts w:cstheme="minorHAnsi"/>
                <w:color w:val="222222"/>
                <w:sz w:val="18"/>
                <w:szCs w:val="18"/>
                <w:shd w:val="clear" w:color="auto" w:fill="FFFFFF"/>
              </w:rPr>
              <w:t>Autologous product as backup</w:t>
            </w:r>
          </w:p>
        </w:tc>
        <w:tc>
          <w:tcPr>
            <w:tcW w:w="723" w:type="dxa"/>
          </w:tcPr>
          <w:p w14:paraId="52AB6D07"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1134" w:type="dxa"/>
          </w:tcPr>
          <w:p w14:paraId="1582757F"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993" w:type="dxa"/>
          </w:tcPr>
          <w:p w14:paraId="48E23558"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850" w:type="dxa"/>
          </w:tcPr>
          <w:p w14:paraId="29255141"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567" w:type="dxa"/>
          </w:tcPr>
          <w:p w14:paraId="17AAEDC0" w14:textId="77777777" w:rsidR="00192DA6" w:rsidRPr="00D77B48" w:rsidRDefault="00192DA6" w:rsidP="00686A16">
            <w:pPr>
              <w:jc w:val="center"/>
              <w:rPr>
                <w:rFonts w:cstheme="minorHAnsi"/>
                <w:sz w:val="18"/>
                <w:szCs w:val="18"/>
              </w:rPr>
            </w:pPr>
            <w:r w:rsidRPr="00D77B48">
              <w:rPr>
                <w:rFonts w:cstheme="minorHAnsi"/>
                <w:sz w:val="18"/>
                <w:szCs w:val="18"/>
              </w:rPr>
              <w:t>++</w:t>
            </w:r>
          </w:p>
        </w:tc>
      </w:tr>
      <w:tr w:rsidR="00192DA6" w:rsidRPr="008D6743" w14:paraId="662E020A" w14:textId="77777777" w:rsidTr="009B0049">
        <w:trPr>
          <w:trHeight w:val="863"/>
          <w:jc w:val="center"/>
        </w:trPr>
        <w:tc>
          <w:tcPr>
            <w:tcW w:w="1277" w:type="dxa"/>
          </w:tcPr>
          <w:p w14:paraId="3E995B15" w14:textId="77777777" w:rsidR="00192DA6" w:rsidRPr="00445775" w:rsidRDefault="00192DA6" w:rsidP="00686A16">
            <w:pPr>
              <w:rPr>
                <w:rFonts w:cstheme="minorHAnsi"/>
                <w:b/>
                <w:bCs/>
                <w:sz w:val="18"/>
                <w:szCs w:val="18"/>
              </w:rPr>
            </w:pPr>
            <w:proofErr w:type="spellStart"/>
            <w:r w:rsidRPr="00445775">
              <w:rPr>
                <w:rFonts w:cstheme="minorHAnsi"/>
                <w:b/>
                <w:bCs/>
                <w:sz w:val="18"/>
                <w:szCs w:val="18"/>
              </w:rPr>
              <w:t>Haplo</w:t>
            </w:r>
            <w:proofErr w:type="spellEnd"/>
            <w:r>
              <w:rPr>
                <w:rFonts w:cstheme="minorHAnsi"/>
                <w:b/>
                <w:bCs/>
                <w:sz w:val="18"/>
                <w:szCs w:val="18"/>
              </w:rPr>
              <w:t>-i</w:t>
            </w:r>
            <w:r w:rsidRPr="00445775">
              <w:rPr>
                <w:rFonts w:cstheme="minorHAnsi"/>
                <w:b/>
                <w:bCs/>
                <w:sz w:val="18"/>
                <w:szCs w:val="18"/>
              </w:rPr>
              <w:t>dentical</w:t>
            </w:r>
          </w:p>
          <w:p w14:paraId="1C48046E" w14:textId="77777777" w:rsidR="00192DA6" w:rsidRPr="00445775" w:rsidRDefault="00192DA6" w:rsidP="00686A16">
            <w:pPr>
              <w:rPr>
                <w:rFonts w:cstheme="minorHAnsi"/>
                <w:b/>
                <w:bCs/>
                <w:sz w:val="18"/>
                <w:szCs w:val="18"/>
              </w:rPr>
            </w:pPr>
            <w:r w:rsidRPr="00445775">
              <w:rPr>
                <w:rFonts w:cstheme="minorHAnsi"/>
                <w:b/>
                <w:bCs/>
                <w:sz w:val="18"/>
                <w:szCs w:val="18"/>
              </w:rPr>
              <w:t>donor</w:t>
            </w:r>
          </w:p>
        </w:tc>
        <w:tc>
          <w:tcPr>
            <w:tcW w:w="2126" w:type="dxa"/>
          </w:tcPr>
          <w:p w14:paraId="11DEB499"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Always quickly available</w:t>
            </w:r>
          </w:p>
          <w:p w14:paraId="27C313BF"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Low costs</w:t>
            </w:r>
          </w:p>
          <w:p w14:paraId="01D948C7" w14:textId="77777777" w:rsidR="00192DA6" w:rsidRPr="00D77B48" w:rsidRDefault="00192DA6" w:rsidP="00686A16">
            <w:pPr>
              <w:rPr>
                <w:rFonts w:cstheme="minorHAnsi"/>
                <w:color w:val="222222"/>
                <w:sz w:val="18"/>
                <w:szCs w:val="18"/>
                <w:shd w:val="clear" w:color="auto" w:fill="FFFFFF"/>
              </w:rPr>
            </w:pPr>
            <w:r>
              <w:rPr>
                <w:rFonts w:cstheme="minorHAnsi"/>
                <w:color w:val="222222"/>
                <w:sz w:val="18"/>
                <w:szCs w:val="18"/>
                <w:shd w:val="clear" w:color="auto" w:fill="FFFFFF"/>
              </w:rPr>
              <w:t>High</w:t>
            </w:r>
            <w:r w:rsidRPr="00D77B48">
              <w:rPr>
                <w:rFonts w:cstheme="minorHAnsi"/>
                <w:color w:val="222222"/>
                <w:sz w:val="18"/>
                <w:szCs w:val="18"/>
                <w:shd w:val="clear" w:color="auto" w:fill="FFFFFF"/>
              </w:rPr>
              <w:t xml:space="preserve"> </w:t>
            </w:r>
            <w:r>
              <w:rPr>
                <w:rFonts w:cstheme="minorHAnsi"/>
                <w:color w:val="222222"/>
                <w:sz w:val="18"/>
                <w:szCs w:val="18"/>
                <w:shd w:val="clear" w:color="auto" w:fill="FFFFFF"/>
              </w:rPr>
              <w:t>TNC / CD34+ doses</w:t>
            </w:r>
          </w:p>
          <w:p w14:paraId="07C9AB3A" w14:textId="77777777" w:rsidR="00192DA6" w:rsidRPr="00D77B48" w:rsidRDefault="00192DA6" w:rsidP="00686A16">
            <w:pPr>
              <w:rPr>
                <w:rFonts w:cstheme="minorHAnsi"/>
                <w:sz w:val="18"/>
                <w:szCs w:val="18"/>
              </w:rPr>
            </w:pPr>
            <w:r>
              <w:rPr>
                <w:rFonts w:cstheme="minorHAnsi"/>
                <w:color w:val="222222"/>
                <w:sz w:val="18"/>
                <w:szCs w:val="18"/>
                <w:shd w:val="clear" w:color="auto" w:fill="FFFFFF"/>
              </w:rPr>
              <w:t>Possibl</w:t>
            </w:r>
            <w:r w:rsidRPr="00D77B48">
              <w:rPr>
                <w:rFonts w:cstheme="minorHAnsi"/>
                <w:color w:val="222222"/>
                <w:sz w:val="18"/>
                <w:szCs w:val="18"/>
                <w:shd w:val="clear" w:color="auto" w:fill="FFFFFF"/>
              </w:rPr>
              <w:t>e DLI</w:t>
            </w:r>
          </w:p>
        </w:tc>
        <w:tc>
          <w:tcPr>
            <w:tcW w:w="2537" w:type="dxa"/>
          </w:tcPr>
          <w:p w14:paraId="5EBA74A3" w14:textId="77777777" w:rsidR="00192DA6" w:rsidRPr="00D77B48" w:rsidRDefault="00192DA6" w:rsidP="00686A16">
            <w:pPr>
              <w:rPr>
                <w:rFonts w:cstheme="minorHAnsi"/>
                <w:color w:val="222222"/>
                <w:sz w:val="18"/>
                <w:szCs w:val="18"/>
                <w:shd w:val="clear" w:color="auto" w:fill="FFFFFF"/>
              </w:rPr>
            </w:pPr>
            <w:r w:rsidRPr="00D77B48">
              <w:rPr>
                <w:rFonts w:cstheme="minorHAnsi"/>
                <w:color w:val="222222"/>
                <w:sz w:val="18"/>
                <w:szCs w:val="18"/>
                <w:shd w:val="clear" w:color="auto" w:fill="FFFFFF"/>
              </w:rPr>
              <w:t>Less experience</w:t>
            </w:r>
          </w:p>
          <w:p w14:paraId="32197443" w14:textId="77777777" w:rsidR="00192DA6" w:rsidRPr="00D77B48" w:rsidRDefault="00192DA6" w:rsidP="00686A16">
            <w:pPr>
              <w:rPr>
                <w:rFonts w:cstheme="minorHAnsi"/>
                <w:sz w:val="18"/>
                <w:szCs w:val="18"/>
              </w:rPr>
            </w:pPr>
            <w:r>
              <w:rPr>
                <w:rFonts w:cstheme="minorHAnsi"/>
                <w:sz w:val="18"/>
                <w:szCs w:val="18"/>
                <w:shd w:val="clear" w:color="auto" w:fill="FFFFFF"/>
              </w:rPr>
              <w:t>High c</w:t>
            </w:r>
            <w:r w:rsidRPr="00D77B48">
              <w:rPr>
                <w:rFonts w:cstheme="minorHAnsi"/>
                <w:sz w:val="18"/>
                <w:szCs w:val="18"/>
                <w:shd w:val="clear" w:color="auto" w:fill="FFFFFF"/>
              </w:rPr>
              <w:t>ost</w:t>
            </w:r>
            <w:r>
              <w:rPr>
                <w:rFonts w:cstheme="minorHAnsi"/>
                <w:sz w:val="18"/>
                <w:szCs w:val="18"/>
                <w:shd w:val="clear" w:color="auto" w:fill="FFFFFF"/>
              </w:rPr>
              <w:t>s</w:t>
            </w:r>
            <w:r w:rsidRPr="00D77B48">
              <w:rPr>
                <w:rFonts w:cstheme="minorHAnsi"/>
                <w:sz w:val="18"/>
                <w:szCs w:val="18"/>
                <w:shd w:val="clear" w:color="auto" w:fill="FFFFFF"/>
              </w:rPr>
              <w:t xml:space="preserve"> if </w:t>
            </w:r>
            <w:r w:rsidRPr="00385358">
              <w:rPr>
                <w:rFonts w:cstheme="minorHAnsi"/>
                <w:i/>
                <w:iCs/>
                <w:sz w:val="18"/>
                <w:szCs w:val="18"/>
                <w:shd w:val="clear" w:color="auto" w:fill="FFFFFF"/>
              </w:rPr>
              <w:t>ex-vivo</w:t>
            </w:r>
            <w:r>
              <w:rPr>
                <w:rFonts w:cstheme="minorHAnsi"/>
                <w:sz w:val="18"/>
                <w:szCs w:val="18"/>
                <w:shd w:val="clear" w:color="auto" w:fill="FFFFFF"/>
              </w:rPr>
              <w:t xml:space="preserve"> </w:t>
            </w:r>
            <w:r w:rsidRPr="00D77B48">
              <w:rPr>
                <w:rFonts w:cstheme="minorHAnsi"/>
                <w:sz w:val="18"/>
                <w:szCs w:val="18"/>
                <w:shd w:val="clear" w:color="auto" w:fill="FFFFFF"/>
              </w:rPr>
              <w:t>T-</w:t>
            </w:r>
            <w:r>
              <w:rPr>
                <w:rFonts w:cstheme="minorHAnsi"/>
                <w:sz w:val="18"/>
                <w:szCs w:val="18"/>
                <w:shd w:val="clear" w:color="auto" w:fill="FFFFFF"/>
              </w:rPr>
              <w:t xml:space="preserve">cell </w:t>
            </w:r>
            <w:r w:rsidRPr="00D77B48">
              <w:rPr>
                <w:rFonts w:cstheme="minorHAnsi"/>
                <w:sz w:val="18"/>
                <w:szCs w:val="18"/>
                <w:shd w:val="clear" w:color="auto" w:fill="FFFFFF"/>
              </w:rPr>
              <w:t>depletion</w:t>
            </w:r>
          </w:p>
        </w:tc>
        <w:tc>
          <w:tcPr>
            <w:tcW w:w="723" w:type="dxa"/>
          </w:tcPr>
          <w:p w14:paraId="158DFDD7"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1134" w:type="dxa"/>
          </w:tcPr>
          <w:p w14:paraId="034FF03C" w14:textId="77777777" w:rsidR="00192DA6" w:rsidRDefault="00192DA6" w:rsidP="00686A16">
            <w:pPr>
              <w:jc w:val="center"/>
              <w:rPr>
                <w:rFonts w:cstheme="minorHAnsi"/>
                <w:sz w:val="18"/>
                <w:szCs w:val="18"/>
              </w:rPr>
            </w:pPr>
            <w:r w:rsidRPr="00D77B48">
              <w:rPr>
                <w:rFonts w:cstheme="minorHAnsi"/>
                <w:sz w:val="18"/>
                <w:szCs w:val="18"/>
              </w:rPr>
              <w:t>++++</w:t>
            </w:r>
          </w:p>
          <w:p w14:paraId="2CBFDA15" w14:textId="77777777" w:rsidR="00192DA6" w:rsidRDefault="00192DA6" w:rsidP="00686A16">
            <w:pPr>
              <w:jc w:val="center"/>
              <w:rPr>
                <w:rFonts w:cstheme="minorHAnsi"/>
                <w:sz w:val="18"/>
                <w:szCs w:val="18"/>
              </w:rPr>
            </w:pPr>
            <w:r>
              <w:rPr>
                <w:rFonts w:cstheme="minorHAnsi"/>
                <w:sz w:val="18"/>
                <w:szCs w:val="18"/>
              </w:rPr>
              <w:t xml:space="preserve">Reduced if </w:t>
            </w:r>
          </w:p>
          <w:p w14:paraId="571E1885" w14:textId="77777777" w:rsidR="00192DA6" w:rsidRPr="00D77B48" w:rsidRDefault="00192DA6" w:rsidP="00686A16">
            <w:pPr>
              <w:jc w:val="center"/>
              <w:rPr>
                <w:rFonts w:cstheme="minorHAnsi"/>
                <w:sz w:val="18"/>
                <w:szCs w:val="18"/>
              </w:rPr>
            </w:pPr>
            <w:r>
              <w:rPr>
                <w:rFonts w:cstheme="minorHAnsi"/>
                <w:sz w:val="18"/>
                <w:szCs w:val="18"/>
              </w:rPr>
              <w:t>T-cell depletion</w:t>
            </w:r>
          </w:p>
        </w:tc>
        <w:tc>
          <w:tcPr>
            <w:tcW w:w="993" w:type="dxa"/>
          </w:tcPr>
          <w:p w14:paraId="389F7C56"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850" w:type="dxa"/>
          </w:tcPr>
          <w:p w14:paraId="5971B6CC" w14:textId="77777777" w:rsidR="00192DA6" w:rsidRPr="00D77B48" w:rsidRDefault="00192DA6" w:rsidP="00686A16">
            <w:pPr>
              <w:jc w:val="center"/>
              <w:rPr>
                <w:rFonts w:cstheme="minorHAnsi"/>
                <w:sz w:val="18"/>
                <w:szCs w:val="18"/>
              </w:rPr>
            </w:pPr>
            <w:r w:rsidRPr="00D77B48">
              <w:rPr>
                <w:rFonts w:cstheme="minorHAnsi"/>
                <w:sz w:val="18"/>
                <w:szCs w:val="18"/>
              </w:rPr>
              <w:t>++</w:t>
            </w:r>
          </w:p>
        </w:tc>
        <w:tc>
          <w:tcPr>
            <w:tcW w:w="567" w:type="dxa"/>
          </w:tcPr>
          <w:p w14:paraId="7A7E9BDA" w14:textId="77777777" w:rsidR="00192DA6" w:rsidRPr="00D77B48" w:rsidRDefault="00192DA6" w:rsidP="00686A16">
            <w:pPr>
              <w:jc w:val="center"/>
              <w:rPr>
                <w:rFonts w:cstheme="minorHAnsi"/>
                <w:sz w:val="18"/>
                <w:szCs w:val="18"/>
              </w:rPr>
            </w:pPr>
            <w:r w:rsidRPr="00D77B48">
              <w:rPr>
                <w:rFonts w:cstheme="minorHAnsi"/>
                <w:sz w:val="18"/>
                <w:szCs w:val="18"/>
              </w:rPr>
              <w:t>++</w:t>
            </w:r>
          </w:p>
        </w:tc>
      </w:tr>
    </w:tbl>
    <w:p w14:paraId="125E7160" w14:textId="1CA8CF53" w:rsidR="009B0049" w:rsidRDefault="009B0049" w:rsidP="009B0049">
      <w:pPr>
        <w:spacing w:before="0" w:after="200" w:line="276" w:lineRule="auto"/>
        <w:rPr>
          <w:b/>
          <w:u w:val="single"/>
        </w:rPr>
      </w:pPr>
      <w:bookmarkStart w:id="0" w:name="_GoBack"/>
      <w:bookmarkEnd w:id="0"/>
    </w:p>
    <w:p w14:paraId="7038C94D" w14:textId="77777777" w:rsidR="009B0049" w:rsidRDefault="009B0049" w:rsidP="009B0049">
      <w:pPr>
        <w:spacing w:before="0" w:after="200" w:line="276" w:lineRule="auto"/>
        <w:rPr>
          <w:b/>
          <w:u w:val="single"/>
        </w:rPr>
      </w:pPr>
    </w:p>
    <w:p w14:paraId="1778A82F" w14:textId="4C30339C" w:rsidR="00B435B4" w:rsidRPr="009B0049" w:rsidRDefault="009B0049" w:rsidP="009B0049">
      <w:pPr>
        <w:spacing w:before="0" w:after="200" w:line="276" w:lineRule="auto"/>
        <w:rPr>
          <w:rFonts w:cstheme="minorHAnsi"/>
        </w:rPr>
      </w:pPr>
      <w:r>
        <w:rPr>
          <w:b/>
          <w:u w:val="single"/>
        </w:rPr>
        <w:t>REFERENCES</w:t>
      </w:r>
    </w:p>
    <w:p w14:paraId="1BA6F51A" w14:textId="77777777" w:rsidR="009B0049" w:rsidRPr="009B0049" w:rsidRDefault="00B435B4" w:rsidP="009B0049">
      <w:pPr>
        <w:pStyle w:val="Bibliographie"/>
        <w:rPr>
          <w:rFonts w:ascii="Times New Roman" w:hAnsi="Times New Roman" w:cs="Times New Roman"/>
          <w:sz w:val="24"/>
        </w:rPr>
      </w:pPr>
      <w:r>
        <w:fldChar w:fldCharType="begin"/>
      </w:r>
      <w:r w:rsidR="009B0049">
        <w:instrText xml:space="preserve"> ADDIN ZOTERO_BIBL {"uncited":[],"omitted":[],"custom":[]} CSL_BIBLIOGRAPHY </w:instrText>
      </w:r>
      <w:r>
        <w:fldChar w:fldCharType="separate"/>
      </w:r>
      <w:r w:rsidR="009B0049" w:rsidRPr="009B0049">
        <w:rPr>
          <w:rFonts w:ascii="Times New Roman" w:hAnsi="Times New Roman" w:cs="Times New Roman"/>
          <w:sz w:val="24"/>
        </w:rPr>
        <w:t xml:space="preserve">1. </w:t>
      </w:r>
      <w:r w:rsidR="009B0049" w:rsidRPr="009B0049">
        <w:rPr>
          <w:rFonts w:ascii="Times New Roman" w:hAnsi="Times New Roman" w:cs="Times New Roman"/>
          <w:sz w:val="24"/>
        </w:rPr>
        <w:tab/>
        <w:t xml:space="preserve">Gale R, </w:t>
      </w:r>
      <w:proofErr w:type="spellStart"/>
      <w:r w:rsidR="009B0049" w:rsidRPr="009B0049">
        <w:rPr>
          <w:rFonts w:ascii="Times New Roman" w:hAnsi="Times New Roman" w:cs="Times New Roman"/>
          <w:sz w:val="24"/>
        </w:rPr>
        <w:t>Eapen</w:t>
      </w:r>
      <w:proofErr w:type="spellEnd"/>
      <w:r w:rsidR="009B0049" w:rsidRPr="009B0049">
        <w:rPr>
          <w:rFonts w:ascii="Times New Roman" w:hAnsi="Times New Roman" w:cs="Times New Roman"/>
          <w:sz w:val="24"/>
        </w:rPr>
        <w:t xml:space="preserve"> M. Who is the best alternative allotransplant donor? </w:t>
      </w:r>
      <w:r w:rsidR="009B0049" w:rsidRPr="009B0049">
        <w:rPr>
          <w:rFonts w:ascii="Times New Roman" w:hAnsi="Times New Roman" w:cs="Times New Roman"/>
          <w:i/>
          <w:iCs/>
          <w:sz w:val="24"/>
        </w:rPr>
        <w:t>Bone Marrow Transplant</w:t>
      </w:r>
      <w:r w:rsidR="009B0049" w:rsidRPr="009B0049">
        <w:rPr>
          <w:rFonts w:ascii="Times New Roman" w:hAnsi="Times New Roman" w:cs="Times New Roman"/>
          <w:sz w:val="24"/>
        </w:rPr>
        <w:t xml:space="preserve"> (2015) </w:t>
      </w:r>
      <w:proofErr w:type="gramStart"/>
      <w:r w:rsidR="009B0049" w:rsidRPr="009B0049">
        <w:rPr>
          <w:rFonts w:ascii="Times New Roman" w:hAnsi="Times New Roman" w:cs="Times New Roman"/>
          <w:b/>
          <w:bCs/>
          <w:sz w:val="24"/>
        </w:rPr>
        <w:t>50</w:t>
      </w:r>
      <w:r w:rsidR="009B0049" w:rsidRPr="009B0049">
        <w:rPr>
          <w:rFonts w:ascii="Times New Roman" w:hAnsi="Times New Roman" w:cs="Times New Roman"/>
          <w:sz w:val="24"/>
        </w:rPr>
        <w:t>:S</w:t>
      </w:r>
      <w:proofErr w:type="gramEnd"/>
      <w:r w:rsidR="009B0049" w:rsidRPr="009B0049">
        <w:rPr>
          <w:rFonts w:ascii="Times New Roman" w:hAnsi="Times New Roman" w:cs="Times New Roman"/>
          <w:sz w:val="24"/>
        </w:rPr>
        <w:t xml:space="preserve">40–S42. </w:t>
      </w:r>
      <w:proofErr w:type="spellStart"/>
      <w:r w:rsidR="009B0049" w:rsidRPr="009B0049">
        <w:rPr>
          <w:rFonts w:ascii="Times New Roman" w:hAnsi="Times New Roman" w:cs="Times New Roman"/>
          <w:sz w:val="24"/>
        </w:rPr>
        <w:t>doi</w:t>
      </w:r>
      <w:proofErr w:type="spellEnd"/>
      <w:r w:rsidR="009B0049" w:rsidRPr="009B0049">
        <w:rPr>
          <w:rFonts w:ascii="Times New Roman" w:hAnsi="Times New Roman" w:cs="Times New Roman"/>
          <w:sz w:val="24"/>
        </w:rPr>
        <w:t>: 10.1038/bmt.2015.94</w:t>
      </w:r>
    </w:p>
    <w:p w14:paraId="6F15AAED" w14:textId="77777777" w:rsidR="009B0049" w:rsidRPr="009B0049" w:rsidRDefault="009B0049" w:rsidP="009B0049">
      <w:pPr>
        <w:pStyle w:val="Bibliographie"/>
        <w:rPr>
          <w:rFonts w:ascii="Times New Roman" w:hAnsi="Times New Roman" w:cs="Times New Roman"/>
          <w:sz w:val="24"/>
        </w:rPr>
      </w:pPr>
      <w:r w:rsidRPr="009B0049">
        <w:rPr>
          <w:rFonts w:ascii="Times New Roman" w:hAnsi="Times New Roman" w:cs="Times New Roman"/>
          <w:sz w:val="24"/>
        </w:rPr>
        <w:t xml:space="preserve">2. </w:t>
      </w:r>
      <w:r w:rsidRPr="009B0049">
        <w:rPr>
          <w:rFonts w:ascii="Times New Roman" w:hAnsi="Times New Roman" w:cs="Times New Roman"/>
          <w:sz w:val="24"/>
        </w:rPr>
        <w:tab/>
      </w:r>
      <w:proofErr w:type="spellStart"/>
      <w:r w:rsidRPr="009B0049">
        <w:rPr>
          <w:rFonts w:ascii="Times New Roman" w:hAnsi="Times New Roman" w:cs="Times New Roman"/>
          <w:sz w:val="24"/>
        </w:rPr>
        <w:t>Tolar</w:t>
      </w:r>
      <w:proofErr w:type="spellEnd"/>
      <w:r w:rsidRPr="009B0049">
        <w:rPr>
          <w:rFonts w:ascii="Times New Roman" w:hAnsi="Times New Roman" w:cs="Times New Roman"/>
          <w:sz w:val="24"/>
        </w:rPr>
        <w:t xml:space="preserve"> J, </w:t>
      </w:r>
      <w:proofErr w:type="spellStart"/>
      <w:r w:rsidRPr="009B0049">
        <w:rPr>
          <w:rFonts w:ascii="Times New Roman" w:hAnsi="Times New Roman" w:cs="Times New Roman"/>
          <w:sz w:val="24"/>
        </w:rPr>
        <w:t>Sodani</w:t>
      </w:r>
      <w:proofErr w:type="spellEnd"/>
      <w:r w:rsidRPr="009B0049">
        <w:rPr>
          <w:rFonts w:ascii="Times New Roman" w:hAnsi="Times New Roman" w:cs="Times New Roman"/>
          <w:sz w:val="24"/>
        </w:rPr>
        <w:t xml:space="preserve"> P, Symons H. Alternative donor transplant of benign primary hematologic disorders. </w:t>
      </w:r>
      <w:r w:rsidRPr="009B0049">
        <w:rPr>
          <w:rFonts w:ascii="Times New Roman" w:hAnsi="Times New Roman" w:cs="Times New Roman"/>
          <w:i/>
          <w:iCs/>
          <w:sz w:val="24"/>
        </w:rPr>
        <w:t>Bone Marrow Transplant</w:t>
      </w:r>
      <w:r w:rsidRPr="009B0049">
        <w:rPr>
          <w:rFonts w:ascii="Times New Roman" w:hAnsi="Times New Roman" w:cs="Times New Roman"/>
          <w:sz w:val="24"/>
        </w:rPr>
        <w:t xml:space="preserve"> (2015) </w:t>
      </w:r>
      <w:r w:rsidRPr="009B0049">
        <w:rPr>
          <w:rFonts w:ascii="Times New Roman" w:hAnsi="Times New Roman" w:cs="Times New Roman"/>
          <w:b/>
          <w:bCs/>
          <w:sz w:val="24"/>
        </w:rPr>
        <w:t>50</w:t>
      </w:r>
      <w:r w:rsidRPr="009B0049">
        <w:rPr>
          <w:rFonts w:ascii="Times New Roman" w:hAnsi="Times New Roman" w:cs="Times New Roman"/>
          <w:sz w:val="24"/>
        </w:rPr>
        <w:t xml:space="preserve">:619–627. </w:t>
      </w:r>
      <w:proofErr w:type="spellStart"/>
      <w:r w:rsidRPr="009B0049">
        <w:rPr>
          <w:rFonts w:ascii="Times New Roman" w:hAnsi="Times New Roman" w:cs="Times New Roman"/>
          <w:sz w:val="24"/>
        </w:rPr>
        <w:t>doi</w:t>
      </w:r>
      <w:proofErr w:type="spellEnd"/>
      <w:r w:rsidRPr="009B0049">
        <w:rPr>
          <w:rFonts w:ascii="Times New Roman" w:hAnsi="Times New Roman" w:cs="Times New Roman"/>
          <w:sz w:val="24"/>
        </w:rPr>
        <w:t>: 10.1038/bmt.2015.1</w:t>
      </w:r>
    </w:p>
    <w:p w14:paraId="6F19A207" w14:textId="51C66874" w:rsidR="00B435B4" w:rsidRPr="001549D3" w:rsidRDefault="00B435B4" w:rsidP="00C86327">
      <w:pPr>
        <w:spacing w:before="240"/>
        <w:jc w:val="both"/>
      </w:pPr>
      <w:r>
        <w:fldChar w:fldCharType="end"/>
      </w:r>
    </w:p>
    <w:sectPr w:rsidR="00B435B4" w:rsidRPr="001549D3" w:rsidSect="009B0049">
      <w:headerReference w:type="even" r:id="rId8"/>
      <w:footerReference w:type="even" r:id="rId9"/>
      <w:footerReference w:type="default" r:id="rId10"/>
      <w:headerReference w:type="first" r:id="rId11"/>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11F3" w14:textId="77777777" w:rsidR="008112A2" w:rsidRDefault="008112A2" w:rsidP="00117666">
      <w:pPr>
        <w:spacing w:after="0"/>
      </w:pPr>
      <w:r>
        <w:separator/>
      </w:r>
    </w:p>
  </w:endnote>
  <w:endnote w:type="continuationSeparator" w:id="0">
    <w:p w14:paraId="1FDA6C2C" w14:textId="77777777" w:rsidR="008112A2" w:rsidRDefault="008112A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䙭蟈=̀ϯ怀"/>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4A374A" w:rsidRPr="00577C4C" w:rsidRDefault="004A374A">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E31EEF4" w:rsidR="004A374A" w:rsidRPr="00577C4C" w:rsidRDefault="004A374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0049">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3E31EEF4" w:rsidR="004A374A" w:rsidRPr="00577C4C" w:rsidRDefault="004A374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0049">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4A374A" w:rsidRPr="00577C4C" w:rsidRDefault="004A374A">
    <w:pPr>
      <w:rPr>
        <w:b/>
        <w:sz w:val="20"/>
        <w:szCs w:val="24"/>
      </w:rPr>
    </w:pPr>
    <w:r>
      <w:rPr>
        <w:noProof/>
        <w:lang w:val="fr-FR" w:eastAsia="fr-F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0A44461" w:rsidR="004A374A" w:rsidRPr="00577C4C" w:rsidRDefault="004A374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0049">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0A44461" w:rsidR="004A374A" w:rsidRPr="00577C4C" w:rsidRDefault="004A374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0049">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5CBAB" w14:textId="77777777" w:rsidR="008112A2" w:rsidRDefault="008112A2" w:rsidP="00117666">
      <w:pPr>
        <w:spacing w:after="0"/>
      </w:pPr>
      <w:r>
        <w:separator/>
      </w:r>
    </w:p>
  </w:footnote>
  <w:footnote w:type="continuationSeparator" w:id="0">
    <w:p w14:paraId="653826FF" w14:textId="77777777" w:rsidR="008112A2" w:rsidRDefault="008112A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4A374A" w:rsidRPr="009151AA" w:rsidRDefault="004A374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4A374A" w:rsidRDefault="004A374A" w:rsidP="0093429D">
    <w:r w:rsidRPr="005A1D84">
      <w:rPr>
        <w:b/>
        <w:noProof/>
        <w:color w:val="A6A6A6" w:themeColor="background1" w:themeShade="A6"/>
        <w:lang w:val="fr-FR" w:eastAsia="fr-FR"/>
      </w:rPr>
      <w:drawing>
        <wp:inline distT="0" distB="0" distL="0" distR="0" wp14:anchorId="07D26A56" wp14:editId="2E460F0E">
          <wp:extent cx="1382534" cy="497091"/>
          <wp:effectExtent l="0" t="0" r="0" b="0"/>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3D5A"/>
    <w:multiLevelType w:val="hybridMultilevel"/>
    <w:tmpl w:val="24AAF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1F745C82"/>
    <w:multiLevelType w:val="hybridMultilevel"/>
    <w:tmpl w:val="BFD04696"/>
    <w:lvl w:ilvl="0" w:tplc="1B42F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1D78B1"/>
    <w:multiLevelType w:val="hybridMultilevel"/>
    <w:tmpl w:val="6BB0AB20"/>
    <w:lvl w:ilvl="0" w:tplc="73E825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663D3A"/>
    <w:multiLevelType w:val="hybridMultilevel"/>
    <w:tmpl w:val="79F06B74"/>
    <w:lvl w:ilvl="0" w:tplc="1B42F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75CE0"/>
    <w:multiLevelType w:val="hybridMultilevel"/>
    <w:tmpl w:val="DF6CC9F6"/>
    <w:lvl w:ilvl="0" w:tplc="7F9AB712">
      <w:start w:val="20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D7ACA"/>
    <w:multiLevelType w:val="hybridMultilevel"/>
    <w:tmpl w:val="3776140E"/>
    <w:lvl w:ilvl="0" w:tplc="3B20AF8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F47ACF"/>
    <w:multiLevelType w:val="hybridMultilevel"/>
    <w:tmpl w:val="469AD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C65293"/>
    <w:multiLevelType w:val="hybridMultilevel"/>
    <w:tmpl w:val="1BF4D778"/>
    <w:lvl w:ilvl="0" w:tplc="320ED1AA">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501045"/>
    <w:multiLevelType w:val="hybridMultilevel"/>
    <w:tmpl w:val="C0725C1A"/>
    <w:lvl w:ilvl="0" w:tplc="79F4F030">
      <w:start w:val="2007"/>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C97351"/>
    <w:multiLevelType w:val="hybridMultilevel"/>
    <w:tmpl w:val="89E22786"/>
    <w:lvl w:ilvl="0" w:tplc="1B42F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2037B5"/>
    <w:multiLevelType w:val="hybridMultilevel"/>
    <w:tmpl w:val="E178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0F2F6D"/>
    <w:multiLevelType w:val="hybridMultilevel"/>
    <w:tmpl w:val="2F16D586"/>
    <w:lvl w:ilvl="0" w:tplc="1048F9B4">
      <w:start w:val="200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9C138F"/>
    <w:multiLevelType w:val="hybridMultilevel"/>
    <w:tmpl w:val="1526B386"/>
    <w:lvl w:ilvl="0" w:tplc="79F4F030">
      <w:start w:val="2007"/>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730D15FA"/>
    <w:multiLevelType w:val="hybridMultilevel"/>
    <w:tmpl w:val="3626C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5375BF"/>
    <w:multiLevelType w:val="hybridMultilevel"/>
    <w:tmpl w:val="53DCB570"/>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2462A0"/>
    <w:multiLevelType w:val="hybridMultilevel"/>
    <w:tmpl w:val="BFCC98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1"/>
  </w:num>
  <w:num w:numId="4">
    <w:abstractNumId w:val="6"/>
  </w:num>
  <w:num w:numId="5">
    <w:abstractNumId w:val="7"/>
  </w:num>
  <w:num w:numId="6">
    <w:abstractNumId w:val="0"/>
  </w:num>
  <w:num w:numId="7">
    <w:abstractNumId w:val="15"/>
  </w:num>
  <w:num w:numId="8">
    <w:abstractNumId w:val="5"/>
  </w:num>
  <w:num w:numId="9">
    <w:abstractNumId w:val="11"/>
  </w:num>
  <w:num w:numId="10">
    <w:abstractNumId w:val="2"/>
  </w:num>
  <w:num w:numId="11">
    <w:abstractNumId w:val="4"/>
  </w:num>
  <w:num w:numId="12">
    <w:abstractNumId w:val="12"/>
  </w:num>
  <w:num w:numId="13">
    <w:abstractNumId w:val="9"/>
  </w:num>
  <w:num w:numId="14">
    <w:abstractNumId w:val="14"/>
  </w:num>
  <w:num w:numId="15">
    <w:abstractNumId w:val="10"/>
  </w:num>
  <w:num w:numId="16">
    <w:abstractNumId w:val="16"/>
  </w:num>
  <w:num w:numId="17">
    <w:abstractNumId w:val="13"/>
  </w:num>
  <w:num w:numId="18">
    <w:abstractNumId w:val="8"/>
  </w:num>
  <w:num w:numId="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229C"/>
    <w:rsid w:val="000113FA"/>
    <w:rsid w:val="0001436A"/>
    <w:rsid w:val="00017528"/>
    <w:rsid w:val="00034304"/>
    <w:rsid w:val="000350EA"/>
    <w:rsid w:val="00035434"/>
    <w:rsid w:val="00044154"/>
    <w:rsid w:val="000465BD"/>
    <w:rsid w:val="0005249B"/>
    <w:rsid w:val="00052A14"/>
    <w:rsid w:val="000634C3"/>
    <w:rsid w:val="00077D53"/>
    <w:rsid w:val="000A1970"/>
    <w:rsid w:val="000B459B"/>
    <w:rsid w:val="000B7A60"/>
    <w:rsid w:val="000C50DA"/>
    <w:rsid w:val="000C7567"/>
    <w:rsid w:val="000D5339"/>
    <w:rsid w:val="00105FD9"/>
    <w:rsid w:val="0011166D"/>
    <w:rsid w:val="0011575D"/>
    <w:rsid w:val="00117666"/>
    <w:rsid w:val="00126014"/>
    <w:rsid w:val="00135A93"/>
    <w:rsid w:val="00140456"/>
    <w:rsid w:val="00144A48"/>
    <w:rsid w:val="00147505"/>
    <w:rsid w:val="001549D3"/>
    <w:rsid w:val="00157993"/>
    <w:rsid w:val="00160065"/>
    <w:rsid w:val="00177D84"/>
    <w:rsid w:val="00181688"/>
    <w:rsid w:val="00192DA6"/>
    <w:rsid w:val="00195C1F"/>
    <w:rsid w:val="001B50B6"/>
    <w:rsid w:val="001C1CA4"/>
    <w:rsid w:val="001C266D"/>
    <w:rsid w:val="001C7AAF"/>
    <w:rsid w:val="001E5A66"/>
    <w:rsid w:val="00200913"/>
    <w:rsid w:val="00203AA6"/>
    <w:rsid w:val="00230D97"/>
    <w:rsid w:val="002519B9"/>
    <w:rsid w:val="00260C2E"/>
    <w:rsid w:val="00267D18"/>
    <w:rsid w:val="00274347"/>
    <w:rsid w:val="002856E8"/>
    <w:rsid w:val="002868E2"/>
    <w:rsid w:val="002869C3"/>
    <w:rsid w:val="002936E4"/>
    <w:rsid w:val="002B4A57"/>
    <w:rsid w:val="002C04E7"/>
    <w:rsid w:val="002C74CA"/>
    <w:rsid w:val="002F2086"/>
    <w:rsid w:val="00304EF2"/>
    <w:rsid w:val="003123F4"/>
    <w:rsid w:val="003124A7"/>
    <w:rsid w:val="00313533"/>
    <w:rsid w:val="00337C73"/>
    <w:rsid w:val="00337CBF"/>
    <w:rsid w:val="00343BF0"/>
    <w:rsid w:val="003544FB"/>
    <w:rsid w:val="00357E83"/>
    <w:rsid w:val="00360177"/>
    <w:rsid w:val="00361B29"/>
    <w:rsid w:val="00361F45"/>
    <w:rsid w:val="00367BAC"/>
    <w:rsid w:val="00370A6E"/>
    <w:rsid w:val="00384D8A"/>
    <w:rsid w:val="00385A5F"/>
    <w:rsid w:val="00386E43"/>
    <w:rsid w:val="003A4900"/>
    <w:rsid w:val="003A7CAB"/>
    <w:rsid w:val="003B478A"/>
    <w:rsid w:val="003C4B72"/>
    <w:rsid w:val="003D2F2D"/>
    <w:rsid w:val="00401590"/>
    <w:rsid w:val="004131D9"/>
    <w:rsid w:val="00430686"/>
    <w:rsid w:val="00447801"/>
    <w:rsid w:val="004525C0"/>
    <w:rsid w:val="00452E9C"/>
    <w:rsid w:val="004676F7"/>
    <w:rsid w:val="004735C8"/>
    <w:rsid w:val="004947A6"/>
    <w:rsid w:val="004961FF"/>
    <w:rsid w:val="004A374A"/>
    <w:rsid w:val="004B64C5"/>
    <w:rsid w:val="004D2ABF"/>
    <w:rsid w:val="004E5226"/>
    <w:rsid w:val="004F12C2"/>
    <w:rsid w:val="004F68A5"/>
    <w:rsid w:val="004F7540"/>
    <w:rsid w:val="005115FA"/>
    <w:rsid w:val="00517A89"/>
    <w:rsid w:val="005250F2"/>
    <w:rsid w:val="00536F54"/>
    <w:rsid w:val="00540F86"/>
    <w:rsid w:val="00546960"/>
    <w:rsid w:val="00567837"/>
    <w:rsid w:val="00572BEC"/>
    <w:rsid w:val="00577B10"/>
    <w:rsid w:val="00593EEA"/>
    <w:rsid w:val="005A554C"/>
    <w:rsid w:val="005A5EEE"/>
    <w:rsid w:val="005A69AF"/>
    <w:rsid w:val="005B3ABB"/>
    <w:rsid w:val="005C6382"/>
    <w:rsid w:val="005C6EEC"/>
    <w:rsid w:val="005D36DB"/>
    <w:rsid w:val="005E303E"/>
    <w:rsid w:val="005F495D"/>
    <w:rsid w:val="00613242"/>
    <w:rsid w:val="0061339E"/>
    <w:rsid w:val="00633B0A"/>
    <w:rsid w:val="006362C0"/>
    <w:rsid w:val="006375C7"/>
    <w:rsid w:val="00645742"/>
    <w:rsid w:val="00645A87"/>
    <w:rsid w:val="00654E8F"/>
    <w:rsid w:val="00656604"/>
    <w:rsid w:val="00660D05"/>
    <w:rsid w:val="006667B9"/>
    <w:rsid w:val="006820B1"/>
    <w:rsid w:val="0068393C"/>
    <w:rsid w:val="00686A16"/>
    <w:rsid w:val="006A1AE1"/>
    <w:rsid w:val="006B2536"/>
    <w:rsid w:val="006B7D14"/>
    <w:rsid w:val="00701727"/>
    <w:rsid w:val="0070566C"/>
    <w:rsid w:val="0071206C"/>
    <w:rsid w:val="00713D7D"/>
    <w:rsid w:val="00714C50"/>
    <w:rsid w:val="00725A7D"/>
    <w:rsid w:val="00734B4A"/>
    <w:rsid w:val="00736B02"/>
    <w:rsid w:val="00746D5D"/>
    <w:rsid w:val="007501BE"/>
    <w:rsid w:val="00787C37"/>
    <w:rsid w:val="00790BB3"/>
    <w:rsid w:val="0079278F"/>
    <w:rsid w:val="00793836"/>
    <w:rsid w:val="00796795"/>
    <w:rsid w:val="007A5C62"/>
    <w:rsid w:val="007A61AC"/>
    <w:rsid w:val="007B5129"/>
    <w:rsid w:val="007C206C"/>
    <w:rsid w:val="007C383B"/>
    <w:rsid w:val="007E28A6"/>
    <w:rsid w:val="007F7AE3"/>
    <w:rsid w:val="008112A2"/>
    <w:rsid w:val="00817DD6"/>
    <w:rsid w:val="00836D17"/>
    <w:rsid w:val="0083759F"/>
    <w:rsid w:val="00851B77"/>
    <w:rsid w:val="008527DD"/>
    <w:rsid w:val="0086595B"/>
    <w:rsid w:val="00875529"/>
    <w:rsid w:val="00875C04"/>
    <w:rsid w:val="008838FA"/>
    <w:rsid w:val="00885156"/>
    <w:rsid w:val="00890080"/>
    <w:rsid w:val="00891613"/>
    <w:rsid w:val="008948D2"/>
    <w:rsid w:val="008C1542"/>
    <w:rsid w:val="008C1A4C"/>
    <w:rsid w:val="009151AA"/>
    <w:rsid w:val="0092227B"/>
    <w:rsid w:val="00923804"/>
    <w:rsid w:val="0092552F"/>
    <w:rsid w:val="0093429D"/>
    <w:rsid w:val="0093632A"/>
    <w:rsid w:val="00937986"/>
    <w:rsid w:val="00943573"/>
    <w:rsid w:val="00947D08"/>
    <w:rsid w:val="0095138C"/>
    <w:rsid w:val="00964134"/>
    <w:rsid w:val="00970F7D"/>
    <w:rsid w:val="00971885"/>
    <w:rsid w:val="00976CF5"/>
    <w:rsid w:val="00994A3D"/>
    <w:rsid w:val="009A20A6"/>
    <w:rsid w:val="009A371A"/>
    <w:rsid w:val="009B0049"/>
    <w:rsid w:val="009B0FB2"/>
    <w:rsid w:val="009C2B12"/>
    <w:rsid w:val="009C4D67"/>
    <w:rsid w:val="009D3BA8"/>
    <w:rsid w:val="009D6D2C"/>
    <w:rsid w:val="009E1E96"/>
    <w:rsid w:val="009E4439"/>
    <w:rsid w:val="009E6BE7"/>
    <w:rsid w:val="009E7289"/>
    <w:rsid w:val="00A174D9"/>
    <w:rsid w:val="00A23BCC"/>
    <w:rsid w:val="00A3102D"/>
    <w:rsid w:val="00A606B2"/>
    <w:rsid w:val="00A607CC"/>
    <w:rsid w:val="00A9116E"/>
    <w:rsid w:val="00AA127F"/>
    <w:rsid w:val="00AA4D24"/>
    <w:rsid w:val="00AA7A79"/>
    <w:rsid w:val="00AB2BB6"/>
    <w:rsid w:val="00AB6715"/>
    <w:rsid w:val="00AD3077"/>
    <w:rsid w:val="00AE5EBA"/>
    <w:rsid w:val="00AF50DC"/>
    <w:rsid w:val="00AF7701"/>
    <w:rsid w:val="00B0138D"/>
    <w:rsid w:val="00B1671E"/>
    <w:rsid w:val="00B25EB8"/>
    <w:rsid w:val="00B37F4D"/>
    <w:rsid w:val="00B435B4"/>
    <w:rsid w:val="00B435F2"/>
    <w:rsid w:val="00B5740E"/>
    <w:rsid w:val="00B6107C"/>
    <w:rsid w:val="00B643BB"/>
    <w:rsid w:val="00B72176"/>
    <w:rsid w:val="00B9199F"/>
    <w:rsid w:val="00B958C3"/>
    <w:rsid w:val="00BA200F"/>
    <w:rsid w:val="00BB59FE"/>
    <w:rsid w:val="00BC5459"/>
    <w:rsid w:val="00BD2975"/>
    <w:rsid w:val="00BD5B0D"/>
    <w:rsid w:val="00BF2993"/>
    <w:rsid w:val="00C0035A"/>
    <w:rsid w:val="00C07D67"/>
    <w:rsid w:val="00C119BF"/>
    <w:rsid w:val="00C32049"/>
    <w:rsid w:val="00C44852"/>
    <w:rsid w:val="00C5092D"/>
    <w:rsid w:val="00C52693"/>
    <w:rsid w:val="00C529D7"/>
    <w:rsid w:val="00C52A7B"/>
    <w:rsid w:val="00C56BAF"/>
    <w:rsid w:val="00C62528"/>
    <w:rsid w:val="00C669A7"/>
    <w:rsid w:val="00C679AA"/>
    <w:rsid w:val="00C73152"/>
    <w:rsid w:val="00C74148"/>
    <w:rsid w:val="00C75972"/>
    <w:rsid w:val="00C861D9"/>
    <w:rsid w:val="00C86327"/>
    <w:rsid w:val="00CB1B8A"/>
    <w:rsid w:val="00CC0E30"/>
    <w:rsid w:val="00CC5620"/>
    <w:rsid w:val="00CD066B"/>
    <w:rsid w:val="00CD4CD3"/>
    <w:rsid w:val="00CE4FEE"/>
    <w:rsid w:val="00CF600E"/>
    <w:rsid w:val="00D05F91"/>
    <w:rsid w:val="00D060CF"/>
    <w:rsid w:val="00D06781"/>
    <w:rsid w:val="00D14E2E"/>
    <w:rsid w:val="00D20D00"/>
    <w:rsid w:val="00D24E0C"/>
    <w:rsid w:val="00D2591E"/>
    <w:rsid w:val="00D3338E"/>
    <w:rsid w:val="00D37A16"/>
    <w:rsid w:val="00D66BCF"/>
    <w:rsid w:val="00D67720"/>
    <w:rsid w:val="00D724AC"/>
    <w:rsid w:val="00D756EA"/>
    <w:rsid w:val="00D76E6A"/>
    <w:rsid w:val="00D927D4"/>
    <w:rsid w:val="00D92BFB"/>
    <w:rsid w:val="00DB59C3"/>
    <w:rsid w:val="00DC259A"/>
    <w:rsid w:val="00DC309E"/>
    <w:rsid w:val="00DD34D2"/>
    <w:rsid w:val="00DE23E8"/>
    <w:rsid w:val="00DF62FA"/>
    <w:rsid w:val="00E03DBE"/>
    <w:rsid w:val="00E130E9"/>
    <w:rsid w:val="00E52377"/>
    <w:rsid w:val="00E537AD"/>
    <w:rsid w:val="00E56410"/>
    <w:rsid w:val="00E64E17"/>
    <w:rsid w:val="00E66BB8"/>
    <w:rsid w:val="00E6741F"/>
    <w:rsid w:val="00E82B5E"/>
    <w:rsid w:val="00E866C9"/>
    <w:rsid w:val="00EA3D3C"/>
    <w:rsid w:val="00EA6067"/>
    <w:rsid w:val="00EC090A"/>
    <w:rsid w:val="00ED20B5"/>
    <w:rsid w:val="00EE02F3"/>
    <w:rsid w:val="00EE105A"/>
    <w:rsid w:val="00EF2600"/>
    <w:rsid w:val="00EF2C3F"/>
    <w:rsid w:val="00F139A3"/>
    <w:rsid w:val="00F46900"/>
    <w:rsid w:val="00F501FB"/>
    <w:rsid w:val="00F50D86"/>
    <w:rsid w:val="00F519D9"/>
    <w:rsid w:val="00F57271"/>
    <w:rsid w:val="00F61624"/>
    <w:rsid w:val="00F61D89"/>
    <w:rsid w:val="00F620C9"/>
    <w:rsid w:val="00F67D6A"/>
    <w:rsid w:val="00F7420A"/>
    <w:rsid w:val="00FA02E8"/>
    <w:rsid w:val="00FA18C8"/>
    <w:rsid w:val="00FA412E"/>
    <w:rsid w:val="00FB2F53"/>
    <w:rsid w:val="00FC6B96"/>
    <w:rsid w:val="00FD195C"/>
    <w:rsid w:val="00FE33C1"/>
    <w:rsid w:val="00F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7F7EFD29-FCF2-48C5-B0EE-E7199804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9"/>
    <w:qFormat/>
    <w:rsid w:val="00AB6715"/>
    <w:pPr>
      <w:numPr>
        <w:numId w:val="3"/>
      </w:numPr>
      <w:spacing w:before="240"/>
      <w:contextualSpacing w:val="0"/>
      <w:outlineLvl w:val="0"/>
    </w:pPr>
    <w:rPr>
      <w:b/>
    </w:rPr>
  </w:style>
  <w:style w:type="paragraph" w:styleId="Titre2">
    <w:name w:val="heading 2"/>
    <w:basedOn w:val="Titre1"/>
    <w:next w:val="Normal"/>
    <w:link w:val="Titre2Car"/>
    <w:uiPriority w:val="9"/>
    <w:qFormat/>
    <w:rsid w:val="00AB6715"/>
    <w:pPr>
      <w:numPr>
        <w:ilvl w:val="1"/>
      </w:numPr>
      <w:spacing w:after="200"/>
      <w:outlineLvl w:val="1"/>
    </w:pPr>
  </w:style>
  <w:style w:type="paragraph" w:styleId="Titre3">
    <w:name w:val="heading 3"/>
    <w:basedOn w:val="Normal"/>
    <w:next w:val="Normal"/>
    <w:link w:val="Titre3Car"/>
    <w:uiPriority w:val="9"/>
    <w:qFormat/>
    <w:rsid w:val="00AB6715"/>
    <w:pPr>
      <w:keepNext/>
      <w:keepLines/>
      <w:numPr>
        <w:ilvl w:val="2"/>
        <w:numId w:val="3"/>
      </w:numPr>
      <w:spacing w:before="40" w:after="120"/>
      <w:outlineLvl w:val="2"/>
    </w:pPr>
    <w:rPr>
      <w:rFonts w:eastAsiaTheme="majorEastAsia" w:cstheme="majorBidi"/>
      <w:b/>
      <w:szCs w:val="24"/>
    </w:rPr>
  </w:style>
  <w:style w:type="paragraph" w:styleId="Titre4">
    <w:name w:val="heading 4"/>
    <w:basedOn w:val="Titre3"/>
    <w:next w:val="Normal"/>
    <w:link w:val="Titre4Car"/>
    <w:uiPriority w:val="9"/>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9"/>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link w:val="SansinterligneCar"/>
    <w:uiPriority w:val="1"/>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unhideWhenUsed/>
    <w:rsid w:val="00AB6715"/>
    <w:rPr>
      <w:sz w:val="20"/>
      <w:szCs w:val="20"/>
    </w:rPr>
  </w:style>
  <w:style w:type="character" w:customStyle="1" w:styleId="CommentaireCar">
    <w:name w:val="Commentaire Car"/>
    <w:basedOn w:val="Policepardfaut"/>
    <w:link w:val="Commentaire"/>
    <w:uiPriority w:val="99"/>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9"/>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9"/>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character" w:customStyle="1" w:styleId="SansinterligneCar">
    <w:name w:val="Sans interligne Car"/>
    <w:basedOn w:val="Policepardfaut"/>
    <w:link w:val="Sansinterligne"/>
    <w:uiPriority w:val="1"/>
    <w:rsid w:val="004131D9"/>
    <w:rPr>
      <w:rFonts w:ascii="Times New Roman" w:hAnsi="Times New Roman"/>
      <w:sz w:val="24"/>
    </w:rPr>
  </w:style>
  <w:style w:type="paragraph" w:styleId="Bibliographie">
    <w:name w:val="Bibliography"/>
    <w:basedOn w:val="Normal"/>
    <w:next w:val="Normal"/>
    <w:uiPriority w:val="37"/>
    <w:unhideWhenUsed/>
    <w:rsid w:val="004131D9"/>
    <w:pPr>
      <w:tabs>
        <w:tab w:val="left" w:pos="624"/>
      </w:tabs>
      <w:spacing w:before="0"/>
      <w:ind w:left="624" w:hanging="624"/>
      <w:jc w:val="both"/>
    </w:pPr>
    <w:rPr>
      <w:rFonts w:ascii="Times" w:hAnsi="Times"/>
      <w:sz w:val="22"/>
      <w:lang w:val="en-GB"/>
    </w:rPr>
  </w:style>
  <w:style w:type="character" w:customStyle="1" w:styleId="stix">
    <w:name w:val="stix"/>
    <w:basedOn w:val="Policepardfaut"/>
    <w:rsid w:val="004131D9"/>
  </w:style>
  <w:style w:type="paragraph" w:customStyle="1" w:styleId="p">
    <w:name w:val="p"/>
    <w:basedOn w:val="Normal"/>
    <w:rsid w:val="004131D9"/>
    <w:pPr>
      <w:spacing w:before="100" w:beforeAutospacing="1" w:after="100" w:afterAutospacing="1"/>
    </w:pPr>
    <w:rPr>
      <w:rFonts w:eastAsia="Times New Roman" w:cs="Times New Roman"/>
      <w:szCs w:val="24"/>
      <w:lang w:val="fr-FR" w:eastAsia="fr-FR"/>
    </w:rPr>
  </w:style>
  <w:style w:type="paragraph" w:styleId="Rvision">
    <w:name w:val="Revision"/>
    <w:hidden/>
    <w:uiPriority w:val="99"/>
    <w:semiHidden/>
    <w:rsid w:val="004131D9"/>
    <w:pPr>
      <w:spacing w:after="0" w:line="240" w:lineRule="auto"/>
    </w:pPr>
    <w:rPr>
      <w:lang w:val="en-GB"/>
    </w:rPr>
  </w:style>
  <w:style w:type="character" w:customStyle="1" w:styleId="nobr">
    <w:name w:val="nobr"/>
    <w:basedOn w:val="Policepardfaut"/>
    <w:rsid w:val="004131D9"/>
  </w:style>
  <w:style w:type="character" w:customStyle="1" w:styleId="ff2">
    <w:name w:val="ff2"/>
    <w:basedOn w:val="Policepardfaut"/>
    <w:rsid w:val="00645A87"/>
  </w:style>
  <w:style w:type="character" w:customStyle="1" w:styleId="a">
    <w:name w:val="_"/>
    <w:basedOn w:val="Policepardfaut"/>
    <w:rsid w:val="00645A87"/>
  </w:style>
  <w:style w:type="character" w:customStyle="1" w:styleId="fff">
    <w:name w:val="fff"/>
    <w:basedOn w:val="Policepardfaut"/>
    <w:rsid w:val="00645A87"/>
  </w:style>
  <w:style w:type="character" w:styleId="Textedelespacerserv">
    <w:name w:val="Placeholder Text"/>
    <w:basedOn w:val="Policepardfaut"/>
    <w:uiPriority w:val="99"/>
    <w:semiHidden/>
    <w:rsid w:val="00E130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93765582">
      <w:bodyDiv w:val="1"/>
      <w:marLeft w:val="0"/>
      <w:marRight w:val="0"/>
      <w:marTop w:val="0"/>
      <w:marBottom w:val="0"/>
      <w:divBdr>
        <w:top w:val="none" w:sz="0" w:space="0" w:color="auto"/>
        <w:left w:val="none" w:sz="0" w:space="0" w:color="auto"/>
        <w:bottom w:val="none" w:sz="0" w:space="0" w:color="auto"/>
        <w:right w:val="none" w:sz="0" w:space="0" w:color="auto"/>
      </w:divBdr>
      <w:divsChild>
        <w:div w:id="31082772">
          <w:marLeft w:val="0"/>
          <w:marRight w:val="0"/>
          <w:marTop w:val="0"/>
          <w:marBottom w:val="0"/>
          <w:divBdr>
            <w:top w:val="none" w:sz="0" w:space="0" w:color="auto"/>
            <w:left w:val="none" w:sz="0" w:space="0" w:color="auto"/>
            <w:bottom w:val="none" w:sz="0" w:space="0" w:color="auto"/>
            <w:right w:val="none" w:sz="0" w:space="0" w:color="auto"/>
          </w:divBdr>
        </w:div>
        <w:div w:id="616713735">
          <w:marLeft w:val="0"/>
          <w:marRight w:val="0"/>
          <w:marTop w:val="0"/>
          <w:marBottom w:val="0"/>
          <w:divBdr>
            <w:top w:val="none" w:sz="0" w:space="0" w:color="auto"/>
            <w:left w:val="none" w:sz="0" w:space="0" w:color="auto"/>
            <w:bottom w:val="none" w:sz="0" w:space="0" w:color="auto"/>
            <w:right w:val="none" w:sz="0" w:space="0" w:color="auto"/>
          </w:divBdr>
        </w:div>
        <w:div w:id="899905629">
          <w:marLeft w:val="0"/>
          <w:marRight w:val="0"/>
          <w:marTop w:val="0"/>
          <w:marBottom w:val="0"/>
          <w:divBdr>
            <w:top w:val="none" w:sz="0" w:space="0" w:color="auto"/>
            <w:left w:val="none" w:sz="0" w:space="0" w:color="auto"/>
            <w:bottom w:val="none" w:sz="0" w:space="0" w:color="auto"/>
            <w:right w:val="none" w:sz="0" w:space="0" w:color="auto"/>
          </w:divBdr>
        </w:div>
        <w:div w:id="1620063023">
          <w:marLeft w:val="0"/>
          <w:marRight w:val="0"/>
          <w:marTop w:val="0"/>
          <w:marBottom w:val="0"/>
          <w:divBdr>
            <w:top w:val="none" w:sz="0" w:space="0" w:color="auto"/>
            <w:left w:val="none" w:sz="0" w:space="0" w:color="auto"/>
            <w:bottom w:val="none" w:sz="0" w:space="0" w:color="auto"/>
            <w:right w:val="none" w:sz="0" w:space="0" w:color="auto"/>
          </w:divBdr>
        </w:div>
      </w:divsChild>
    </w:div>
    <w:div w:id="1299409431">
      <w:bodyDiv w:val="1"/>
      <w:marLeft w:val="0"/>
      <w:marRight w:val="0"/>
      <w:marTop w:val="0"/>
      <w:marBottom w:val="0"/>
      <w:divBdr>
        <w:top w:val="none" w:sz="0" w:space="0" w:color="auto"/>
        <w:left w:val="none" w:sz="0" w:space="0" w:color="auto"/>
        <w:bottom w:val="none" w:sz="0" w:space="0" w:color="auto"/>
        <w:right w:val="none" w:sz="0" w:space="0" w:color="auto"/>
      </w:divBdr>
      <w:divsChild>
        <w:div w:id="100271703">
          <w:marLeft w:val="0"/>
          <w:marRight w:val="0"/>
          <w:marTop w:val="0"/>
          <w:marBottom w:val="0"/>
          <w:divBdr>
            <w:top w:val="none" w:sz="0" w:space="0" w:color="auto"/>
            <w:left w:val="none" w:sz="0" w:space="0" w:color="auto"/>
            <w:bottom w:val="none" w:sz="0" w:space="0" w:color="auto"/>
            <w:right w:val="none" w:sz="0" w:space="0" w:color="auto"/>
          </w:divBdr>
        </w:div>
        <w:div w:id="252855803">
          <w:marLeft w:val="0"/>
          <w:marRight w:val="0"/>
          <w:marTop w:val="0"/>
          <w:marBottom w:val="0"/>
          <w:divBdr>
            <w:top w:val="none" w:sz="0" w:space="0" w:color="auto"/>
            <w:left w:val="none" w:sz="0" w:space="0" w:color="auto"/>
            <w:bottom w:val="none" w:sz="0" w:space="0" w:color="auto"/>
            <w:right w:val="none" w:sz="0" w:space="0" w:color="auto"/>
          </w:divBdr>
        </w:div>
        <w:div w:id="1342046772">
          <w:marLeft w:val="0"/>
          <w:marRight w:val="0"/>
          <w:marTop w:val="0"/>
          <w:marBottom w:val="0"/>
          <w:divBdr>
            <w:top w:val="none" w:sz="0" w:space="0" w:color="auto"/>
            <w:left w:val="none" w:sz="0" w:space="0" w:color="auto"/>
            <w:bottom w:val="none" w:sz="0" w:space="0" w:color="auto"/>
            <w:right w:val="none" w:sz="0" w:space="0" w:color="auto"/>
          </w:divBdr>
        </w:div>
        <w:div w:id="2137478687">
          <w:marLeft w:val="0"/>
          <w:marRight w:val="0"/>
          <w:marTop w:val="0"/>
          <w:marBottom w:val="0"/>
          <w:divBdr>
            <w:top w:val="none" w:sz="0" w:space="0" w:color="auto"/>
            <w:left w:val="none" w:sz="0" w:space="0" w:color="auto"/>
            <w:bottom w:val="none" w:sz="0" w:space="0" w:color="auto"/>
            <w:right w:val="none" w:sz="0" w:space="0" w:color="auto"/>
          </w:divBdr>
        </w:div>
      </w:divsChild>
    </w:div>
    <w:div w:id="1503278692">
      <w:bodyDiv w:val="1"/>
      <w:marLeft w:val="0"/>
      <w:marRight w:val="0"/>
      <w:marTop w:val="0"/>
      <w:marBottom w:val="0"/>
      <w:divBdr>
        <w:top w:val="none" w:sz="0" w:space="0" w:color="auto"/>
        <w:left w:val="none" w:sz="0" w:space="0" w:color="auto"/>
        <w:bottom w:val="none" w:sz="0" w:space="0" w:color="auto"/>
        <w:right w:val="none" w:sz="0" w:space="0" w:color="auto"/>
      </w:divBdr>
      <w:divsChild>
        <w:div w:id="160971699">
          <w:marLeft w:val="0"/>
          <w:marRight w:val="0"/>
          <w:marTop w:val="0"/>
          <w:marBottom w:val="0"/>
          <w:divBdr>
            <w:top w:val="none" w:sz="0" w:space="0" w:color="auto"/>
            <w:left w:val="none" w:sz="0" w:space="0" w:color="auto"/>
            <w:bottom w:val="none" w:sz="0" w:space="0" w:color="auto"/>
            <w:right w:val="none" w:sz="0" w:space="0" w:color="auto"/>
          </w:divBdr>
        </w:div>
        <w:div w:id="319583507">
          <w:marLeft w:val="0"/>
          <w:marRight w:val="0"/>
          <w:marTop w:val="0"/>
          <w:marBottom w:val="0"/>
          <w:divBdr>
            <w:top w:val="none" w:sz="0" w:space="0" w:color="auto"/>
            <w:left w:val="none" w:sz="0" w:space="0" w:color="auto"/>
            <w:bottom w:val="none" w:sz="0" w:space="0" w:color="auto"/>
            <w:right w:val="none" w:sz="0" w:space="0" w:color="auto"/>
          </w:divBdr>
        </w:div>
        <w:div w:id="830102121">
          <w:marLeft w:val="0"/>
          <w:marRight w:val="0"/>
          <w:marTop w:val="0"/>
          <w:marBottom w:val="0"/>
          <w:divBdr>
            <w:top w:val="none" w:sz="0" w:space="0" w:color="auto"/>
            <w:left w:val="none" w:sz="0" w:space="0" w:color="auto"/>
            <w:bottom w:val="none" w:sz="0" w:space="0" w:color="auto"/>
            <w:right w:val="none" w:sz="0" w:space="0" w:color="auto"/>
          </w:divBdr>
        </w:div>
        <w:div w:id="1029180608">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39394278">
      <w:bodyDiv w:val="1"/>
      <w:marLeft w:val="0"/>
      <w:marRight w:val="0"/>
      <w:marTop w:val="0"/>
      <w:marBottom w:val="0"/>
      <w:divBdr>
        <w:top w:val="none" w:sz="0" w:space="0" w:color="auto"/>
        <w:left w:val="none" w:sz="0" w:space="0" w:color="auto"/>
        <w:bottom w:val="none" w:sz="0" w:space="0" w:color="auto"/>
        <w:right w:val="none" w:sz="0" w:space="0" w:color="auto"/>
      </w:divBdr>
      <w:divsChild>
        <w:div w:id="404495324">
          <w:marLeft w:val="0"/>
          <w:marRight w:val="0"/>
          <w:marTop w:val="0"/>
          <w:marBottom w:val="0"/>
          <w:divBdr>
            <w:top w:val="none" w:sz="0" w:space="0" w:color="auto"/>
            <w:left w:val="none" w:sz="0" w:space="0" w:color="auto"/>
            <w:bottom w:val="none" w:sz="0" w:space="0" w:color="auto"/>
            <w:right w:val="none" w:sz="0" w:space="0" w:color="auto"/>
          </w:divBdr>
        </w:div>
        <w:div w:id="1092169075">
          <w:marLeft w:val="0"/>
          <w:marRight w:val="0"/>
          <w:marTop w:val="0"/>
          <w:marBottom w:val="0"/>
          <w:divBdr>
            <w:top w:val="none" w:sz="0" w:space="0" w:color="auto"/>
            <w:left w:val="none" w:sz="0" w:space="0" w:color="auto"/>
            <w:bottom w:val="none" w:sz="0" w:space="0" w:color="auto"/>
            <w:right w:val="none" w:sz="0" w:space="0" w:color="auto"/>
          </w:divBdr>
        </w:div>
      </w:divsChild>
    </w:div>
    <w:div w:id="1546915450">
      <w:bodyDiv w:val="1"/>
      <w:marLeft w:val="0"/>
      <w:marRight w:val="0"/>
      <w:marTop w:val="0"/>
      <w:marBottom w:val="0"/>
      <w:divBdr>
        <w:top w:val="none" w:sz="0" w:space="0" w:color="auto"/>
        <w:left w:val="none" w:sz="0" w:space="0" w:color="auto"/>
        <w:bottom w:val="none" w:sz="0" w:space="0" w:color="auto"/>
        <w:right w:val="none" w:sz="0" w:space="0" w:color="auto"/>
      </w:divBdr>
      <w:divsChild>
        <w:div w:id="481508438">
          <w:marLeft w:val="0"/>
          <w:marRight w:val="0"/>
          <w:marTop w:val="0"/>
          <w:marBottom w:val="0"/>
          <w:divBdr>
            <w:top w:val="none" w:sz="0" w:space="0" w:color="auto"/>
            <w:left w:val="none" w:sz="0" w:space="0" w:color="auto"/>
            <w:bottom w:val="none" w:sz="0" w:space="0" w:color="auto"/>
            <w:right w:val="none" w:sz="0" w:space="0" w:color="auto"/>
          </w:divBdr>
        </w:div>
        <w:div w:id="1191455708">
          <w:marLeft w:val="0"/>
          <w:marRight w:val="0"/>
          <w:marTop w:val="0"/>
          <w:marBottom w:val="0"/>
          <w:divBdr>
            <w:top w:val="none" w:sz="0" w:space="0" w:color="auto"/>
            <w:left w:val="none" w:sz="0" w:space="0" w:color="auto"/>
            <w:bottom w:val="none" w:sz="0" w:space="0" w:color="auto"/>
            <w:right w:val="none" w:sz="0" w:space="0" w:color="auto"/>
          </w:divBdr>
        </w:div>
        <w:div w:id="1477064210">
          <w:marLeft w:val="0"/>
          <w:marRight w:val="0"/>
          <w:marTop w:val="0"/>
          <w:marBottom w:val="0"/>
          <w:divBdr>
            <w:top w:val="none" w:sz="0" w:space="0" w:color="auto"/>
            <w:left w:val="none" w:sz="0" w:space="0" w:color="auto"/>
            <w:bottom w:val="none" w:sz="0" w:space="0" w:color="auto"/>
            <w:right w:val="none" w:sz="0" w:space="0" w:color="auto"/>
          </w:divBdr>
        </w:div>
        <w:div w:id="1477990845">
          <w:marLeft w:val="0"/>
          <w:marRight w:val="0"/>
          <w:marTop w:val="0"/>
          <w:marBottom w:val="0"/>
          <w:divBdr>
            <w:top w:val="none" w:sz="0" w:space="0" w:color="auto"/>
            <w:left w:val="none" w:sz="0" w:space="0" w:color="auto"/>
            <w:bottom w:val="none" w:sz="0" w:space="0" w:color="auto"/>
            <w:right w:val="none" w:sz="0" w:space="0" w:color="auto"/>
          </w:divBdr>
        </w:div>
      </w:divsChild>
    </w:div>
    <w:div w:id="2092385334">
      <w:bodyDiv w:val="1"/>
      <w:marLeft w:val="0"/>
      <w:marRight w:val="0"/>
      <w:marTop w:val="0"/>
      <w:marBottom w:val="0"/>
      <w:divBdr>
        <w:top w:val="none" w:sz="0" w:space="0" w:color="auto"/>
        <w:left w:val="none" w:sz="0" w:space="0" w:color="auto"/>
        <w:bottom w:val="none" w:sz="0" w:space="0" w:color="auto"/>
        <w:right w:val="none" w:sz="0" w:space="0" w:color="auto"/>
      </w:divBdr>
      <w:divsChild>
        <w:div w:id="14768188">
          <w:marLeft w:val="0"/>
          <w:marRight w:val="0"/>
          <w:marTop w:val="0"/>
          <w:marBottom w:val="0"/>
          <w:divBdr>
            <w:top w:val="none" w:sz="0" w:space="0" w:color="auto"/>
            <w:left w:val="none" w:sz="0" w:space="0" w:color="auto"/>
            <w:bottom w:val="none" w:sz="0" w:space="0" w:color="auto"/>
            <w:right w:val="none" w:sz="0" w:space="0" w:color="auto"/>
          </w:divBdr>
        </w:div>
        <w:div w:id="18363869">
          <w:marLeft w:val="0"/>
          <w:marRight w:val="0"/>
          <w:marTop w:val="0"/>
          <w:marBottom w:val="0"/>
          <w:divBdr>
            <w:top w:val="none" w:sz="0" w:space="0" w:color="auto"/>
            <w:left w:val="none" w:sz="0" w:space="0" w:color="auto"/>
            <w:bottom w:val="none" w:sz="0" w:space="0" w:color="auto"/>
            <w:right w:val="none" w:sz="0" w:space="0" w:color="auto"/>
          </w:divBdr>
        </w:div>
        <w:div w:id="521088570">
          <w:marLeft w:val="0"/>
          <w:marRight w:val="0"/>
          <w:marTop w:val="0"/>
          <w:marBottom w:val="0"/>
          <w:divBdr>
            <w:top w:val="none" w:sz="0" w:space="0" w:color="auto"/>
            <w:left w:val="none" w:sz="0" w:space="0" w:color="auto"/>
            <w:bottom w:val="none" w:sz="0" w:space="0" w:color="auto"/>
            <w:right w:val="none" w:sz="0" w:space="0" w:color="auto"/>
          </w:divBdr>
        </w:div>
        <w:div w:id="60843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665925-FBDC-4B86-93A5-65B6C1A1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219</TotalTime>
  <Pages>1</Pages>
  <Words>728</Words>
  <Characters>4010</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cp:lastModifiedBy>DHUYSER Adele</cp:lastModifiedBy>
  <cp:revision>14</cp:revision>
  <cp:lastPrinted>2013-10-03T12:51:00Z</cp:lastPrinted>
  <dcterms:created xsi:type="dcterms:W3CDTF">2021-12-23T17:29:00Z</dcterms:created>
  <dcterms:modified xsi:type="dcterms:W3CDTF">2022-02-08T10:11:00Z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id="JS4dGxY0"/&gt;&lt;style id="http://www.zotero.org/styles/frontiers-in-immunology" hasBibliography="1" bibliographyStyleHasBeenSet="1"/&gt;&lt;prefs&gt;&lt;pref name="fieldType" value="Field"/&gt;&lt;/prefs&gt;&lt;/data&gt;</vt:lpwstr>
  </property>
</Properties>
</file>