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86B564" w14:textId="77777777" w:rsidR="00F273F6" w:rsidRDefault="00F273F6" w:rsidP="00A64265">
      <w:pPr>
        <w:pStyle w:val="SupplementaryMaterial"/>
      </w:pPr>
      <w:r w:rsidRPr="001549D3">
        <w:t>Supplementary Material</w:t>
      </w:r>
    </w:p>
    <w:p w14:paraId="4EE9AF25" w14:textId="77777777" w:rsidR="00F273F6" w:rsidRPr="00A64265" w:rsidRDefault="00F273F6" w:rsidP="00A64265">
      <w:pPr>
        <w:pStyle w:val="Title"/>
      </w:pPr>
    </w:p>
    <w:p w14:paraId="1957ECB2" w14:textId="06CDD5C2" w:rsidR="00F273F6" w:rsidRDefault="00F273F6" w:rsidP="00D31D0C">
      <w:pPr>
        <w:pStyle w:val="Heading1"/>
      </w:pPr>
      <w:r w:rsidRPr="00994A3D">
        <w:t>Supplementary Tables</w:t>
      </w:r>
    </w:p>
    <w:p w14:paraId="5D2017F1" w14:textId="16D4BEBA" w:rsidR="00F273F6" w:rsidRDefault="00F273F6" w:rsidP="00D31D0C">
      <w:pPr>
        <w:spacing w:before="240"/>
        <w:rPr>
          <w:lang w:bidi="en-US"/>
        </w:rPr>
      </w:pPr>
      <w:r w:rsidRPr="00252C95">
        <w:rPr>
          <w:b/>
          <w:bCs/>
          <w:lang w:bidi="en-US"/>
        </w:rPr>
        <w:t>Table S</w:t>
      </w:r>
      <w:r>
        <w:rPr>
          <w:b/>
          <w:bCs/>
          <w:lang w:bidi="en-US"/>
        </w:rPr>
        <w:t>1.</w:t>
      </w:r>
      <w:r w:rsidRPr="00252C95">
        <w:rPr>
          <w:lang w:bidi="en-US"/>
        </w:rPr>
        <w:t xml:space="preserve"> </w:t>
      </w:r>
      <w:r w:rsidRPr="00252C95">
        <w:rPr>
          <w:iCs/>
          <w:lang w:bidi="en-US"/>
        </w:rPr>
        <w:t xml:space="preserve">Effects of supplementation of </w:t>
      </w:r>
      <w:r w:rsidRPr="00252C95">
        <w:rPr>
          <w:i/>
          <w:iCs/>
          <w:lang w:bidi="en-US"/>
        </w:rPr>
        <w:t>B. lactis</w:t>
      </w:r>
      <w:r w:rsidRPr="00252C95">
        <w:rPr>
          <w:lang w:bidi="en-US"/>
        </w:rPr>
        <w:t xml:space="preserve"> HN019™</w:t>
      </w:r>
      <w:r w:rsidRPr="00252C95">
        <w:rPr>
          <w:iCs/>
          <w:lang w:bidi="en-US"/>
        </w:rPr>
        <w:t xml:space="preserve"> alone on intestinal bacterial groups</w:t>
      </w:r>
    </w:p>
    <w:tbl>
      <w:tblPr>
        <w:tblStyle w:val="PlainTable2"/>
        <w:tblW w:w="13887" w:type="dxa"/>
        <w:tblLook w:val="04A0" w:firstRow="1" w:lastRow="0" w:firstColumn="1" w:lastColumn="0" w:noHBand="0" w:noVBand="1"/>
      </w:tblPr>
      <w:tblGrid>
        <w:gridCol w:w="1950"/>
        <w:gridCol w:w="1615"/>
        <w:gridCol w:w="1803"/>
        <w:gridCol w:w="2749"/>
        <w:gridCol w:w="4360"/>
        <w:gridCol w:w="1410"/>
      </w:tblGrid>
      <w:tr w:rsidR="00F273F6" w:rsidRPr="00081042" w14:paraId="672C9262" w14:textId="77777777" w:rsidTr="00B94EF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5" w:type="dxa"/>
          </w:tcPr>
          <w:p w14:paraId="334369FE" w14:textId="77777777" w:rsidR="00F273F6" w:rsidRPr="00081042" w:rsidRDefault="00F273F6" w:rsidP="00081042">
            <w:pPr>
              <w:spacing w:before="240"/>
            </w:pPr>
            <w:r w:rsidRPr="00081042">
              <w:t>Daily dose of</w:t>
            </w:r>
          </w:p>
          <w:p w14:paraId="3C460F43" w14:textId="77777777" w:rsidR="00F273F6" w:rsidRPr="00081042" w:rsidRDefault="00F273F6" w:rsidP="00081042">
            <w:pPr>
              <w:spacing w:before="240"/>
            </w:pPr>
            <w:r w:rsidRPr="00081042">
              <w:rPr>
                <w:i/>
                <w:iCs/>
              </w:rPr>
              <w:t>B. lactis</w:t>
            </w:r>
            <w:r w:rsidRPr="00081042">
              <w:t xml:space="preserve"> HN019™ (CFU) and Duration of supplementation</w:t>
            </w:r>
          </w:p>
        </w:tc>
        <w:tc>
          <w:tcPr>
            <w:tcW w:w="1676" w:type="dxa"/>
          </w:tcPr>
          <w:p w14:paraId="66C45CF2" w14:textId="77777777" w:rsidR="00F273F6" w:rsidRPr="00081042" w:rsidRDefault="00F273F6" w:rsidP="00081042">
            <w:pPr>
              <w:spacing w:before="240"/>
              <w:cnfStyle w:val="100000000000" w:firstRow="1" w:lastRow="0" w:firstColumn="0" w:lastColumn="0" w:oddVBand="0" w:evenVBand="0" w:oddHBand="0" w:evenHBand="0" w:firstRowFirstColumn="0" w:firstRowLastColumn="0" w:lastRowFirstColumn="0" w:lastRowLastColumn="0"/>
            </w:pPr>
            <w:r w:rsidRPr="00081042">
              <w:t xml:space="preserve">Subjects receiving products containing </w:t>
            </w:r>
            <w:r w:rsidRPr="00081042">
              <w:rPr>
                <w:i/>
                <w:iCs/>
              </w:rPr>
              <w:t>B. lactis</w:t>
            </w:r>
            <w:r w:rsidRPr="00081042">
              <w:t xml:space="preserve"> HN019™ (N)</w:t>
            </w:r>
          </w:p>
        </w:tc>
        <w:tc>
          <w:tcPr>
            <w:tcW w:w="1606" w:type="dxa"/>
          </w:tcPr>
          <w:p w14:paraId="162EA76D" w14:textId="77777777" w:rsidR="00F273F6" w:rsidRPr="00081042" w:rsidRDefault="00F273F6" w:rsidP="00081042">
            <w:pPr>
              <w:spacing w:before="240"/>
              <w:cnfStyle w:val="100000000000" w:firstRow="1" w:lastRow="0" w:firstColumn="0" w:lastColumn="0" w:oddVBand="0" w:evenVBand="0" w:oddHBand="0" w:evenHBand="0" w:firstRowFirstColumn="0" w:firstRowLastColumn="0" w:lastRowFirstColumn="0" w:lastRowLastColumn="0"/>
            </w:pPr>
            <w:r w:rsidRPr="00081042">
              <w:t>Age of subjects (median/mean, years)</w:t>
            </w:r>
          </w:p>
        </w:tc>
        <w:tc>
          <w:tcPr>
            <w:tcW w:w="2560" w:type="dxa"/>
          </w:tcPr>
          <w:p w14:paraId="16D9CF93" w14:textId="77777777" w:rsidR="00F273F6" w:rsidRPr="00081042" w:rsidRDefault="00F273F6" w:rsidP="00081042">
            <w:pPr>
              <w:spacing w:before="240"/>
              <w:cnfStyle w:val="100000000000" w:firstRow="1" w:lastRow="0" w:firstColumn="0" w:lastColumn="0" w:oddVBand="0" w:evenVBand="0" w:oddHBand="0" w:evenHBand="0" w:firstRowFirstColumn="0" w:firstRowLastColumn="0" w:lastRowFirstColumn="0" w:lastRowLastColumn="0"/>
            </w:pPr>
            <w:r w:rsidRPr="00081042">
              <w:t xml:space="preserve">Technics used to assess intestinal microbiota </w:t>
            </w:r>
          </w:p>
        </w:tc>
        <w:tc>
          <w:tcPr>
            <w:tcW w:w="4666" w:type="dxa"/>
          </w:tcPr>
          <w:p w14:paraId="3CFCFF1D" w14:textId="77777777" w:rsidR="00F273F6" w:rsidRPr="00081042" w:rsidRDefault="00F273F6" w:rsidP="00081042">
            <w:pPr>
              <w:spacing w:before="240"/>
              <w:cnfStyle w:val="100000000000" w:firstRow="1" w:lastRow="0" w:firstColumn="0" w:lastColumn="0" w:oddVBand="0" w:evenVBand="0" w:oddHBand="0" w:evenHBand="0" w:firstRowFirstColumn="0" w:firstRowLastColumn="0" w:lastRowFirstColumn="0" w:lastRowLastColumn="0"/>
              <w:rPr>
                <w:lang w:val="fi-FI"/>
              </w:rPr>
            </w:pPr>
            <w:r w:rsidRPr="00081042">
              <w:rPr>
                <w:lang w:val="fi-FI"/>
              </w:rPr>
              <w:t>Effects on intestinal microbiota</w:t>
            </w:r>
          </w:p>
        </w:tc>
        <w:tc>
          <w:tcPr>
            <w:tcW w:w="1424" w:type="dxa"/>
          </w:tcPr>
          <w:p w14:paraId="50D3C4AA" w14:textId="77777777" w:rsidR="00F273F6" w:rsidRPr="00081042" w:rsidRDefault="00F273F6" w:rsidP="00081042">
            <w:pPr>
              <w:spacing w:before="240"/>
              <w:cnfStyle w:val="100000000000" w:firstRow="1" w:lastRow="0" w:firstColumn="0" w:lastColumn="0" w:oddVBand="0" w:evenVBand="0" w:oddHBand="0" w:evenHBand="0" w:firstRowFirstColumn="0" w:firstRowLastColumn="0" w:lastRowFirstColumn="0" w:lastRowLastColumn="0"/>
              <w:rPr>
                <w:lang w:val="fi-FI"/>
              </w:rPr>
            </w:pPr>
            <w:r w:rsidRPr="00081042">
              <w:rPr>
                <w:lang w:val="fi-FI"/>
              </w:rPr>
              <w:t>Reference</w:t>
            </w:r>
          </w:p>
        </w:tc>
      </w:tr>
      <w:tr w:rsidR="00F273F6" w:rsidRPr="00081042" w14:paraId="363E4B48" w14:textId="77777777" w:rsidTr="00B94E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5" w:type="dxa"/>
          </w:tcPr>
          <w:p w14:paraId="33F8B7A2" w14:textId="77777777" w:rsidR="00F273F6" w:rsidRPr="00081042" w:rsidRDefault="00F273F6" w:rsidP="00081042">
            <w:pPr>
              <w:spacing w:before="240"/>
              <w:rPr>
                <w:vertAlign w:val="superscript"/>
              </w:rPr>
            </w:pPr>
            <w:r w:rsidRPr="00081042">
              <w:t>9×10</w:t>
            </w:r>
            <w:r w:rsidRPr="00081042">
              <w:rPr>
                <w:vertAlign w:val="superscript"/>
              </w:rPr>
              <w:t>9</w:t>
            </w:r>
          </w:p>
          <w:p w14:paraId="67A98942" w14:textId="77777777" w:rsidR="00F273F6" w:rsidRPr="00081042" w:rsidRDefault="00F273F6" w:rsidP="00081042">
            <w:pPr>
              <w:spacing w:before="240"/>
            </w:pPr>
            <w:r w:rsidRPr="00081042">
              <w:t>mothers (from 35 weeks gestation until 6 months post-partum if breastfeeding) and infants (from birth to 2 years) received intervention</w:t>
            </w:r>
          </w:p>
        </w:tc>
        <w:tc>
          <w:tcPr>
            <w:tcW w:w="1676" w:type="dxa"/>
          </w:tcPr>
          <w:p w14:paraId="6E0386C9" w14:textId="77777777" w:rsidR="00F273F6" w:rsidRPr="00081042" w:rsidRDefault="00F273F6" w:rsidP="00081042">
            <w:pPr>
              <w:spacing w:before="240"/>
              <w:cnfStyle w:val="000000100000" w:firstRow="0" w:lastRow="0" w:firstColumn="0" w:lastColumn="0" w:oddVBand="0" w:evenVBand="0" w:oddHBand="1" w:evenHBand="0" w:firstRowFirstColumn="0" w:firstRowLastColumn="0" w:lastRowFirstColumn="0" w:lastRowLastColumn="0"/>
              <w:rPr>
                <w:bCs/>
              </w:rPr>
            </w:pPr>
            <w:r w:rsidRPr="00081042">
              <w:rPr>
                <w:bCs/>
              </w:rPr>
              <w:t>50 samples without eczema or early antibiotic use</w:t>
            </w:r>
          </w:p>
          <w:p w14:paraId="1856B6BF" w14:textId="77777777" w:rsidR="00F273F6" w:rsidRPr="00081042" w:rsidRDefault="00F273F6" w:rsidP="00081042">
            <w:pPr>
              <w:spacing w:before="240"/>
              <w:cnfStyle w:val="000000100000" w:firstRow="0" w:lastRow="0" w:firstColumn="0" w:lastColumn="0" w:oddVBand="0" w:evenVBand="0" w:oddHBand="1" w:evenHBand="0" w:firstRowFirstColumn="0" w:firstRowLastColumn="0" w:lastRowFirstColumn="0" w:lastRowLastColumn="0"/>
              <w:rPr>
                <w:bCs/>
              </w:rPr>
            </w:pPr>
          </w:p>
          <w:p w14:paraId="51AD7C40" w14:textId="77777777" w:rsidR="00F273F6" w:rsidRPr="00081042" w:rsidRDefault="00F273F6" w:rsidP="00081042">
            <w:pPr>
              <w:spacing w:before="240"/>
              <w:cnfStyle w:val="000000100000" w:firstRow="0" w:lastRow="0" w:firstColumn="0" w:lastColumn="0" w:oddVBand="0" w:evenVBand="0" w:oddHBand="1" w:evenHBand="0" w:firstRowFirstColumn="0" w:firstRowLastColumn="0" w:lastRowFirstColumn="0" w:lastRowLastColumn="0"/>
              <w:rPr>
                <w:bCs/>
              </w:rPr>
            </w:pPr>
            <w:r w:rsidRPr="00081042">
              <w:rPr>
                <w:bCs/>
              </w:rPr>
              <w:t xml:space="preserve">Infants at risk for allergic diseases, such as asthma, </w:t>
            </w:r>
            <w:proofErr w:type="gramStart"/>
            <w:r w:rsidRPr="00081042">
              <w:rPr>
                <w:bCs/>
              </w:rPr>
              <w:lastRenderedPageBreak/>
              <w:t>eczema</w:t>
            </w:r>
            <w:proofErr w:type="gramEnd"/>
            <w:r w:rsidRPr="00081042">
              <w:rPr>
                <w:bCs/>
              </w:rPr>
              <w:t xml:space="preserve"> and hay fever</w:t>
            </w:r>
          </w:p>
        </w:tc>
        <w:tc>
          <w:tcPr>
            <w:tcW w:w="1606" w:type="dxa"/>
          </w:tcPr>
          <w:p w14:paraId="07848C4E" w14:textId="77777777" w:rsidR="00F273F6" w:rsidRPr="00081042" w:rsidRDefault="00F273F6" w:rsidP="00081042">
            <w:pPr>
              <w:spacing w:before="240"/>
              <w:cnfStyle w:val="000000100000" w:firstRow="0" w:lastRow="0" w:firstColumn="0" w:lastColumn="0" w:oddVBand="0" w:evenVBand="0" w:oddHBand="1" w:evenHBand="0" w:firstRowFirstColumn="0" w:firstRowLastColumn="0" w:lastRowFirstColumn="0" w:lastRowLastColumn="0"/>
              <w:rPr>
                <w:bCs/>
              </w:rPr>
            </w:pPr>
            <w:r w:rsidRPr="00081042">
              <w:rPr>
                <w:bCs/>
              </w:rPr>
              <w:lastRenderedPageBreak/>
              <w:t xml:space="preserve">Median age of 6 days after birth for infants to start supplementation </w:t>
            </w:r>
          </w:p>
          <w:p w14:paraId="030732C7" w14:textId="77777777" w:rsidR="00F273F6" w:rsidRPr="00081042" w:rsidRDefault="00F273F6" w:rsidP="00081042">
            <w:pPr>
              <w:spacing w:before="240"/>
              <w:cnfStyle w:val="000000100000" w:firstRow="0" w:lastRow="0" w:firstColumn="0" w:lastColumn="0" w:oddVBand="0" w:evenVBand="0" w:oddHBand="1" w:evenHBand="0" w:firstRowFirstColumn="0" w:firstRowLastColumn="0" w:lastRowFirstColumn="0" w:lastRowLastColumn="0"/>
              <w:rPr>
                <w:b/>
                <w:bCs/>
              </w:rPr>
            </w:pPr>
          </w:p>
        </w:tc>
        <w:tc>
          <w:tcPr>
            <w:tcW w:w="2560" w:type="dxa"/>
          </w:tcPr>
          <w:p w14:paraId="4633B6BD" w14:textId="77777777" w:rsidR="00F273F6" w:rsidRPr="00081042" w:rsidRDefault="00F273F6" w:rsidP="00081042">
            <w:pPr>
              <w:spacing w:before="240"/>
              <w:cnfStyle w:val="000000100000" w:firstRow="0" w:lastRow="0" w:firstColumn="0" w:lastColumn="0" w:oddVBand="0" w:evenVBand="0" w:oddHBand="1" w:evenHBand="0" w:firstRowFirstColumn="0" w:firstRowLastColumn="0" w:lastRowFirstColumn="0" w:lastRowLastColumn="0"/>
              <w:rPr>
                <w:bCs/>
              </w:rPr>
            </w:pPr>
            <w:r w:rsidRPr="00081042">
              <w:rPr>
                <w:bCs/>
              </w:rPr>
              <w:t xml:space="preserve">Metagenomics </w:t>
            </w:r>
          </w:p>
        </w:tc>
        <w:tc>
          <w:tcPr>
            <w:tcW w:w="4666" w:type="dxa"/>
          </w:tcPr>
          <w:p w14:paraId="48F63E37" w14:textId="77777777" w:rsidR="00F273F6" w:rsidRPr="00081042" w:rsidRDefault="00F273F6" w:rsidP="00081042">
            <w:pPr>
              <w:spacing w:before="240"/>
              <w:cnfStyle w:val="000000100000" w:firstRow="0" w:lastRow="0" w:firstColumn="0" w:lastColumn="0" w:oddVBand="0" w:evenVBand="0" w:oddHBand="1" w:evenHBand="0" w:firstRowFirstColumn="0" w:firstRowLastColumn="0" w:lastRowFirstColumn="0" w:lastRowLastColumn="0"/>
              <w:rPr>
                <w:bCs/>
              </w:rPr>
            </w:pPr>
            <w:r w:rsidRPr="00081042">
              <w:rPr>
                <w:bCs/>
              </w:rPr>
              <w:t>-</w:t>
            </w:r>
            <w:r w:rsidRPr="00081042">
              <w:rPr>
                <w:bCs/>
                <w:i/>
                <w:iCs/>
              </w:rPr>
              <w:t xml:space="preserve"> B. lactis</w:t>
            </w:r>
            <w:r w:rsidRPr="00081042">
              <w:rPr>
                <w:bCs/>
              </w:rPr>
              <w:t xml:space="preserve"> HN019™ supplementation does not have any effects on clinical endpoints</w:t>
            </w:r>
          </w:p>
          <w:p w14:paraId="29BD8E63" w14:textId="77777777" w:rsidR="00F273F6" w:rsidRPr="00081042" w:rsidRDefault="00F273F6" w:rsidP="00081042">
            <w:pPr>
              <w:spacing w:before="240"/>
              <w:cnfStyle w:val="000000100000" w:firstRow="0" w:lastRow="0" w:firstColumn="0" w:lastColumn="0" w:oddVBand="0" w:evenVBand="0" w:oddHBand="1" w:evenHBand="0" w:firstRowFirstColumn="0" w:firstRowLastColumn="0" w:lastRowFirstColumn="0" w:lastRowLastColumn="0"/>
              <w:rPr>
                <w:bCs/>
              </w:rPr>
            </w:pPr>
            <w:r w:rsidRPr="00081042">
              <w:rPr>
                <w:bCs/>
              </w:rPr>
              <w:t xml:space="preserve">- </w:t>
            </w:r>
            <w:r w:rsidRPr="00081042">
              <w:rPr>
                <w:bCs/>
                <w:i/>
                <w:iCs/>
              </w:rPr>
              <w:t>B. lactis</w:t>
            </w:r>
            <w:r w:rsidRPr="00081042">
              <w:rPr>
                <w:bCs/>
              </w:rPr>
              <w:t xml:space="preserve">: observed in all arms, but significantly more abundant in </w:t>
            </w:r>
            <w:r w:rsidRPr="00081042">
              <w:rPr>
                <w:bCs/>
                <w:i/>
                <w:iCs/>
              </w:rPr>
              <w:t>B. lactis</w:t>
            </w:r>
            <w:r w:rsidRPr="00081042">
              <w:rPr>
                <w:bCs/>
              </w:rPr>
              <w:t xml:space="preserve"> HN019™ arm at all timepoints (birth, 3 months, 12 months and 24 months) (readily detected in the stool when administered in early life, but did not otherwise alter the diversity or overall composition of the gut microbiota in these children).</w:t>
            </w:r>
          </w:p>
        </w:tc>
        <w:tc>
          <w:tcPr>
            <w:tcW w:w="1424" w:type="dxa"/>
          </w:tcPr>
          <w:p w14:paraId="680C2D9A" w14:textId="77777777" w:rsidR="00F273F6" w:rsidRPr="00081042" w:rsidRDefault="00F273F6" w:rsidP="00081042">
            <w:pPr>
              <w:spacing w:before="240"/>
              <w:cnfStyle w:val="000000100000" w:firstRow="0" w:lastRow="0" w:firstColumn="0" w:lastColumn="0" w:oddVBand="0" w:evenVBand="0" w:oddHBand="1" w:evenHBand="0" w:firstRowFirstColumn="0" w:firstRowLastColumn="0" w:lastRowFirstColumn="0" w:lastRowLastColumn="0"/>
              <w:rPr>
                <w:bCs/>
                <w:lang w:val="fi-FI"/>
              </w:rPr>
            </w:pPr>
            <w:r w:rsidRPr="00081042">
              <w:rPr>
                <w:bCs/>
                <w:lang w:val="fi-FI"/>
              </w:rPr>
              <w:t>(Murphy et al., 2019)</w:t>
            </w:r>
          </w:p>
        </w:tc>
      </w:tr>
      <w:tr w:rsidR="00F273F6" w:rsidRPr="00870494" w14:paraId="06227E09" w14:textId="77777777" w:rsidTr="00B94EFE">
        <w:trPr>
          <w:trHeight w:val="296"/>
        </w:trPr>
        <w:tc>
          <w:tcPr>
            <w:cnfStyle w:val="001000000000" w:firstRow="0" w:lastRow="0" w:firstColumn="1" w:lastColumn="0" w:oddVBand="0" w:evenVBand="0" w:oddHBand="0" w:evenHBand="0" w:firstRowFirstColumn="0" w:firstRowLastColumn="0" w:lastRowFirstColumn="0" w:lastRowLastColumn="0"/>
            <w:tcW w:w="1955" w:type="dxa"/>
            <w:vMerge w:val="restart"/>
          </w:tcPr>
          <w:p w14:paraId="0EDAD6EF" w14:textId="77777777" w:rsidR="00F273F6" w:rsidRPr="00081042" w:rsidRDefault="00F273F6" w:rsidP="00081042">
            <w:pPr>
              <w:spacing w:before="240"/>
              <w:rPr>
                <w:vertAlign w:val="superscript"/>
                <w:lang w:val="fi-FI"/>
              </w:rPr>
            </w:pPr>
            <w:r w:rsidRPr="00081042">
              <w:rPr>
                <w:lang w:val="fi-FI"/>
              </w:rPr>
              <w:t>5x10</w:t>
            </w:r>
            <w:r w:rsidRPr="00081042">
              <w:rPr>
                <w:vertAlign w:val="superscript"/>
                <w:lang w:val="fi-FI"/>
              </w:rPr>
              <w:t>9</w:t>
            </w:r>
          </w:p>
          <w:p w14:paraId="7C745720" w14:textId="77777777" w:rsidR="00F273F6" w:rsidRPr="00081042" w:rsidRDefault="00F273F6" w:rsidP="00081042">
            <w:pPr>
              <w:spacing w:before="240"/>
              <w:rPr>
                <w:lang w:val="fi-FI"/>
              </w:rPr>
            </w:pPr>
            <w:r w:rsidRPr="00081042">
              <w:rPr>
                <w:lang w:val="fi-FI"/>
              </w:rPr>
              <w:t>9 months</w:t>
            </w:r>
          </w:p>
        </w:tc>
        <w:tc>
          <w:tcPr>
            <w:tcW w:w="1676" w:type="dxa"/>
            <w:vMerge w:val="restart"/>
          </w:tcPr>
          <w:p w14:paraId="163F71B2" w14:textId="77777777" w:rsidR="00F273F6" w:rsidRPr="00081042" w:rsidRDefault="00F273F6" w:rsidP="00081042">
            <w:pPr>
              <w:spacing w:before="240"/>
              <w:cnfStyle w:val="000000000000" w:firstRow="0" w:lastRow="0" w:firstColumn="0" w:lastColumn="0" w:oddVBand="0" w:evenVBand="0" w:oddHBand="0" w:evenHBand="0" w:firstRowFirstColumn="0" w:firstRowLastColumn="0" w:lastRowFirstColumn="0" w:lastRowLastColumn="0"/>
              <w:rPr>
                <w:bCs/>
              </w:rPr>
            </w:pPr>
            <w:r w:rsidRPr="00081042">
              <w:rPr>
                <w:bCs/>
              </w:rPr>
              <w:t xml:space="preserve">130 </w:t>
            </w:r>
          </w:p>
          <w:p w14:paraId="1AF971F0" w14:textId="77777777" w:rsidR="00F273F6" w:rsidRPr="00081042" w:rsidRDefault="00F273F6" w:rsidP="00081042">
            <w:pPr>
              <w:spacing w:before="240"/>
              <w:cnfStyle w:val="000000000000" w:firstRow="0" w:lastRow="0" w:firstColumn="0" w:lastColumn="0" w:oddVBand="0" w:evenVBand="0" w:oddHBand="0" w:evenHBand="0" w:firstRowFirstColumn="0" w:firstRowLastColumn="0" w:lastRowFirstColumn="0" w:lastRowLastColumn="0"/>
              <w:rPr>
                <w:bCs/>
                <w:lang w:val="fi-FI"/>
              </w:rPr>
            </w:pPr>
          </w:p>
          <w:p w14:paraId="6E94C778" w14:textId="77777777" w:rsidR="00F273F6" w:rsidRPr="00081042" w:rsidRDefault="00F273F6" w:rsidP="00081042">
            <w:pPr>
              <w:spacing w:before="240"/>
              <w:cnfStyle w:val="000000000000" w:firstRow="0" w:lastRow="0" w:firstColumn="0" w:lastColumn="0" w:oddVBand="0" w:evenVBand="0" w:oddHBand="0" w:evenHBand="0" w:firstRowFirstColumn="0" w:firstRowLastColumn="0" w:lastRowFirstColumn="0" w:lastRowLastColumn="0"/>
              <w:rPr>
                <w:bCs/>
                <w:lang w:val="fi-FI"/>
              </w:rPr>
            </w:pPr>
            <w:r w:rsidRPr="00081042">
              <w:rPr>
                <w:bCs/>
                <w:lang w:val="fi-FI"/>
              </w:rPr>
              <w:t>Healthy preschool children</w:t>
            </w:r>
          </w:p>
        </w:tc>
        <w:tc>
          <w:tcPr>
            <w:tcW w:w="1606" w:type="dxa"/>
            <w:vMerge w:val="restart"/>
          </w:tcPr>
          <w:p w14:paraId="5CB54B24" w14:textId="77777777" w:rsidR="00F273F6" w:rsidRPr="00081042" w:rsidRDefault="00F273F6" w:rsidP="00081042">
            <w:pPr>
              <w:spacing w:before="240"/>
              <w:cnfStyle w:val="000000000000" w:firstRow="0" w:lastRow="0" w:firstColumn="0" w:lastColumn="0" w:oddVBand="0" w:evenVBand="0" w:oddHBand="0" w:evenHBand="0" w:firstRowFirstColumn="0" w:firstRowLastColumn="0" w:lastRowFirstColumn="0" w:lastRowLastColumn="0"/>
              <w:rPr>
                <w:bCs/>
                <w:lang w:val="fi-FI"/>
              </w:rPr>
            </w:pPr>
            <w:r w:rsidRPr="00081042">
              <w:rPr>
                <w:bCs/>
                <w:lang w:val="fi-FI"/>
              </w:rPr>
              <w:t>2-4 (38 months)</w:t>
            </w:r>
          </w:p>
        </w:tc>
        <w:tc>
          <w:tcPr>
            <w:tcW w:w="2560" w:type="dxa"/>
          </w:tcPr>
          <w:p w14:paraId="32108A5B" w14:textId="77777777" w:rsidR="00F273F6" w:rsidRPr="00081042" w:rsidRDefault="00F273F6" w:rsidP="00081042">
            <w:pPr>
              <w:spacing w:before="240"/>
              <w:cnfStyle w:val="000000000000" w:firstRow="0" w:lastRow="0" w:firstColumn="0" w:lastColumn="0" w:oddVBand="0" w:evenVBand="0" w:oddHBand="0" w:evenHBand="0" w:firstRowFirstColumn="0" w:firstRowLastColumn="0" w:lastRowFirstColumn="0" w:lastRowLastColumn="0"/>
              <w:rPr>
                <w:bCs/>
              </w:rPr>
            </w:pPr>
            <w:proofErr w:type="spellStart"/>
            <w:r w:rsidRPr="00081042">
              <w:rPr>
                <w:bCs/>
              </w:rPr>
              <w:t>bifidobacteria</w:t>
            </w:r>
            <w:proofErr w:type="spellEnd"/>
            <w:r w:rsidRPr="00081042">
              <w:rPr>
                <w:bCs/>
              </w:rPr>
              <w:t xml:space="preserve">/lactobacilli: cultivation on </w:t>
            </w:r>
            <w:proofErr w:type="spellStart"/>
            <w:r w:rsidRPr="00081042">
              <w:rPr>
                <w:bCs/>
              </w:rPr>
              <w:t>Beeren’s</w:t>
            </w:r>
            <w:proofErr w:type="spellEnd"/>
            <w:r w:rsidRPr="00081042">
              <w:rPr>
                <w:bCs/>
              </w:rPr>
              <w:t xml:space="preserve"> medium</w:t>
            </w:r>
          </w:p>
        </w:tc>
        <w:tc>
          <w:tcPr>
            <w:tcW w:w="4666" w:type="dxa"/>
            <w:vMerge w:val="restart"/>
          </w:tcPr>
          <w:p w14:paraId="3F989C93" w14:textId="77777777" w:rsidR="00F273F6" w:rsidRPr="00081042" w:rsidRDefault="00F273F6" w:rsidP="00081042">
            <w:pPr>
              <w:spacing w:before="240"/>
              <w:cnfStyle w:val="000000000000" w:firstRow="0" w:lastRow="0" w:firstColumn="0" w:lastColumn="0" w:oddVBand="0" w:evenVBand="0" w:oddHBand="0" w:evenHBand="0" w:firstRowFirstColumn="0" w:firstRowLastColumn="0" w:lastRowFirstColumn="0" w:lastRowLastColumn="0"/>
              <w:rPr>
                <w:bCs/>
              </w:rPr>
            </w:pPr>
            <w:r w:rsidRPr="00081042">
              <w:rPr>
                <w:bCs/>
              </w:rPr>
              <w:t>-</w:t>
            </w:r>
            <w:proofErr w:type="spellStart"/>
            <w:r w:rsidRPr="00081042">
              <w:rPr>
                <w:bCs/>
              </w:rPr>
              <w:t>bifidobacteria</w:t>
            </w:r>
            <w:proofErr w:type="spellEnd"/>
            <w:r w:rsidRPr="00081042">
              <w:rPr>
                <w:bCs/>
              </w:rPr>
              <w:t>/lactobacilli: no significant difference in treatment vs. control</w:t>
            </w:r>
          </w:p>
          <w:p w14:paraId="5CBB933C" w14:textId="77777777" w:rsidR="00F273F6" w:rsidRPr="00081042" w:rsidRDefault="00F273F6" w:rsidP="00081042">
            <w:pPr>
              <w:spacing w:before="240"/>
              <w:cnfStyle w:val="000000000000" w:firstRow="0" w:lastRow="0" w:firstColumn="0" w:lastColumn="0" w:oddVBand="0" w:evenVBand="0" w:oddHBand="0" w:evenHBand="0" w:firstRowFirstColumn="0" w:firstRowLastColumn="0" w:lastRowFirstColumn="0" w:lastRowLastColumn="0"/>
              <w:rPr>
                <w:bCs/>
              </w:rPr>
            </w:pPr>
            <w:r w:rsidRPr="00081042">
              <w:rPr>
                <w:bCs/>
                <w:i/>
                <w:iCs/>
              </w:rPr>
              <w:t>-B. lactis</w:t>
            </w:r>
            <w:r w:rsidRPr="00081042">
              <w:rPr>
                <w:bCs/>
              </w:rPr>
              <w:t xml:space="preserve"> was not observed in placebo via culturing/qPCR, but can be recovered live in most of the children consumed </w:t>
            </w:r>
            <w:r w:rsidRPr="00081042">
              <w:rPr>
                <w:bCs/>
                <w:i/>
                <w:iCs/>
              </w:rPr>
              <w:t>B. lactis</w:t>
            </w:r>
            <w:r w:rsidRPr="00081042">
              <w:rPr>
                <w:bCs/>
              </w:rPr>
              <w:t xml:space="preserve"> HN019™ and detected in all treated subjects via qPCR</w:t>
            </w:r>
          </w:p>
          <w:p w14:paraId="230C4ADA" w14:textId="77777777" w:rsidR="00F273F6" w:rsidRPr="00081042" w:rsidRDefault="00F273F6" w:rsidP="00081042">
            <w:pPr>
              <w:spacing w:before="240"/>
              <w:cnfStyle w:val="000000000000" w:firstRow="0" w:lastRow="0" w:firstColumn="0" w:lastColumn="0" w:oddVBand="0" w:evenVBand="0" w:oddHBand="0" w:evenHBand="0" w:firstRowFirstColumn="0" w:firstRowLastColumn="0" w:lastRowFirstColumn="0" w:lastRowLastColumn="0"/>
              <w:rPr>
                <w:bCs/>
              </w:rPr>
            </w:pPr>
            <w:r w:rsidRPr="00081042">
              <w:rPr>
                <w:bCs/>
              </w:rPr>
              <w:t>-</w:t>
            </w:r>
            <w:r w:rsidRPr="00081042">
              <w:rPr>
                <w:bCs/>
                <w:i/>
                <w:iCs/>
              </w:rPr>
              <w:t>B. lactis</w:t>
            </w:r>
            <w:r w:rsidRPr="00081042">
              <w:rPr>
                <w:bCs/>
              </w:rPr>
              <w:t xml:space="preserve"> was also significantly higher in the arm supplemented with </w:t>
            </w:r>
            <w:r w:rsidRPr="00081042">
              <w:rPr>
                <w:bCs/>
                <w:i/>
                <w:iCs/>
              </w:rPr>
              <w:t>B. lactis</w:t>
            </w:r>
            <w:r w:rsidRPr="00081042">
              <w:rPr>
                <w:bCs/>
              </w:rPr>
              <w:t xml:space="preserve"> HN019™ at the end of 6 months</w:t>
            </w:r>
          </w:p>
        </w:tc>
        <w:tc>
          <w:tcPr>
            <w:tcW w:w="1424" w:type="dxa"/>
            <w:vMerge w:val="restart"/>
          </w:tcPr>
          <w:p w14:paraId="29A04FCF" w14:textId="606831A8" w:rsidR="00F273F6" w:rsidRPr="00081042" w:rsidRDefault="00F273F6" w:rsidP="00081042">
            <w:pPr>
              <w:spacing w:before="240"/>
              <w:cnfStyle w:val="000000000000" w:firstRow="0" w:lastRow="0" w:firstColumn="0" w:lastColumn="0" w:oddVBand="0" w:evenVBand="0" w:oddHBand="0" w:evenHBand="0" w:firstRowFirstColumn="0" w:firstRowLastColumn="0" w:lastRowFirstColumn="0" w:lastRowLastColumn="0"/>
              <w:rPr>
                <w:bCs/>
                <w:lang w:val="fi-FI"/>
              </w:rPr>
            </w:pPr>
            <w:r w:rsidRPr="00081042">
              <w:rPr>
                <w:bCs/>
                <w:lang w:val="fi-FI"/>
              </w:rPr>
              <w:t>(Hemalatha et al., 2014</w:t>
            </w:r>
            <w:r w:rsidR="00870494">
              <w:rPr>
                <w:bCs/>
                <w:lang w:val="fi-FI"/>
              </w:rPr>
              <w:t>; Hemalatha et al., 2017</w:t>
            </w:r>
            <w:r w:rsidRPr="00081042">
              <w:rPr>
                <w:bCs/>
                <w:lang w:val="fi-FI"/>
              </w:rPr>
              <w:t>)</w:t>
            </w:r>
          </w:p>
        </w:tc>
      </w:tr>
      <w:tr w:rsidR="00F273F6" w:rsidRPr="00081042" w14:paraId="68BF927E" w14:textId="77777777" w:rsidTr="00B94EFE">
        <w:trPr>
          <w:cnfStyle w:val="000000100000" w:firstRow="0" w:lastRow="0" w:firstColumn="0" w:lastColumn="0" w:oddVBand="0" w:evenVBand="0" w:oddHBand="1" w:evenHBand="0" w:firstRowFirstColumn="0" w:firstRowLastColumn="0" w:lastRowFirstColumn="0" w:lastRowLastColumn="0"/>
          <w:trHeight w:val="236"/>
        </w:trPr>
        <w:tc>
          <w:tcPr>
            <w:cnfStyle w:val="001000000000" w:firstRow="0" w:lastRow="0" w:firstColumn="1" w:lastColumn="0" w:oddVBand="0" w:evenVBand="0" w:oddHBand="0" w:evenHBand="0" w:firstRowFirstColumn="0" w:firstRowLastColumn="0" w:lastRowFirstColumn="0" w:lastRowLastColumn="0"/>
            <w:tcW w:w="1955" w:type="dxa"/>
            <w:vMerge/>
          </w:tcPr>
          <w:p w14:paraId="7449DDD5" w14:textId="77777777" w:rsidR="00F273F6" w:rsidRPr="00081042" w:rsidRDefault="00F273F6" w:rsidP="00081042">
            <w:pPr>
              <w:spacing w:before="240"/>
              <w:rPr>
                <w:lang w:val="fi-FI"/>
              </w:rPr>
            </w:pPr>
          </w:p>
        </w:tc>
        <w:tc>
          <w:tcPr>
            <w:tcW w:w="1676" w:type="dxa"/>
            <w:vMerge/>
          </w:tcPr>
          <w:p w14:paraId="50D027EB" w14:textId="77777777" w:rsidR="00F273F6" w:rsidRPr="00081042" w:rsidRDefault="00F273F6" w:rsidP="00081042">
            <w:pPr>
              <w:spacing w:before="240"/>
              <w:cnfStyle w:val="000000100000" w:firstRow="0" w:lastRow="0" w:firstColumn="0" w:lastColumn="0" w:oddVBand="0" w:evenVBand="0" w:oddHBand="1" w:evenHBand="0" w:firstRowFirstColumn="0" w:firstRowLastColumn="0" w:lastRowFirstColumn="0" w:lastRowLastColumn="0"/>
              <w:rPr>
                <w:bCs/>
                <w:lang w:val="fi-FI"/>
              </w:rPr>
            </w:pPr>
          </w:p>
        </w:tc>
        <w:tc>
          <w:tcPr>
            <w:tcW w:w="1606" w:type="dxa"/>
            <w:vMerge/>
          </w:tcPr>
          <w:p w14:paraId="5C983FCE" w14:textId="77777777" w:rsidR="00F273F6" w:rsidRPr="00081042" w:rsidRDefault="00F273F6" w:rsidP="00081042">
            <w:pPr>
              <w:spacing w:before="240"/>
              <w:cnfStyle w:val="000000100000" w:firstRow="0" w:lastRow="0" w:firstColumn="0" w:lastColumn="0" w:oddVBand="0" w:evenVBand="0" w:oddHBand="1" w:evenHBand="0" w:firstRowFirstColumn="0" w:firstRowLastColumn="0" w:lastRowFirstColumn="0" w:lastRowLastColumn="0"/>
              <w:rPr>
                <w:bCs/>
                <w:lang w:val="fi-FI"/>
              </w:rPr>
            </w:pPr>
          </w:p>
        </w:tc>
        <w:tc>
          <w:tcPr>
            <w:tcW w:w="2560" w:type="dxa"/>
          </w:tcPr>
          <w:p w14:paraId="57D4AF15" w14:textId="77777777" w:rsidR="00F273F6" w:rsidRPr="00081042" w:rsidRDefault="00F273F6" w:rsidP="00081042">
            <w:pPr>
              <w:spacing w:before="240"/>
              <w:cnfStyle w:val="000000100000" w:firstRow="0" w:lastRow="0" w:firstColumn="0" w:lastColumn="0" w:oddVBand="0" w:evenVBand="0" w:oddHBand="1" w:evenHBand="0" w:firstRowFirstColumn="0" w:firstRowLastColumn="0" w:lastRowFirstColumn="0" w:lastRowLastColumn="0"/>
              <w:rPr>
                <w:bCs/>
                <w:lang w:val="fi-FI"/>
              </w:rPr>
            </w:pPr>
            <w:r w:rsidRPr="00081042">
              <w:rPr>
                <w:bCs/>
                <w:i/>
                <w:iCs/>
              </w:rPr>
              <w:t xml:space="preserve">Bifidobacterium spp.: </w:t>
            </w:r>
            <w:r w:rsidRPr="00081042">
              <w:rPr>
                <w:bCs/>
              </w:rPr>
              <w:t>qPCR</w:t>
            </w:r>
          </w:p>
        </w:tc>
        <w:tc>
          <w:tcPr>
            <w:tcW w:w="4666" w:type="dxa"/>
            <w:vMerge/>
          </w:tcPr>
          <w:p w14:paraId="154D8C07" w14:textId="77777777" w:rsidR="00F273F6" w:rsidRPr="00081042" w:rsidRDefault="00F273F6" w:rsidP="00081042">
            <w:pPr>
              <w:spacing w:before="240"/>
              <w:cnfStyle w:val="000000100000" w:firstRow="0" w:lastRow="0" w:firstColumn="0" w:lastColumn="0" w:oddVBand="0" w:evenVBand="0" w:oddHBand="1" w:evenHBand="0" w:firstRowFirstColumn="0" w:firstRowLastColumn="0" w:lastRowFirstColumn="0" w:lastRowLastColumn="0"/>
              <w:rPr>
                <w:bCs/>
                <w:lang w:val="fi-FI"/>
              </w:rPr>
            </w:pPr>
          </w:p>
        </w:tc>
        <w:tc>
          <w:tcPr>
            <w:tcW w:w="1424" w:type="dxa"/>
            <w:vMerge/>
          </w:tcPr>
          <w:p w14:paraId="5B01A263" w14:textId="77777777" w:rsidR="00F273F6" w:rsidRPr="00081042" w:rsidRDefault="00F273F6" w:rsidP="00081042">
            <w:pPr>
              <w:spacing w:before="240"/>
              <w:cnfStyle w:val="000000100000" w:firstRow="0" w:lastRow="0" w:firstColumn="0" w:lastColumn="0" w:oddVBand="0" w:evenVBand="0" w:oddHBand="1" w:evenHBand="0" w:firstRowFirstColumn="0" w:firstRowLastColumn="0" w:lastRowFirstColumn="0" w:lastRowLastColumn="0"/>
              <w:rPr>
                <w:bCs/>
                <w:lang w:val="fi-FI"/>
              </w:rPr>
            </w:pPr>
          </w:p>
        </w:tc>
      </w:tr>
      <w:tr w:rsidR="00F273F6" w:rsidRPr="00081042" w14:paraId="75476862" w14:textId="77777777" w:rsidTr="00B94EFE">
        <w:trPr>
          <w:trHeight w:val="305"/>
        </w:trPr>
        <w:tc>
          <w:tcPr>
            <w:cnfStyle w:val="001000000000" w:firstRow="0" w:lastRow="0" w:firstColumn="1" w:lastColumn="0" w:oddVBand="0" w:evenVBand="0" w:oddHBand="0" w:evenHBand="0" w:firstRowFirstColumn="0" w:firstRowLastColumn="0" w:lastRowFirstColumn="0" w:lastRowLastColumn="0"/>
            <w:tcW w:w="1955" w:type="dxa"/>
            <w:vMerge/>
          </w:tcPr>
          <w:p w14:paraId="1863E682" w14:textId="77777777" w:rsidR="00F273F6" w:rsidRPr="00081042" w:rsidRDefault="00F273F6" w:rsidP="00081042">
            <w:pPr>
              <w:spacing w:before="240"/>
              <w:rPr>
                <w:lang w:val="fi-FI"/>
              </w:rPr>
            </w:pPr>
          </w:p>
        </w:tc>
        <w:tc>
          <w:tcPr>
            <w:tcW w:w="1676" w:type="dxa"/>
            <w:vMerge/>
          </w:tcPr>
          <w:p w14:paraId="4B8ED0EF" w14:textId="77777777" w:rsidR="00F273F6" w:rsidRPr="00081042" w:rsidRDefault="00F273F6" w:rsidP="00081042">
            <w:pPr>
              <w:spacing w:before="240"/>
              <w:cnfStyle w:val="000000000000" w:firstRow="0" w:lastRow="0" w:firstColumn="0" w:lastColumn="0" w:oddVBand="0" w:evenVBand="0" w:oddHBand="0" w:evenHBand="0" w:firstRowFirstColumn="0" w:firstRowLastColumn="0" w:lastRowFirstColumn="0" w:lastRowLastColumn="0"/>
              <w:rPr>
                <w:bCs/>
                <w:lang w:val="fi-FI"/>
              </w:rPr>
            </w:pPr>
          </w:p>
        </w:tc>
        <w:tc>
          <w:tcPr>
            <w:tcW w:w="1606" w:type="dxa"/>
            <w:vMerge/>
          </w:tcPr>
          <w:p w14:paraId="40F23425" w14:textId="77777777" w:rsidR="00F273F6" w:rsidRPr="00081042" w:rsidRDefault="00F273F6" w:rsidP="00081042">
            <w:pPr>
              <w:spacing w:before="240"/>
              <w:cnfStyle w:val="000000000000" w:firstRow="0" w:lastRow="0" w:firstColumn="0" w:lastColumn="0" w:oddVBand="0" w:evenVBand="0" w:oddHBand="0" w:evenHBand="0" w:firstRowFirstColumn="0" w:firstRowLastColumn="0" w:lastRowFirstColumn="0" w:lastRowLastColumn="0"/>
              <w:rPr>
                <w:bCs/>
                <w:lang w:val="fi-FI"/>
              </w:rPr>
            </w:pPr>
          </w:p>
        </w:tc>
        <w:tc>
          <w:tcPr>
            <w:tcW w:w="2560" w:type="dxa"/>
          </w:tcPr>
          <w:p w14:paraId="26C748AF" w14:textId="77777777" w:rsidR="00F273F6" w:rsidRPr="00081042" w:rsidRDefault="00F273F6" w:rsidP="00081042">
            <w:pPr>
              <w:spacing w:before="240"/>
              <w:cnfStyle w:val="000000000000" w:firstRow="0" w:lastRow="0" w:firstColumn="0" w:lastColumn="0" w:oddVBand="0" w:evenVBand="0" w:oddHBand="0" w:evenHBand="0" w:firstRowFirstColumn="0" w:firstRowLastColumn="0" w:lastRowFirstColumn="0" w:lastRowLastColumn="0"/>
              <w:rPr>
                <w:bCs/>
              </w:rPr>
            </w:pPr>
            <w:r w:rsidRPr="00081042">
              <w:rPr>
                <w:bCs/>
                <w:i/>
                <w:iCs/>
              </w:rPr>
              <w:t>B. lactis</w:t>
            </w:r>
            <w:r w:rsidRPr="00081042">
              <w:rPr>
                <w:bCs/>
              </w:rPr>
              <w:t>: qPCR</w:t>
            </w:r>
          </w:p>
        </w:tc>
        <w:tc>
          <w:tcPr>
            <w:tcW w:w="4666" w:type="dxa"/>
            <w:vMerge/>
          </w:tcPr>
          <w:p w14:paraId="463C21DD" w14:textId="77777777" w:rsidR="00F273F6" w:rsidRPr="00081042" w:rsidRDefault="00F273F6" w:rsidP="00081042">
            <w:pPr>
              <w:spacing w:before="240"/>
              <w:cnfStyle w:val="000000000000" w:firstRow="0" w:lastRow="0" w:firstColumn="0" w:lastColumn="0" w:oddVBand="0" w:evenVBand="0" w:oddHBand="0" w:evenHBand="0" w:firstRowFirstColumn="0" w:firstRowLastColumn="0" w:lastRowFirstColumn="0" w:lastRowLastColumn="0"/>
              <w:rPr>
                <w:bCs/>
              </w:rPr>
            </w:pPr>
          </w:p>
        </w:tc>
        <w:tc>
          <w:tcPr>
            <w:tcW w:w="1424" w:type="dxa"/>
            <w:vMerge/>
          </w:tcPr>
          <w:p w14:paraId="0BEBEF49" w14:textId="77777777" w:rsidR="00F273F6" w:rsidRPr="00081042" w:rsidRDefault="00F273F6" w:rsidP="00081042">
            <w:pPr>
              <w:spacing w:before="240"/>
              <w:cnfStyle w:val="000000000000" w:firstRow="0" w:lastRow="0" w:firstColumn="0" w:lastColumn="0" w:oddVBand="0" w:evenVBand="0" w:oddHBand="0" w:evenHBand="0" w:firstRowFirstColumn="0" w:firstRowLastColumn="0" w:lastRowFirstColumn="0" w:lastRowLastColumn="0"/>
              <w:rPr>
                <w:bCs/>
              </w:rPr>
            </w:pPr>
          </w:p>
        </w:tc>
      </w:tr>
      <w:tr w:rsidR="00F273F6" w:rsidRPr="00081042" w14:paraId="6D5A3685" w14:textId="77777777" w:rsidTr="00B94EFE">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1955" w:type="dxa"/>
            <w:vMerge/>
          </w:tcPr>
          <w:p w14:paraId="4F7C5F87" w14:textId="77777777" w:rsidR="00F273F6" w:rsidRPr="00081042" w:rsidRDefault="00F273F6" w:rsidP="00081042">
            <w:pPr>
              <w:spacing w:before="240"/>
              <w:rPr>
                <w:lang w:val="fi-FI"/>
              </w:rPr>
            </w:pPr>
          </w:p>
        </w:tc>
        <w:tc>
          <w:tcPr>
            <w:tcW w:w="1676" w:type="dxa"/>
            <w:vMerge/>
          </w:tcPr>
          <w:p w14:paraId="7169957B" w14:textId="77777777" w:rsidR="00F273F6" w:rsidRPr="00081042" w:rsidRDefault="00F273F6" w:rsidP="00081042">
            <w:pPr>
              <w:spacing w:before="240"/>
              <w:cnfStyle w:val="000000100000" w:firstRow="0" w:lastRow="0" w:firstColumn="0" w:lastColumn="0" w:oddVBand="0" w:evenVBand="0" w:oddHBand="1" w:evenHBand="0" w:firstRowFirstColumn="0" w:firstRowLastColumn="0" w:lastRowFirstColumn="0" w:lastRowLastColumn="0"/>
              <w:rPr>
                <w:bCs/>
              </w:rPr>
            </w:pPr>
          </w:p>
        </w:tc>
        <w:tc>
          <w:tcPr>
            <w:tcW w:w="1606" w:type="dxa"/>
            <w:vMerge/>
          </w:tcPr>
          <w:p w14:paraId="7A988EE9" w14:textId="77777777" w:rsidR="00F273F6" w:rsidRPr="00081042" w:rsidRDefault="00F273F6" w:rsidP="00081042">
            <w:pPr>
              <w:spacing w:before="240"/>
              <w:cnfStyle w:val="000000100000" w:firstRow="0" w:lastRow="0" w:firstColumn="0" w:lastColumn="0" w:oddVBand="0" w:evenVBand="0" w:oddHBand="1" w:evenHBand="0" w:firstRowFirstColumn="0" w:firstRowLastColumn="0" w:lastRowFirstColumn="0" w:lastRowLastColumn="0"/>
              <w:rPr>
                <w:bCs/>
                <w:lang w:val="fi-FI"/>
              </w:rPr>
            </w:pPr>
          </w:p>
        </w:tc>
        <w:tc>
          <w:tcPr>
            <w:tcW w:w="2560" w:type="dxa"/>
          </w:tcPr>
          <w:p w14:paraId="49AF6AF8" w14:textId="77777777" w:rsidR="00F273F6" w:rsidRPr="00081042" w:rsidRDefault="00F273F6" w:rsidP="00081042">
            <w:pPr>
              <w:spacing w:before="240"/>
              <w:cnfStyle w:val="000000100000" w:firstRow="0" w:lastRow="0" w:firstColumn="0" w:lastColumn="0" w:oddVBand="0" w:evenVBand="0" w:oddHBand="1" w:evenHBand="0" w:firstRowFirstColumn="0" w:firstRowLastColumn="0" w:lastRowFirstColumn="0" w:lastRowLastColumn="0"/>
              <w:rPr>
                <w:bCs/>
                <w:i/>
                <w:iCs/>
              </w:rPr>
            </w:pPr>
            <w:r w:rsidRPr="00081042">
              <w:rPr>
                <w:bCs/>
                <w:i/>
                <w:iCs/>
              </w:rPr>
              <w:t>B. lactis</w:t>
            </w:r>
            <w:r w:rsidRPr="00081042">
              <w:rPr>
                <w:bCs/>
              </w:rPr>
              <w:t xml:space="preserve"> HN019™: not measured</w:t>
            </w:r>
          </w:p>
        </w:tc>
        <w:tc>
          <w:tcPr>
            <w:tcW w:w="4666" w:type="dxa"/>
            <w:vMerge/>
          </w:tcPr>
          <w:p w14:paraId="69A77C57" w14:textId="77777777" w:rsidR="00F273F6" w:rsidRPr="00081042" w:rsidRDefault="00F273F6" w:rsidP="00081042">
            <w:pPr>
              <w:spacing w:before="240"/>
              <w:cnfStyle w:val="000000100000" w:firstRow="0" w:lastRow="0" w:firstColumn="0" w:lastColumn="0" w:oddVBand="0" w:evenVBand="0" w:oddHBand="1" w:evenHBand="0" w:firstRowFirstColumn="0" w:firstRowLastColumn="0" w:lastRowFirstColumn="0" w:lastRowLastColumn="0"/>
              <w:rPr>
                <w:bCs/>
              </w:rPr>
            </w:pPr>
          </w:p>
        </w:tc>
        <w:tc>
          <w:tcPr>
            <w:tcW w:w="1424" w:type="dxa"/>
            <w:vMerge/>
          </w:tcPr>
          <w:p w14:paraId="595A040C" w14:textId="77777777" w:rsidR="00F273F6" w:rsidRPr="00081042" w:rsidRDefault="00F273F6" w:rsidP="00081042">
            <w:pPr>
              <w:spacing w:before="240"/>
              <w:cnfStyle w:val="000000100000" w:firstRow="0" w:lastRow="0" w:firstColumn="0" w:lastColumn="0" w:oddVBand="0" w:evenVBand="0" w:oddHBand="1" w:evenHBand="0" w:firstRowFirstColumn="0" w:firstRowLastColumn="0" w:lastRowFirstColumn="0" w:lastRowLastColumn="0"/>
              <w:rPr>
                <w:bCs/>
              </w:rPr>
            </w:pPr>
          </w:p>
        </w:tc>
      </w:tr>
      <w:tr w:rsidR="00F273F6" w:rsidRPr="00081042" w14:paraId="59B15AB5" w14:textId="77777777" w:rsidTr="00B94EFE">
        <w:trPr>
          <w:trHeight w:val="261"/>
        </w:trPr>
        <w:tc>
          <w:tcPr>
            <w:cnfStyle w:val="001000000000" w:firstRow="0" w:lastRow="0" w:firstColumn="1" w:lastColumn="0" w:oddVBand="0" w:evenVBand="0" w:oddHBand="0" w:evenHBand="0" w:firstRowFirstColumn="0" w:firstRowLastColumn="0" w:lastRowFirstColumn="0" w:lastRowLastColumn="0"/>
            <w:tcW w:w="1955" w:type="dxa"/>
            <w:vMerge w:val="restart"/>
          </w:tcPr>
          <w:p w14:paraId="38EA7751" w14:textId="77777777" w:rsidR="00F273F6" w:rsidRPr="00081042" w:rsidRDefault="00F273F6" w:rsidP="00081042">
            <w:pPr>
              <w:spacing w:before="240"/>
            </w:pPr>
            <w:r w:rsidRPr="00081042">
              <w:t>High dose: 5x10</w:t>
            </w:r>
            <w:r w:rsidRPr="00081042">
              <w:rPr>
                <w:vertAlign w:val="superscript"/>
              </w:rPr>
              <w:t>9</w:t>
            </w:r>
          </w:p>
          <w:p w14:paraId="15F02097" w14:textId="77777777" w:rsidR="00F273F6" w:rsidRPr="00081042" w:rsidRDefault="00F273F6" w:rsidP="00081042">
            <w:pPr>
              <w:spacing w:before="240"/>
            </w:pPr>
            <w:r w:rsidRPr="00081042">
              <w:t>Medium dose: 1x10</w:t>
            </w:r>
            <w:r w:rsidRPr="00081042">
              <w:rPr>
                <w:vertAlign w:val="superscript"/>
              </w:rPr>
              <w:t>9</w:t>
            </w:r>
          </w:p>
          <w:p w14:paraId="381F033E" w14:textId="77777777" w:rsidR="00F273F6" w:rsidRPr="00081042" w:rsidRDefault="00F273F6" w:rsidP="00081042">
            <w:pPr>
              <w:spacing w:before="240"/>
              <w:rPr>
                <w:vertAlign w:val="superscript"/>
                <w:lang w:val="fi-FI"/>
              </w:rPr>
            </w:pPr>
            <w:r w:rsidRPr="00081042">
              <w:rPr>
                <w:lang w:val="fi-FI"/>
              </w:rPr>
              <w:t>Low dose: 6.5x10</w:t>
            </w:r>
            <w:r w:rsidRPr="00081042">
              <w:rPr>
                <w:vertAlign w:val="superscript"/>
                <w:lang w:val="fi-FI"/>
              </w:rPr>
              <w:t>7</w:t>
            </w:r>
          </w:p>
          <w:p w14:paraId="18CC38D1" w14:textId="77777777" w:rsidR="00F273F6" w:rsidRPr="00081042" w:rsidRDefault="00F273F6" w:rsidP="00081042">
            <w:pPr>
              <w:spacing w:before="240"/>
              <w:rPr>
                <w:lang w:val="fi-FI"/>
              </w:rPr>
            </w:pPr>
          </w:p>
          <w:p w14:paraId="6DAC74DA" w14:textId="77777777" w:rsidR="00F273F6" w:rsidRPr="00081042" w:rsidRDefault="00F273F6" w:rsidP="00081042">
            <w:pPr>
              <w:spacing w:before="240"/>
              <w:rPr>
                <w:lang w:val="fi-FI"/>
              </w:rPr>
            </w:pPr>
            <w:r w:rsidRPr="00081042">
              <w:rPr>
                <w:lang w:val="fi-FI"/>
              </w:rPr>
              <w:t>4 weeks</w:t>
            </w:r>
          </w:p>
        </w:tc>
        <w:tc>
          <w:tcPr>
            <w:tcW w:w="1676" w:type="dxa"/>
            <w:vMerge w:val="restart"/>
          </w:tcPr>
          <w:p w14:paraId="0C0BC19D" w14:textId="77777777" w:rsidR="00F273F6" w:rsidRPr="00081042" w:rsidRDefault="00F273F6" w:rsidP="00081042">
            <w:pPr>
              <w:spacing w:before="240"/>
              <w:cnfStyle w:val="000000000000" w:firstRow="0" w:lastRow="0" w:firstColumn="0" w:lastColumn="0" w:oddVBand="0" w:evenVBand="0" w:oddHBand="0" w:evenHBand="0" w:firstRowFirstColumn="0" w:firstRowLastColumn="0" w:lastRowFirstColumn="0" w:lastRowLastColumn="0"/>
              <w:rPr>
                <w:bCs/>
              </w:rPr>
            </w:pPr>
            <w:r w:rsidRPr="00081042">
              <w:rPr>
                <w:bCs/>
              </w:rPr>
              <w:t>60</w:t>
            </w:r>
          </w:p>
          <w:p w14:paraId="3A0F6599" w14:textId="77777777" w:rsidR="00F273F6" w:rsidRPr="00081042" w:rsidRDefault="00F273F6" w:rsidP="00081042">
            <w:pPr>
              <w:spacing w:before="240"/>
              <w:cnfStyle w:val="000000000000" w:firstRow="0" w:lastRow="0" w:firstColumn="0" w:lastColumn="0" w:oddVBand="0" w:evenVBand="0" w:oddHBand="0" w:evenHBand="0" w:firstRowFirstColumn="0" w:firstRowLastColumn="0" w:lastRowFirstColumn="0" w:lastRowLastColumn="0"/>
              <w:rPr>
                <w:bCs/>
                <w:lang w:val="fi-FI"/>
              </w:rPr>
            </w:pPr>
            <w:r w:rsidRPr="00081042">
              <w:rPr>
                <w:bCs/>
                <w:lang w:val="fi-FI"/>
              </w:rPr>
              <w:t>Healthy elderly</w:t>
            </w:r>
          </w:p>
        </w:tc>
        <w:tc>
          <w:tcPr>
            <w:tcW w:w="1606" w:type="dxa"/>
            <w:vMerge w:val="restart"/>
          </w:tcPr>
          <w:p w14:paraId="7BB975F2" w14:textId="77777777" w:rsidR="00F273F6" w:rsidRPr="00081042" w:rsidRDefault="00F273F6" w:rsidP="00081042">
            <w:pPr>
              <w:spacing w:before="240"/>
              <w:cnfStyle w:val="000000000000" w:firstRow="0" w:lastRow="0" w:firstColumn="0" w:lastColumn="0" w:oddVBand="0" w:evenVBand="0" w:oddHBand="0" w:evenHBand="0" w:firstRowFirstColumn="0" w:firstRowLastColumn="0" w:lastRowFirstColumn="0" w:lastRowLastColumn="0"/>
              <w:rPr>
                <w:bCs/>
              </w:rPr>
            </w:pPr>
            <w:r w:rsidRPr="00081042">
              <w:rPr>
                <w:bCs/>
              </w:rPr>
              <w:t>60-87 (67 in high dose, 70 in medium/dose)</w:t>
            </w:r>
          </w:p>
        </w:tc>
        <w:tc>
          <w:tcPr>
            <w:tcW w:w="2560" w:type="dxa"/>
          </w:tcPr>
          <w:p w14:paraId="14EEBD2D" w14:textId="77777777" w:rsidR="00F273F6" w:rsidRPr="00081042" w:rsidRDefault="00F273F6" w:rsidP="00081042">
            <w:pPr>
              <w:spacing w:before="240"/>
              <w:cnfStyle w:val="000000000000" w:firstRow="0" w:lastRow="0" w:firstColumn="0" w:lastColumn="0" w:oddVBand="0" w:evenVBand="0" w:oddHBand="0" w:evenHBand="0" w:firstRowFirstColumn="0" w:firstRowLastColumn="0" w:lastRowFirstColumn="0" w:lastRowLastColumn="0"/>
              <w:rPr>
                <w:bCs/>
              </w:rPr>
            </w:pPr>
            <w:proofErr w:type="spellStart"/>
            <w:r w:rsidRPr="00081042">
              <w:rPr>
                <w:bCs/>
              </w:rPr>
              <w:t>bifidobacteria</w:t>
            </w:r>
            <w:proofErr w:type="spellEnd"/>
            <w:r w:rsidRPr="00081042">
              <w:rPr>
                <w:bCs/>
              </w:rPr>
              <w:t xml:space="preserve">/lactobacilli: cultivation on </w:t>
            </w:r>
            <w:proofErr w:type="spellStart"/>
            <w:r w:rsidRPr="00081042">
              <w:rPr>
                <w:bCs/>
              </w:rPr>
              <w:t>Beeren’s</w:t>
            </w:r>
            <w:proofErr w:type="spellEnd"/>
            <w:r w:rsidRPr="00081042">
              <w:rPr>
                <w:bCs/>
              </w:rPr>
              <w:t xml:space="preserve"> medium</w:t>
            </w:r>
          </w:p>
        </w:tc>
        <w:tc>
          <w:tcPr>
            <w:tcW w:w="4666" w:type="dxa"/>
            <w:vMerge w:val="restart"/>
          </w:tcPr>
          <w:p w14:paraId="25DC2F5B" w14:textId="77777777" w:rsidR="00F273F6" w:rsidRPr="00081042" w:rsidRDefault="00F273F6" w:rsidP="00081042">
            <w:pPr>
              <w:spacing w:before="240"/>
              <w:cnfStyle w:val="000000000000" w:firstRow="0" w:lastRow="0" w:firstColumn="0" w:lastColumn="0" w:oddVBand="0" w:evenVBand="0" w:oddHBand="0" w:evenHBand="0" w:firstRowFirstColumn="0" w:firstRowLastColumn="0" w:lastRowFirstColumn="0" w:lastRowLastColumn="0"/>
              <w:rPr>
                <w:bCs/>
              </w:rPr>
            </w:pPr>
            <w:r w:rsidRPr="00081042">
              <w:rPr>
                <w:bCs/>
              </w:rPr>
              <w:t>-</w:t>
            </w:r>
            <w:proofErr w:type="spellStart"/>
            <w:r w:rsidRPr="00081042">
              <w:rPr>
                <w:bCs/>
              </w:rPr>
              <w:t>bifidobacteria</w:t>
            </w:r>
            <w:proofErr w:type="spellEnd"/>
            <w:r w:rsidRPr="00081042">
              <w:rPr>
                <w:bCs/>
              </w:rPr>
              <w:t xml:space="preserve"> significantly increased in all three tested arms during supplementation but decreased in post-intervention period. However, even </w:t>
            </w:r>
            <w:proofErr w:type="spellStart"/>
            <w:r w:rsidRPr="00081042">
              <w:rPr>
                <w:bCs/>
              </w:rPr>
              <w:t>bifidobacteria</w:t>
            </w:r>
            <w:proofErr w:type="spellEnd"/>
            <w:r w:rsidRPr="00081042">
              <w:rPr>
                <w:bCs/>
              </w:rPr>
              <w:t xml:space="preserve"> in placebo remain above 10^9 CFU/g throughout the entire intervention.</w:t>
            </w:r>
          </w:p>
          <w:p w14:paraId="0B117EE4" w14:textId="77777777" w:rsidR="00F273F6" w:rsidRPr="00081042" w:rsidRDefault="00F273F6" w:rsidP="00081042">
            <w:pPr>
              <w:spacing w:before="240"/>
              <w:cnfStyle w:val="000000000000" w:firstRow="0" w:lastRow="0" w:firstColumn="0" w:lastColumn="0" w:oddVBand="0" w:evenVBand="0" w:oddHBand="0" w:evenHBand="0" w:firstRowFirstColumn="0" w:firstRowLastColumn="0" w:lastRowFirstColumn="0" w:lastRowLastColumn="0"/>
              <w:rPr>
                <w:bCs/>
              </w:rPr>
            </w:pPr>
            <w:r w:rsidRPr="00081042">
              <w:rPr>
                <w:bCs/>
              </w:rPr>
              <w:t>-lactobacilli: a trend of increase during supplementation in all three tested arms</w:t>
            </w:r>
          </w:p>
          <w:p w14:paraId="393DB996" w14:textId="77777777" w:rsidR="00F273F6" w:rsidRPr="00081042" w:rsidRDefault="00F273F6" w:rsidP="00081042">
            <w:pPr>
              <w:spacing w:before="240"/>
              <w:cnfStyle w:val="000000000000" w:firstRow="0" w:lastRow="0" w:firstColumn="0" w:lastColumn="0" w:oddVBand="0" w:evenVBand="0" w:oddHBand="0" w:evenHBand="0" w:firstRowFirstColumn="0" w:firstRowLastColumn="0" w:lastRowFirstColumn="0" w:lastRowLastColumn="0"/>
              <w:rPr>
                <w:bCs/>
              </w:rPr>
            </w:pPr>
            <w:r w:rsidRPr="00081042">
              <w:rPr>
                <w:bCs/>
              </w:rPr>
              <w:t xml:space="preserve">-enterobacteria: increased in placebo (aging effects), and significantly reduced </w:t>
            </w:r>
            <w:r w:rsidRPr="00081042">
              <w:rPr>
                <w:bCs/>
              </w:rPr>
              <w:lastRenderedPageBreak/>
              <w:t>in the same tested arm during supplementation (colonization resistance against entero-pathogenic bacteria in elderly).</w:t>
            </w:r>
          </w:p>
        </w:tc>
        <w:tc>
          <w:tcPr>
            <w:tcW w:w="1424" w:type="dxa"/>
            <w:vMerge w:val="restart"/>
          </w:tcPr>
          <w:p w14:paraId="10057148" w14:textId="77777777" w:rsidR="00F273F6" w:rsidRPr="00081042" w:rsidRDefault="00F273F6" w:rsidP="00081042">
            <w:pPr>
              <w:spacing w:before="240"/>
              <w:cnfStyle w:val="000000000000" w:firstRow="0" w:lastRow="0" w:firstColumn="0" w:lastColumn="0" w:oddVBand="0" w:evenVBand="0" w:oddHBand="0" w:evenHBand="0" w:firstRowFirstColumn="0" w:firstRowLastColumn="0" w:lastRowFirstColumn="0" w:lastRowLastColumn="0"/>
              <w:rPr>
                <w:bCs/>
                <w:lang w:val="de-DE"/>
              </w:rPr>
            </w:pPr>
            <w:r w:rsidRPr="00081042">
              <w:rPr>
                <w:bCs/>
                <w:lang w:val="de-DE"/>
              </w:rPr>
              <w:lastRenderedPageBreak/>
              <w:t>(Ahmed et al., 2007)</w:t>
            </w:r>
          </w:p>
          <w:p w14:paraId="3BD79D11" w14:textId="77777777" w:rsidR="00F273F6" w:rsidRPr="00081042" w:rsidRDefault="00F273F6" w:rsidP="00081042">
            <w:pPr>
              <w:spacing w:before="240"/>
              <w:cnfStyle w:val="000000000000" w:firstRow="0" w:lastRow="0" w:firstColumn="0" w:lastColumn="0" w:oddVBand="0" w:evenVBand="0" w:oddHBand="0" w:evenHBand="0" w:firstRowFirstColumn="0" w:firstRowLastColumn="0" w:lastRowFirstColumn="0" w:lastRowLastColumn="0"/>
              <w:rPr>
                <w:bCs/>
                <w:lang w:val="fi-FI"/>
              </w:rPr>
            </w:pPr>
          </w:p>
        </w:tc>
      </w:tr>
      <w:tr w:rsidR="00F273F6" w:rsidRPr="00081042" w14:paraId="5CFA8A19" w14:textId="77777777" w:rsidTr="00B94EFE">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1955" w:type="dxa"/>
            <w:vMerge/>
          </w:tcPr>
          <w:p w14:paraId="03F1C12D" w14:textId="77777777" w:rsidR="00F273F6" w:rsidRPr="00081042" w:rsidRDefault="00F273F6" w:rsidP="00081042">
            <w:pPr>
              <w:spacing w:before="240"/>
            </w:pPr>
          </w:p>
        </w:tc>
        <w:tc>
          <w:tcPr>
            <w:tcW w:w="1676" w:type="dxa"/>
            <w:vMerge/>
          </w:tcPr>
          <w:p w14:paraId="6C8C92A4" w14:textId="77777777" w:rsidR="00F273F6" w:rsidRPr="00081042" w:rsidRDefault="00F273F6" w:rsidP="00081042">
            <w:pPr>
              <w:spacing w:before="240"/>
              <w:cnfStyle w:val="000000100000" w:firstRow="0" w:lastRow="0" w:firstColumn="0" w:lastColumn="0" w:oddVBand="0" w:evenVBand="0" w:oddHBand="1" w:evenHBand="0" w:firstRowFirstColumn="0" w:firstRowLastColumn="0" w:lastRowFirstColumn="0" w:lastRowLastColumn="0"/>
              <w:rPr>
                <w:bCs/>
              </w:rPr>
            </w:pPr>
          </w:p>
        </w:tc>
        <w:tc>
          <w:tcPr>
            <w:tcW w:w="1606" w:type="dxa"/>
            <w:vMerge/>
          </w:tcPr>
          <w:p w14:paraId="67E29FBA" w14:textId="77777777" w:rsidR="00F273F6" w:rsidRPr="00081042" w:rsidRDefault="00F273F6" w:rsidP="00081042">
            <w:pPr>
              <w:spacing w:before="240"/>
              <w:cnfStyle w:val="000000100000" w:firstRow="0" w:lastRow="0" w:firstColumn="0" w:lastColumn="0" w:oddVBand="0" w:evenVBand="0" w:oddHBand="1" w:evenHBand="0" w:firstRowFirstColumn="0" w:firstRowLastColumn="0" w:lastRowFirstColumn="0" w:lastRowLastColumn="0"/>
              <w:rPr>
                <w:bCs/>
              </w:rPr>
            </w:pPr>
          </w:p>
        </w:tc>
        <w:tc>
          <w:tcPr>
            <w:tcW w:w="2560" w:type="dxa"/>
          </w:tcPr>
          <w:p w14:paraId="7C16900A" w14:textId="77777777" w:rsidR="00F273F6" w:rsidRPr="00081042" w:rsidRDefault="00F273F6" w:rsidP="00081042">
            <w:pPr>
              <w:spacing w:before="240"/>
              <w:cnfStyle w:val="000000100000" w:firstRow="0" w:lastRow="0" w:firstColumn="0" w:lastColumn="0" w:oddVBand="0" w:evenVBand="0" w:oddHBand="1" w:evenHBand="0" w:firstRowFirstColumn="0" w:firstRowLastColumn="0" w:lastRowFirstColumn="0" w:lastRowLastColumn="0"/>
              <w:rPr>
                <w:bCs/>
              </w:rPr>
            </w:pPr>
            <w:r w:rsidRPr="00081042">
              <w:rPr>
                <w:bCs/>
                <w:i/>
                <w:iCs/>
              </w:rPr>
              <w:t>B. lactis</w:t>
            </w:r>
            <w:r w:rsidRPr="00081042">
              <w:rPr>
                <w:bCs/>
              </w:rPr>
              <w:t>: not measured</w:t>
            </w:r>
          </w:p>
          <w:p w14:paraId="08A0B7F0" w14:textId="77777777" w:rsidR="00F273F6" w:rsidRPr="00081042" w:rsidRDefault="00F273F6" w:rsidP="00081042">
            <w:pPr>
              <w:spacing w:before="240"/>
              <w:cnfStyle w:val="000000100000" w:firstRow="0" w:lastRow="0" w:firstColumn="0" w:lastColumn="0" w:oddVBand="0" w:evenVBand="0" w:oddHBand="1" w:evenHBand="0" w:firstRowFirstColumn="0" w:firstRowLastColumn="0" w:lastRowFirstColumn="0" w:lastRowLastColumn="0"/>
              <w:rPr>
                <w:bCs/>
              </w:rPr>
            </w:pPr>
          </w:p>
        </w:tc>
        <w:tc>
          <w:tcPr>
            <w:tcW w:w="4666" w:type="dxa"/>
            <w:vMerge/>
          </w:tcPr>
          <w:p w14:paraId="18BD1FAC" w14:textId="77777777" w:rsidR="00F273F6" w:rsidRPr="00081042" w:rsidRDefault="00F273F6" w:rsidP="00081042">
            <w:pPr>
              <w:spacing w:before="240"/>
              <w:cnfStyle w:val="000000100000" w:firstRow="0" w:lastRow="0" w:firstColumn="0" w:lastColumn="0" w:oddVBand="0" w:evenVBand="0" w:oddHBand="1" w:evenHBand="0" w:firstRowFirstColumn="0" w:firstRowLastColumn="0" w:lastRowFirstColumn="0" w:lastRowLastColumn="0"/>
              <w:rPr>
                <w:bCs/>
              </w:rPr>
            </w:pPr>
          </w:p>
        </w:tc>
        <w:tc>
          <w:tcPr>
            <w:tcW w:w="1424" w:type="dxa"/>
            <w:vMerge/>
          </w:tcPr>
          <w:p w14:paraId="2A74C6C7" w14:textId="77777777" w:rsidR="00F273F6" w:rsidRPr="00081042" w:rsidRDefault="00F273F6" w:rsidP="00081042">
            <w:pPr>
              <w:spacing w:before="240"/>
              <w:cnfStyle w:val="000000100000" w:firstRow="0" w:lastRow="0" w:firstColumn="0" w:lastColumn="0" w:oddVBand="0" w:evenVBand="0" w:oddHBand="1" w:evenHBand="0" w:firstRowFirstColumn="0" w:firstRowLastColumn="0" w:lastRowFirstColumn="0" w:lastRowLastColumn="0"/>
              <w:rPr>
                <w:bCs/>
                <w:lang w:val="de-DE"/>
              </w:rPr>
            </w:pPr>
          </w:p>
        </w:tc>
      </w:tr>
      <w:tr w:rsidR="00F273F6" w:rsidRPr="00081042" w14:paraId="13F4C2A7" w14:textId="77777777" w:rsidTr="00B94EFE">
        <w:trPr>
          <w:trHeight w:val="355"/>
        </w:trPr>
        <w:tc>
          <w:tcPr>
            <w:cnfStyle w:val="001000000000" w:firstRow="0" w:lastRow="0" w:firstColumn="1" w:lastColumn="0" w:oddVBand="0" w:evenVBand="0" w:oddHBand="0" w:evenHBand="0" w:firstRowFirstColumn="0" w:firstRowLastColumn="0" w:lastRowFirstColumn="0" w:lastRowLastColumn="0"/>
            <w:tcW w:w="1955" w:type="dxa"/>
            <w:vMerge/>
          </w:tcPr>
          <w:p w14:paraId="1290B7B4" w14:textId="77777777" w:rsidR="00F273F6" w:rsidRPr="00081042" w:rsidRDefault="00F273F6" w:rsidP="00081042">
            <w:pPr>
              <w:spacing w:before="240"/>
            </w:pPr>
          </w:p>
        </w:tc>
        <w:tc>
          <w:tcPr>
            <w:tcW w:w="1676" w:type="dxa"/>
            <w:vMerge/>
          </w:tcPr>
          <w:p w14:paraId="54E426F7" w14:textId="77777777" w:rsidR="00F273F6" w:rsidRPr="00081042" w:rsidRDefault="00F273F6" w:rsidP="00081042">
            <w:pPr>
              <w:spacing w:before="240"/>
              <w:cnfStyle w:val="000000000000" w:firstRow="0" w:lastRow="0" w:firstColumn="0" w:lastColumn="0" w:oddVBand="0" w:evenVBand="0" w:oddHBand="0" w:evenHBand="0" w:firstRowFirstColumn="0" w:firstRowLastColumn="0" w:lastRowFirstColumn="0" w:lastRowLastColumn="0"/>
              <w:rPr>
                <w:bCs/>
              </w:rPr>
            </w:pPr>
          </w:p>
        </w:tc>
        <w:tc>
          <w:tcPr>
            <w:tcW w:w="1606" w:type="dxa"/>
            <w:vMerge/>
          </w:tcPr>
          <w:p w14:paraId="4FB7C2DF" w14:textId="77777777" w:rsidR="00F273F6" w:rsidRPr="00081042" w:rsidRDefault="00F273F6" w:rsidP="00081042">
            <w:pPr>
              <w:spacing w:before="240"/>
              <w:cnfStyle w:val="000000000000" w:firstRow="0" w:lastRow="0" w:firstColumn="0" w:lastColumn="0" w:oddVBand="0" w:evenVBand="0" w:oddHBand="0" w:evenHBand="0" w:firstRowFirstColumn="0" w:firstRowLastColumn="0" w:lastRowFirstColumn="0" w:lastRowLastColumn="0"/>
              <w:rPr>
                <w:bCs/>
              </w:rPr>
            </w:pPr>
          </w:p>
        </w:tc>
        <w:tc>
          <w:tcPr>
            <w:tcW w:w="2560" w:type="dxa"/>
          </w:tcPr>
          <w:p w14:paraId="57BBC97D" w14:textId="77777777" w:rsidR="00F273F6" w:rsidRPr="00081042" w:rsidRDefault="00F273F6" w:rsidP="00081042">
            <w:pPr>
              <w:spacing w:before="240"/>
              <w:cnfStyle w:val="000000000000" w:firstRow="0" w:lastRow="0" w:firstColumn="0" w:lastColumn="0" w:oddVBand="0" w:evenVBand="0" w:oddHBand="0" w:evenHBand="0" w:firstRowFirstColumn="0" w:firstRowLastColumn="0" w:lastRowFirstColumn="0" w:lastRowLastColumn="0"/>
              <w:rPr>
                <w:bCs/>
                <w:i/>
                <w:iCs/>
              </w:rPr>
            </w:pPr>
            <w:r w:rsidRPr="00081042">
              <w:rPr>
                <w:bCs/>
                <w:i/>
                <w:iCs/>
              </w:rPr>
              <w:t>B. lactis</w:t>
            </w:r>
            <w:r w:rsidRPr="00081042">
              <w:rPr>
                <w:bCs/>
              </w:rPr>
              <w:t xml:space="preserve"> HN019™: not measured</w:t>
            </w:r>
          </w:p>
        </w:tc>
        <w:tc>
          <w:tcPr>
            <w:tcW w:w="4666" w:type="dxa"/>
            <w:vMerge/>
          </w:tcPr>
          <w:p w14:paraId="5A2DB080" w14:textId="77777777" w:rsidR="00F273F6" w:rsidRPr="00081042" w:rsidRDefault="00F273F6" w:rsidP="00081042">
            <w:pPr>
              <w:spacing w:before="240"/>
              <w:cnfStyle w:val="000000000000" w:firstRow="0" w:lastRow="0" w:firstColumn="0" w:lastColumn="0" w:oddVBand="0" w:evenVBand="0" w:oddHBand="0" w:evenHBand="0" w:firstRowFirstColumn="0" w:firstRowLastColumn="0" w:lastRowFirstColumn="0" w:lastRowLastColumn="0"/>
              <w:rPr>
                <w:bCs/>
              </w:rPr>
            </w:pPr>
          </w:p>
        </w:tc>
        <w:tc>
          <w:tcPr>
            <w:tcW w:w="1424" w:type="dxa"/>
            <w:vMerge/>
          </w:tcPr>
          <w:p w14:paraId="25D91484" w14:textId="77777777" w:rsidR="00F273F6" w:rsidRPr="00081042" w:rsidRDefault="00F273F6" w:rsidP="00081042">
            <w:pPr>
              <w:spacing w:before="240"/>
              <w:cnfStyle w:val="000000000000" w:firstRow="0" w:lastRow="0" w:firstColumn="0" w:lastColumn="0" w:oddVBand="0" w:evenVBand="0" w:oddHBand="0" w:evenHBand="0" w:firstRowFirstColumn="0" w:firstRowLastColumn="0" w:lastRowFirstColumn="0" w:lastRowLastColumn="0"/>
              <w:rPr>
                <w:bCs/>
                <w:lang w:val="de-DE"/>
              </w:rPr>
            </w:pPr>
          </w:p>
        </w:tc>
      </w:tr>
      <w:tr w:rsidR="00F273F6" w:rsidRPr="00081042" w14:paraId="6B32E4CD" w14:textId="77777777" w:rsidTr="00B94EFE">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1955" w:type="dxa"/>
          </w:tcPr>
          <w:p w14:paraId="2FDC4B13" w14:textId="77777777" w:rsidR="00F273F6" w:rsidRPr="00081042" w:rsidRDefault="00F273F6" w:rsidP="00081042">
            <w:pPr>
              <w:spacing w:before="240"/>
              <w:rPr>
                <w:vertAlign w:val="superscript"/>
                <w:lang w:val="fi-FI"/>
              </w:rPr>
            </w:pPr>
            <w:r w:rsidRPr="00081042">
              <w:rPr>
                <w:lang w:val="fi-FI"/>
              </w:rPr>
              <w:t>3x10</w:t>
            </w:r>
            <w:r w:rsidRPr="00081042">
              <w:rPr>
                <w:vertAlign w:val="superscript"/>
                <w:lang w:val="fi-FI"/>
              </w:rPr>
              <w:t>10</w:t>
            </w:r>
          </w:p>
          <w:p w14:paraId="3138D98A" w14:textId="77777777" w:rsidR="00F273F6" w:rsidRPr="00081042" w:rsidRDefault="00F273F6" w:rsidP="00081042">
            <w:pPr>
              <w:spacing w:before="240"/>
              <w:rPr>
                <w:vertAlign w:val="superscript"/>
                <w:lang w:val="fi-FI"/>
              </w:rPr>
            </w:pPr>
          </w:p>
          <w:p w14:paraId="6CFE6177" w14:textId="77777777" w:rsidR="00F273F6" w:rsidRPr="00081042" w:rsidRDefault="00F273F6" w:rsidP="00081042">
            <w:pPr>
              <w:spacing w:before="240"/>
              <w:rPr>
                <w:lang w:val="fi-FI"/>
              </w:rPr>
            </w:pPr>
            <w:r w:rsidRPr="00081042">
              <w:rPr>
                <w:lang w:val="fi-FI"/>
              </w:rPr>
              <w:t>4 weeks</w:t>
            </w:r>
          </w:p>
        </w:tc>
        <w:tc>
          <w:tcPr>
            <w:tcW w:w="1676" w:type="dxa"/>
          </w:tcPr>
          <w:p w14:paraId="75EE065E" w14:textId="77777777" w:rsidR="00F273F6" w:rsidRPr="00081042" w:rsidRDefault="00F273F6" w:rsidP="00081042">
            <w:pPr>
              <w:spacing w:before="240"/>
              <w:cnfStyle w:val="000000100000" w:firstRow="0" w:lastRow="0" w:firstColumn="0" w:lastColumn="0" w:oddVBand="0" w:evenVBand="0" w:oddHBand="1" w:evenHBand="0" w:firstRowFirstColumn="0" w:firstRowLastColumn="0" w:lastRowFirstColumn="0" w:lastRowLastColumn="0"/>
              <w:rPr>
                <w:bCs/>
              </w:rPr>
            </w:pPr>
            <w:r w:rsidRPr="00081042">
              <w:rPr>
                <w:bCs/>
              </w:rPr>
              <w:t xml:space="preserve">10 </w:t>
            </w:r>
          </w:p>
          <w:p w14:paraId="477732F8" w14:textId="77777777" w:rsidR="00F273F6" w:rsidRPr="00081042" w:rsidRDefault="00F273F6" w:rsidP="00081042">
            <w:pPr>
              <w:spacing w:before="240"/>
              <w:cnfStyle w:val="000000100000" w:firstRow="0" w:lastRow="0" w:firstColumn="0" w:lastColumn="0" w:oddVBand="0" w:evenVBand="0" w:oddHBand="1" w:evenHBand="0" w:firstRowFirstColumn="0" w:firstRowLastColumn="0" w:lastRowFirstColumn="0" w:lastRowLastColumn="0"/>
              <w:rPr>
                <w:bCs/>
                <w:lang w:val="fi-FI"/>
              </w:rPr>
            </w:pPr>
            <w:r w:rsidRPr="00081042">
              <w:rPr>
                <w:bCs/>
                <w:lang w:val="fi-FI"/>
              </w:rPr>
              <w:t>Healthy adults</w:t>
            </w:r>
          </w:p>
        </w:tc>
        <w:tc>
          <w:tcPr>
            <w:tcW w:w="1606" w:type="dxa"/>
          </w:tcPr>
          <w:p w14:paraId="42EB2072" w14:textId="77777777" w:rsidR="00F273F6" w:rsidRPr="00081042" w:rsidRDefault="00F273F6" w:rsidP="00081042">
            <w:pPr>
              <w:spacing w:before="240"/>
              <w:cnfStyle w:val="000000100000" w:firstRow="0" w:lastRow="0" w:firstColumn="0" w:lastColumn="0" w:oddVBand="0" w:evenVBand="0" w:oddHBand="1" w:evenHBand="0" w:firstRowFirstColumn="0" w:firstRowLastColumn="0" w:lastRowFirstColumn="0" w:lastRowLastColumn="0"/>
              <w:rPr>
                <w:bCs/>
                <w:lang w:val="fi-FI"/>
              </w:rPr>
            </w:pPr>
            <w:r w:rsidRPr="00081042">
              <w:rPr>
                <w:bCs/>
                <w:lang w:val="fi-FI"/>
              </w:rPr>
              <w:t>20-60 (NR)</w:t>
            </w:r>
          </w:p>
        </w:tc>
        <w:tc>
          <w:tcPr>
            <w:tcW w:w="2560" w:type="dxa"/>
          </w:tcPr>
          <w:p w14:paraId="514892C6" w14:textId="77777777" w:rsidR="00F273F6" w:rsidRPr="00081042" w:rsidRDefault="00F273F6" w:rsidP="00081042">
            <w:pPr>
              <w:spacing w:before="240"/>
              <w:cnfStyle w:val="000000100000" w:firstRow="0" w:lastRow="0" w:firstColumn="0" w:lastColumn="0" w:oddVBand="0" w:evenVBand="0" w:oddHBand="1" w:evenHBand="0" w:firstRowFirstColumn="0" w:firstRowLastColumn="0" w:lastRowFirstColumn="0" w:lastRowLastColumn="0"/>
              <w:rPr>
                <w:bCs/>
              </w:rPr>
            </w:pPr>
            <w:proofErr w:type="spellStart"/>
            <w:r w:rsidRPr="00081042">
              <w:rPr>
                <w:bCs/>
              </w:rPr>
              <w:t>bifidobacteria</w:t>
            </w:r>
            <w:proofErr w:type="spellEnd"/>
            <w:r w:rsidRPr="00081042">
              <w:rPr>
                <w:bCs/>
              </w:rPr>
              <w:t xml:space="preserve">: cultivation on </w:t>
            </w:r>
            <w:proofErr w:type="spellStart"/>
            <w:r w:rsidRPr="00081042">
              <w:rPr>
                <w:bCs/>
              </w:rPr>
              <w:t>Beeren’s</w:t>
            </w:r>
            <w:proofErr w:type="spellEnd"/>
            <w:r w:rsidRPr="00081042">
              <w:rPr>
                <w:bCs/>
              </w:rPr>
              <w:t xml:space="preserve"> medium</w:t>
            </w:r>
          </w:p>
        </w:tc>
        <w:tc>
          <w:tcPr>
            <w:tcW w:w="4666" w:type="dxa"/>
          </w:tcPr>
          <w:p w14:paraId="68339C34" w14:textId="77777777" w:rsidR="00F273F6" w:rsidRPr="00081042" w:rsidRDefault="00F273F6" w:rsidP="00081042">
            <w:pPr>
              <w:spacing w:before="240"/>
              <w:cnfStyle w:val="000000100000" w:firstRow="0" w:lastRow="0" w:firstColumn="0" w:lastColumn="0" w:oddVBand="0" w:evenVBand="0" w:oddHBand="1" w:evenHBand="0" w:firstRowFirstColumn="0" w:firstRowLastColumn="0" w:lastRowFirstColumn="0" w:lastRowLastColumn="0"/>
              <w:rPr>
                <w:bCs/>
              </w:rPr>
            </w:pPr>
            <w:r w:rsidRPr="00081042">
              <w:rPr>
                <w:bCs/>
              </w:rPr>
              <w:t xml:space="preserve">- </w:t>
            </w:r>
            <w:proofErr w:type="spellStart"/>
            <w:r w:rsidRPr="00081042">
              <w:rPr>
                <w:bCs/>
              </w:rPr>
              <w:t>bifidobacteria</w:t>
            </w:r>
            <w:proofErr w:type="spellEnd"/>
            <w:r w:rsidRPr="00081042">
              <w:rPr>
                <w:bCs/>
              </w:rPr>
              <w:t xml:space="preserve">: average increase of 0.42 log units after 4 weeks supplementation (p&lt;0.05) (log10, 8.78 to 9.2). Counts returned to the level before supplementation after cessation the consumption of </w:t>
            </w:r>
            <w:r w:rsidRPr="00081042">
              <w:rPr>
                <w:bCs/>
                <w:i/>
                <w:iCs/>
              </w:rPr>
              <w:t>B. lactis</w:t>
            </w:r>
            <w:r w:rsidRPr="00081042">
              <w:rPr>
                <w:bCs/>
              </w:rPr>
              <w:t xml:space="preserve"> HN019™ (log 10, 8.6). CFU/g.</w:t>
            </w:r>
          </w:p>
          <w:p w14:paraId="1EFC74C6" w14:textId="77777777" w:rsidR="00F273F6" w:rsidRPr="00081042" w:rsidRDefault="00F273F6" w:rsidP="00081042">
            <w:pPr>
              <w:spacing w:before="240"/>
              <w:cnfStyle w:val="000000100000" w:firstRow="0" w:lastRow="0" w:firstColumn="0" w:lastColumn="0" w:oddVBand="0" w:evenVBand="0" w:oddHBand="1" w:evenHBand="0" w:firstRowFirstColumn="0" w:firstRowLastColumn="0" w:lastRowFirstColumn="0" w:lastRowLastColumn="0"/>
              <w:rPr>
                <w:bCs/>
              </w:rPr>
            </w:pPr>
            <w:r w:rsidRPr="00081042">
              <w:rPr>
                <w:bCs/>
              </w:rPr>
              <w:t xml:space="preserve">-lactobacilli: significant increase of 1.33 log units after 4 weeks supplementation (p&lt;0.05). Counts returned to the level before supplementation after cessation the consumption of </w:t>
            </w:r>
            <w:r w:rsidRPr="00081042">
              <w:rPr>
                <w:bCs/>
                <w:i/>
                <w:iCs/>
              </w:rPr>
              <w:t>B. lactis</w:t>
            </w:r>
            <w:r w:rsidRPr="00081042">
              <w:rPr>
                <w:bCs/>
              </w:rPr>
              <w:t xml:space="preserve"> HN019™.</w:t>
            </w:r>
          </w:p>
          <w:p w14:paraId="56188966" w14:textId="77777777" w:rsidR="00F273F6" w:rsidRPr="00081042" w:rsidRDefault="00F273F6" w:rsidP="00081042">
            <w:pPr>
              <w:spacing w:before="240"/>
              <w:cnfStyle w:val="000000100000" w:firstRow="0" w:lastRow="0" w:firstColumn="0" w:lastColumn="0" w:oddVBand="0" w:evenVBand="0" w:oddHBand="1" w:evenHBand="0" w:firstRowFirstColumn="0" w:firstRowLastColumn="0" w:lastRowFirstColumn="0" w:lastRowLastColumn="0"/>
              <w:rPr>
                <w:bCs/>
              </w:rPr>
            </w:pPr>
            <w:r w:rsidRPr="00081042">
              <w:rPr>
                <w:bCs/>
              </w:rPr>
              <w:t>-A trend of decreased of Enterobacteria during supplementation.</w:t>
            </w:r>
          </w:p>
          <w:p w14:paraId="065BF41C" w14:textId="77777777" w:rsidR="00F273F6" w:rsidRPr="00081042" w:rsidRDefault="00F273F6" w:rsidP="00081042">
            <w:pPr>
              <w:spacing w:before="240"/>
              <w:cnfStyle w:val="000000100000" w:firstRow="0" w:lastRow="0" w:firstColumn="0" w:lastColumn="0" w:oddVBand="0" w:evenVBand="0" w:oddHBand="1" w:evenHBand="0" w:firstRowFirstColumn="0" w:firstRowLastColumn="0" w:lastRowFirstColumn="0" w:lastRowLastColumn="0"/>
              <w:rPr>
                <w:bCs/>
              </w:rPr>
            </w:pPr>
            <w:r w:rsidRPr="00081042">
              <w:rPr>
                <w:bCs/>
              </w:rPr>
              <w:t>-No change of any measured taxa in placebo group.</w:t>
            </w:r>
          </w:p>
          <w:p w14:paraId="10B098C9" w14:textId="77777777" w:rsidR="00F273F6" w:rsidRPr="00081042" w:rsidRDefault="00F273F6" w:rsidP="00081042">
            <w:pPr>
              <w:spacing w:before="240"/>
              <w:cnfStyle w:val="000000100000" w:firstRow="0" w:lastRow="0" w:firstColumn="0" w:lastColumn="0" w:oddVBand="0" w:evenVBand="0" w:oddHBand="1" w:evenHBand="0" w:firstRowFirstColumn="0" w:firstRowLastColumn="0" w:lastRowFirstColumn="0" w:lastRowLastColumn="0"/>
              <w:rPr>
                <w:bCs/>
              </w:rPr>
            </w:pPr>
            <w:r w:rsidRPr="00081042">
              <w:rPr>
                <w:bCs/>
              </w:rPr>
              <w:t>-</w:t>
            </w:r>
            <w:r w:rsidRPr="00081042">
              <w:rPr>
                <w:bCs/>
                <w:i/>
                <w:iCs/>
              </w:rPr>
              <w:t xml:space="preserve"> B. lactis</w:t>
            </w:r>
            <w:r w:rsidRPr="00081042">
              <w:rPr>
                <w:bCs/>
              </w:rPr>
              <w:t xml:space="preserve"> HN019™ / </w:t>
            </w:r>
            <w:proofErr w:type="spellStart"/>
            <w:r w:rsidRPr="00081042">
              <w:rPr>
                <w:bCs/>
              </w:rPr>
              <w:t>bifidobacteria</w:t>
            </w:r>
            <w:proofErr w:type="spellEnd"/>
            <w:r w:rsidRPr="00081042">
              <w:rPr>
                <w:bCs/>
              </w:rPr>
              <w:t>: average 28% (0.1%-68.8%)</w:t>
            </w:r>
          </w:p>
          <w:p w14:paraId="61E21CDA" w14:textId="77777777" w:rsidR="00F273F6" w:rsidRPr="00081042" w:rsidRDefault="00F273F6" w:rsidP="00081042">
            <w:pPr>
              <w:spacing w:before="240"/>
              <w:cnfStyle w:val="000000100000" w:firstRow="0" w:lastRow="0" w:firstColumn="0" w:lastColumn="0" w:oddVBand="0" w:evenVBand="0" w:oddHBand="1" w:evenHBand="0" w:firstRowFirstColumn="0" w:firstRowLastColumn="0" w:lastRowFirstColumn="0" w:lastRowLastColumn="0"/>
              <w:rPr>
                <w:bCs/>
              </w:rPr>
            </w:pPr>
            <w:r w:rsidRPr="00081042">
              <w:rPr>
                <w:bCs/>
              </w:rPr>
              <w:t xml:space="preserve">-No observed </w:t>
            </w:r>
            <w:r w:rsidRPr="00081042">
              <w:rPr>
                <w:bCs/>
                <w:i/>
                <w:iCs/>
              </w:rPr>
              <w:t>B. lactis</w:t>
            </w:r>
            <w:r w:rsidRPr="00081042">
              <w:rPr>
                <w:bCs/>
              </w:rPr>
              <w:t xml:space="preserve"> HN019™ before supplementation</w:t>
            </w:r>
          </w:p>
        </w:tc>
        <w:tc>
          <w:tcPr>
            <w:tcW w:w="1424" w:type="dxa"/>
          </w:tcPr>
          <w:p w14:paraId="3A79BC20" w14:textId="77777777" w:rsidR="00F273F6" w:rsidRPr="00081042" w:rsidRDefault="00F273F6" w:rsidP="00081042">
            <w:pPr>
              <w:spacing w:before="240"/>
              <w:cnfStyle w:val="000000100000" w:firstRow="0" w:lastRow="0" w:firstColumn="0" w:lastColumn="0" w:oddVBand="0" w:evenVBand="0" w:oddHBand="1" w:evenHBand="0" w:firstRowFirstColumn="0" w:firstRowLastColumn="0" w:lastRowFirstColumn="0" w:lastRowLastColumn="0"/>
              <w:rPr>
                <w:bCs/>
                <w:lang w:val="fi-FI"/>
              </w:rPr>
            </w:pPr>
            <w:r w:rsidRPr="00081042">
              <w:rPr>
                <w:bCs/>
                <w:lang w:val="fi-FI"/>
              </w:rPr>
              <w:t>(Gopal et al., 2003)</w:t>
            </w:r>
          </w:p>
        </w:tc>
      </w:tr>
    </w:tbl>
    <w:p w14:paraId="1A8069C3" w14:textId="77777777" w:rsidR="00F273F6" w:rsidRPr="00D31D0C" w:rsidRDefault="00F273F6" w:rsidP="00D31D0C">
      <w:pPr>
        <w:spacing w:before="240"/>
        <w:rPr>
          <w:bCs/>
          <w:lang w:val="nb-NO"/>
        </w:rPr>
        <w:sectPr w:rsidR="00F273F6" w:rsidRPr="00D31D0C" w:rsidSect="00F273F6">
          <w:footerReference w:type="default" r:id="rId7"/>
          <w:pgSz w:w="16838" w:h="11906" w:orient="landscape"/>
          <w:pgMar w:top="1440" w:right="1440" w:bottom="1440" w:left="1440" w:header="708" w:footer="708" w:gutter="0"/>
          <w:cols w:space="708"/>
          <w:docGrid w:linePitch="360"/>
        </w:sectPr>
      </w:pPr>
    </w:p>
    <w:p w14:paraId="505DF70B" w14:textId="5C64B4E9" w:rsidR="005A23C3" w:rsidRDefault="007E6E6B" w:rsidP="00AD48F2">
      <w:pPr>
        <w:pStyle w:val="EndNoteBibliography"/>
        <w:ind w:left="720" w:hanging="720"/>
        <w:jc w:val="both"/>
      </w:pPr>
      <w:r w:rsidRPr="007E6E6B">
        <w:lastRenderedPageBreak/>
        <w:t>Ahmed</w:t>
      </w:r>
      <w:r>
        <w:t xml:space="preserve"> </w:t>
      </w:r>
      <w:r w:rsidRPr="007E6E6B">
        <w:t>M, Prasad J, Gill H, Stevenson L, Gopal P.</w:t>
      </w:r>
      <w:r w:rsidRPr="007E6E6B">
        <w:t xml:space="preserve"> </w:t>
      </w:r>
      <w:r w:rsidR="005A23C3" w:rsidRPr="005A23C3">
        <w:t>Impact of consumption of</w:t>
      </w:r>
      <w:r w:rsidR="005A23C3">
        <w:t xml:space="preserve"> </w:t>
      </w:r>
      <w:r w:rsidR="005A23C3" w:rsidRPr="005A23C3">
        <w:t xml:space="preserve">different levels of </w:t>
      </w:r>
      <w:r w:rsidR="005A23C3" w:rsidRPr="005A23C3">
        <w:rPr>
          <w:i/>
          <w:iCs/>
        </w:rPr>
        <w:t xml:space="preserve">Bifidobacterium lactis </w:t>
      </w:r>
      <w:r w:rsidR="005A23C3" w:rsidRPr="005A23C3">
        <w:t>HN019 on the intestinal microflora</w:t>
      </w:r>
      <w:r w:rsidR="005A23C3">
        <w:t xml:space="preserve"> </w:t>
      </w:r>
      <w:r w:rsidR="005A23C3" w:rsidRPr="005A23C3">
        <w:t xml:space="preserve">of elderly human subjects. </w:t>
      </w:r>
      <w:r w:rsidR="005A23C3" w:rsidRPr="00086007">
        <w:rPr>
          <w:i/>
          <w:iCs/>
        </w:rPr>
        <w:t>J Nutr Health Aging</w:t>
      </w:r>
      <w:r w:rsidR="005A23C3" w:rsidRPr="005A23C3">
        <w:t>. (2007) 11:26–31</w:t>
      </w:r>
    </w:p>
    <w:p w14:paraId="41648DA8" w14:textId="6EC5370D" w:rsidR="00F273F6" w:rsidRPr="002B449C" w:rsidRDefault="00D31D1C" w:rsidP="00AD48F2">
      <w:pPr>
        <w:pStyle w:val="EndNoteBibliography"/>
        <w:ind w:left="720" w:hanging="720"/>
        <w:jc w:val="both"/>
      </w:pPr>
      <w:r w:rsidRPr="00D31D1C">
        <w:t>Gopal PK, Prasad J, Gill HS.</w:t>
      </w:r>
      <w:r w:rsidR="00F273F6" w:rsidRPr="002B449C">
        <w:t xml:space="preserve"> </w:t>
      </w:r>
      <w:r w:rsidR="00086007" w:rsidRPr="00086007">
        <w:t xml:space="preserve">Effects of the consumption of </w:t>
      </w:r>
      <w:r w:rsidR="00086007" w:rsidRPr="008551FD">
        <w:rPr>
          <w:i/>
          <w:iCs/>
        </w:rPr>
        <w:t>Bifidobacterium</w:t>
      </w:r>
      <w:r w:rsidR="00086007" w:rsidRPr="008551FD">
        <w:rPr>
          <w:i/>
          <w:iCs/>
        </w:rPr>
        <w:t xml:space="preserve"> </w:t>
      </w:r>
      <w:r w:rsidR="00086007" w:rsidRPr="00086007">
        <w:rPr>
          <w:i/>
          <w:iCs/>
        </w:rPr>
        <w:t>lactis</w:t>
      </w:r>
      <w:r w:rsidR="00086007" w:rsidRPr="00086007">
        <w:t xml:space="preserve"> HN019 (DR10 TM) and galacto-oligosaccharides on the microflora</w:t>
      </w:r>
      <w:r w:rsidR="00086007">
        <w:t xml:space="preserve"> </w:t>
      </w:r>
      <w:r w:rsidR="00086007" w:rsidRPr="00086007">
        <w:t xml:space="preserve">of the gastrointestinal tract in human subjects. </w:t>
      </w:r>
      <w:r w:rsidR="00086007" w:rsidRPr="00086007">
        <w:rPr>
          <w:i/>
          <w:iCs/>
        </w:rPr>
        <w:t>Nutr Res.</w:t>
      </w:r>
      <w:r w:rsidR="00086007" w:rsidRPr="00086007">
        <w:t xml:space="preserve"> (2003) 23:1313–28. doi: 10.1016/S0271-5317(03)00134-9</w:t>
      </w:r>
    </w:p>
    <w:p w14:paraId="19687DCC" w14:textId="77777777" w:rsidR="00AC559C" w:rsidRDefault="00AC559C" w:rsidP="00AD48F2">
      <w:pPr>
        <w:pStyle w:val="EndNoteBibliography"/>
        <w:ind w:left="720" w:hanging="720"/>
        <w:jc w:val="both"/>
      </w:pPr>
      <w:r w:rsidRPr="00AC559C">
        <w:t>Hemalatha R, Ouwehand AC, Forssten SD, Geddan JB, Mamidi RS, Bhaskar</w:t>
      </w:r>
      <w:r>
        <w:t xml:space="preserve"> </w:t>
      </w:r>
      <w:r w:rsidRPr="00AC559C">
        <w:t>V, et al. A community-based randomized double blind controlled trial</w:t>
      </w:r>
      <w:r>
        <w:t xml:space="preserve"> </w:t>
      </w:r>
      <w:r w:rsidRPr="00AC559C">
        <w:t xml:space="preserve">of </w:t>
      </w:r>
      <w:r w:rsidRPr="00AC559C">
        <w:rPr>
          <w:i/>
          <w:iCs/>
        </w:rPr>
        <w:t>Lactobacillus paracasei</w:t>
      </w:r>
      <w:r w:rsidRPr="00AC559C">
        <w:t xml:space="preserve"> and </w:t>
      </w:r>
      <w:r w:rsidRPr="00AC559C">
        <w:rPr>
          <w:i/>
          <w:iCs/>
        </w:rPr>
        <w:t>Bifidobacterium lactis</w:t>
      </w:r>
      <w:r w:rsidRPr="00AC559C">
        <w:t xml:space="preserve"> on reducing risk for</w:t>
      </w:r>
      <w:r>
        <w:t xml:space="preserve"> </w:t>
      </w:r>
      <w:r w:rsidRPr="00AC559C">
        <w:t xml:space="preserve">diarrhea and fever in preschool children in an urban slum in India. </w:t>
      </w:r>
      <w:r w:rsidRPr="00AC559C">
        <w:rPr>
          <w:i/>
          <w:iCs/>
        </w:rPr>
        <w:t>Eur J</w:t>
      </w:r>
      <w:r w:rsidRPr="009A356D">
        <w:rPr>
          <w:i/>
          <w:iCs/>
        </w:rPr>
        <w:t xml:space="preserve"> </w:t>
      </w:r>
      <w:r w:rsidRPr="00AC559C">
        <w:rPr>
          <w:i/>
          <w:iCs/>
        </w:rPr>
        <w:t>Food Res Rev</w:t>
      </w:r>
      <w:r w:rsidRPr="00AC559C">
        <w:t>. (2014) 4:325–41. doi: 10.9734/EJNFS/2014/8280</w:t>
      </w:r>
    </w:p>
    <w:p w14:paraId="48CBA027" w14:textId="77777777" w:rsidR="009863C4" w:rsidRDefault="00AC559C" w:rsidP="00AD48F2">
      <w:pPr>
        <w:pStyle w:val="EndNoteBibliography"/>
        <w:ind w:left="720" w:hanging="720"/>
        <w:jc w:val="both"/>
      </w:pPr>
      <w:r w:rsidRPr="00AC559C">
        <w:t>Hemalatha R, Ouwehand AC, Saarinen MT, Prasad UV, Swetha K, Bhaskar</w:t>
      </w:r>
      <w:r>
        <w:t xml:space="preserve"> </w:t>
      </w:r>
      <w:r w:rsidRPr="00AC559C">
        <w:t>V. Effect of probiotic supplementation on total Lactobacilli, bifidobacteria</w:t>
      </w:r>
      <w:r>
        <w:t xml:space="preserve"> </w:t>
      </w:r>
      <w:r w:rsidRPr="00AC559C">
        <w:t xml:space="preserve">and short chain fatty acids in 2-5-year-old children. </w:t>
      </w:r>
      <w:r w:rsidRPr="00AC559C">
        <w:rPr>
          <w:i/>
          <w:iCs/>
        </w:rPr>
        <w:t>Microb Ecol Health Dis.</w:t>
      </w:r>
      <w:r>
        <w:t xml:space="preserve"> </w:t>
      </w:r>
      <w:r w:rsidRPr="00AC559C">
        <w:t>(2017) 28:1298340. doi:10.1080/16512235.2017.1298340</w:t>
      </w:r>
    </w:p>
    <w:p w14:paraId="7B3F5AED" w14:textId="4330F8F5" w:rsidR="002F1245" w:rsidRPr="00434B8E" w:rsidRDefault="00434B8E" w:rsidP="00AD48F2">
      <w:pPr>
        <w:pStyle w:val="EndNoteBibliography"/>
        <w:ind w:left="720" w:hanging="720"/>
        <w:jc w:val="both"/>
      </w:pPr>
      <w:r w:rsidRPr="00434B8E">
        <w:t>Murphy R, Morgan XC, Wang XY, Wickens K, Purdie G, Fitzharris P,</w:t>
      </w:r>
      <w:r>
        <w:t xml:space="preserve"> </w:t>
      </w:r>
      <w:r w:rsidRPr="00434B8E">
        <w:t>et al. Eczema-protective</w:t>
      </w:r>
      <w:r>
        <w:t xml:space="preserve"> </w:t>
      </w:r>
      <w:r w:rsidRPr="00434B8E">
        <w:t>probiotic alters infant gut microbiome functional</w:t>
      </w:r>
      <w:r>
        <w:t xml:space="preserve"> </w:t>
      </w:r>
      <w:r w:rsidRPr="00434B8E">
        <w:t>capacity but not composition: sub-sample analysis from a RCT. Benef</w:t>
      </w:r>
      <w:r w:rsidRPr="009863C4">
        <w:t xml:space="preserve"> </w:t>
      </w:r>
      <w:r w:rsidRPr="009863C4">
        <w:t>Microbes.</w:t>
      </w:r>
      <w:r w:rsidRPr="00434B8E">
        <w:t xml:space="preserve"> (2019) 10:5–17. doi: 10.3920/BM2017.0191</w:t>
      </w:r>
    </w:p>
    <w:sectPr w:rsidR="002F1245" w:rsidRPr="00434B8E" w:rsidSect="0093429D">
      <w:headerReference w:type="even" r:id="rId8"/>
      <w:footerReference w:type="even" r:id="rId9"/>
      <w:footerReference w:type="default" r:id="rId10"/>
      <w:headerReference w:type="first" r:id="rId11"/>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EF028D" w14:textId="77777777" w:rsidR="00C42859" w:rsidRDefault="00C42859">
      <w:pPr>
        <w:spacing w:before="0" w:after="0"/>
      </w:pPr>
      <w:r>
        <w:separator/>
      </w:r>
    </w:p>
  </w:endnote>
  <w:endnote w:type="continuationSeparator" w:id="0">
    <w:p w14:paraId="35C58AC7" w14:textId="77777777" w:rsidR="00C42859" w:rsidRDefault="00C4285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69598235"/>
      <w:docPartObj>
        <w:docPartGallery w:val="Page Numbers (Bottom of Page)"/>
        <w:docPartUnique/>
      </w:docPartObj>
    </w:sdtPr>
    <w:sdtEndPr>
      <w:rPr>
        <w:noProof/>
      </w:rPr>
    </w:sdtEndPr>
    <w:sdtContent>
      <w:p w14:paraId="2D2DC00E" w14:textId="77777777" w:rsidR="00D31D0C" w:rsidRDefault="00F273F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F2DA30A" w14:textId="77777777" w:rsidR="00D31D0C" w:rsidRDefault="00AD48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8E62F6" w14:textId="77777777" w:rsidR="00995F6A" w:rsidRPr="00577C4C" w:rsidRDefault="00F273F6">
    <w:pPr>
      <w:rPr>
        <w:color w:val="C00000"/>
        <w:szCs w:val="24"/>
      </w:rPr>
    </w:pPr>
    <w:r>
      <w:rPr>
        <w:noProof/>
        <w:lang w:val="en-GB" w:eastAsia="en-GB"/>
      </w:rPr>
      <mc:AlternateContent>
        <mc:Choice Requires="wps">
          <w:drawing>
            <wp:anchor distT="0" distB="0" distL="114300" distR="114300" simplePos="0" relativeHeight="251660288" behindDoc="0" locked="0" layoutInCell="1" allowOverlap="1" wp14:anchorId="67DD2FC6" wp14:editId="2B7EB05F">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0A7D42C9" w14:textId="77777777" w:rsidR="00995F6A" w:rsidRPr="00577C4C" w:rsidRDefault="00F273F6">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7DD2FC6" id="_x0000_t202" coordsize="21600,21600" o:spt="202" path="m,l,21600r21600,l21600,xe">
              <v:stroke joinstyle="miter"/>
              <v:path gradientshapeok="t" o:connecttype="rect"/>
            </v:shapetype>
            <v:shape id="Text Box 1" o:spid="_x0000_s1026" type="#_x0000_t202" style="position:absolute;margin-left:67.6pt;margin-top:0;width:118.8pt;height:31.15pt;z-index:251660288;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" filled="f" stroked="f" strokeweight=".5pt">
              <v:textbox style="mso-fit-shape-to-text:t">
                <w:txbxContent>
                  <w:p w14:paraId="0A7D42C9" w14:textId="77777777" w:rsidR="00995F6A" w:rsidRPr="00577C4C" w:rsidRDefault="00F273F6">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9ED083" w14:textId="77777777" w:rsidR="00995F6A" w:rsidRPr="00577C4C" w:rsidRDefault="00F273F6">
    <w:pPr>
      <w:rPr>
        <w:b/>
        <w:sz w:val="20"/>
        <w:szCs w:val="24"/>
      </w:rPr>
    </w:pPr>
    <w:r>
      <w:rPr>
        <w:noProof/>
        <w:lang w:val="en-GB" w:eastAsia="en-GB"/>
      </w:rPr>
      <mc:AlternateContent>
        <mc:Choice Requires="wps">
          <w:drawing>
            <wp:anchor distT="0" distB="0" distL="114300" distR="114300" simplePos="0" relativeHeight="251659264" behindDoc="0" locked="0" layoutInCell="1" allowOverlap="1" wp14:anchorId="36410680" wp14:editId="77A33C1B">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4B8D978C" w14:textId="77777777" w:rsidR="00995F6A" w:rsidRPr="00577C4C" w:rsidRDefault="00F273F6">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6410680" id="_x0000_t202" coordsize="21600,21600" o:spt="202" path="m,l,21600r21600,l21600,xe">
              <v:stroke joinstyle="miter"/>
              <v:path gradientshapeok="t" o:connecttype="rect"/>
            </v:shapetype>
            <v:shape id="Text Box 56" o:spid="_x0000_s1027"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" filled="f" stroked="f" strokeweight=".5pt">
              <v:textbox style="mso-fit-shape-to-text:t">
                <w:txbxContent>
                  <w:p w14:paraId="4B8D978C" w14:textId="77777777" w:rsidR="00995F6A" w:rsidRPr="00577C4C" w:rsidRDefault="00F273F6">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A364B3" w14:textId="77777777" w:rsidR="00C42859" w:rsidRDefault="00C42859">
      <w:pPr>
        <w:spacing w:before="0" w:after="0"/>
      </w:pPr>
      <w:r>
        <w:separator/>
      </w:r>
    </w:p>
  </w:footnote>
  <w:footnote w:type="continuationSeparator" w:id="0">
    <w:p w14:paraId="127F5EDC" w14:textId="77777777" w:rsidR="00C42859" w:rsidRDefault="00C4285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525124" w14:textId="77777777" w:rsidR="00995F6A" w:rsidRPr="009151AA" w:rsidRDefault="00F273F6">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83469E" w14:textId="77777777" w:rsidR="00995F6A" w:rsidRDefault="00F273F6" w:rsidP="0093429D">
    <w:r w:rsidRPr="005A1D84">
      <w:rPr>
        <w:b/>
        <w:noProof/>
        <w:color w:val="A6A6A6" w:themeColor="background1" w:themeShade="A6"/>
        <w:lang w:val="en-GB" w:eastAsia="en-GB"/>
      </w:rPr>
      <w:drawing>
        <wp:inline distT="0" distB="0" distL="0" distR="0" wp14:anchorId="4C45CF52" wp14:editId="2D2F4BD7">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Pr="007E3148">
      <w:rPr>
        <w:b/>
      </w:rPr>
      <w:ptab w:relativeTo="margin" w:alignment="center" w:leader="none"/>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abstractNumId w:val="0"/>
  </w:num>
  <w:num w:numId="2">
    <w:abstractNumId w:val="4"/>
  </w:num>
  <w:num w:numId="3">
    <w:abstractNumId w:val="1"/>
  </w:num>
  <w:num w:numId="4">
    <w:abstractNumId w:val="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s>
  <w:rsids>
    <w:rsidRoot w:val="00F273F6"/>
    <w:rsid w:val="00032FB9"/>
    <w:rsid w:val="000604A2"/>
    <w:rsid w:val="00086007"/>
    <w:rsid w:val="00093864"/>
    <w:rsid w:val="001D6366"/>
    <w:rsid w:val="002932ED"/>
    <w:rsid w:val="00347DB4"/>
    <w:rsid w:val="00434B8E"/>
    <w:rsid w:val="005A23C3"/>
    <w:rsid w:val="007E6E6B"/>
    <w:rsid w:val="008551FD"/>
    <w:rsid w:val="00870494"/>
    <w:rsid w:val="00871F5B"/>
    <w:rsid w:val="009863C4"/>
    <w:rsid w:val="009A356D"/>
    <w:rsid w:val="00AC559C"/>
    <w:rsid w:val="00AD48F2"/>
    <w:rsid w:val="00B85D39"/>
    <w:rsid w:val="00C42859"/>
    <w:rsid w:val="00C937CD"/>
    <w:rsid w:val="00D31D1C"/>
    <w:rsid w:val="00F273F6"/>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9A969"/>
  <w15:chartTrackingRefBased/>
  <w15:docId w15:val="{46EC5E9E-B7F5-48FB-8786-922E2D85B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i-FI"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73F6"/>
    <w:pPr>
      <w:spacing w:before="120" w:after="240" w:line="240" w:lineRule="auto"/>
    </w:pPr>
    <w:rPr>
      <w:rFonts w:ascii="Times New Roman" w:eastAsiaTheme="minorHAnsi" w:hAnsi="Times New Roman"/>
      <w:sz w:val="24"/>
      <w:lang w:val="en-US" w:eastAsia="en-US"/>
    </w:rPr>
  </w:style>
  <w:style w:type="paragraph" w:styleId="Heading1">
    <w:name w:val="heading 1"/>
    <w:basedOn w:val="ListParagraph"/>
    <w:next w:val="Normal"/>
    <w:link w:val="Heading1Char"/>
    <w:uiPriority w:val="2"/>
    <w:qFormat/>
    <w:rsid w:val="00F273F6"/>
    <w:pPr>
      <w:numPr>
        <w:numId w:val="8"/>
      </w:numPr>
      <w:spacing w:before="240"/>
      <w:contextualSpacing w:val="0"/>
      <w:outlineLvl w:val="0"/>
    </w:pPr>
    <w:rPr>
      <w:b/>
    </w:rPr>
  </w:style>
  <w:style w:type="paragraph" w:styleId="Heading2">
    <w:name w:val="heading 2"/>
    <w:basedOn w:val="Heading1"/>
    <w:next w:val="Normal"/>
    <w:link w:val="Heading2Char"/>
    <w:uiPriority w:val="2"/>
    <w:qFormat/>
    <w:rsid w:val="00F273F6"/>
    <w:pPr>
      <w:numPr>
        <w:ilvl w:val="1"/>
      </w:numPr>
      <w:spacing w:after="200"/>
      <w:outlineLvl w:val="1"/>
    </w:pPr>
  </w:style>
  <w:style w:type="paragraph" w:styleId="Heading3">
    <w:name w:val="heading 3"/>
    <w:basedOn w:val="Normal"/>
    <w:next w:val="Normal"/>
    <w:link w:val="Heading3Char"/>
    <w:uiPriority w:val="2"/>
    <w:qFormat/>
    <w:rsid w:val="00F273F6"/>
    <w:pPr>
      <w:keepNext/>
      <w:keepLines/>
      <w:numPr>
        <w:ilvl w:val="2"/>
        <w:numId w:val="8"/>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F273F6"/>
    <w:pPr>
      <w:numPr>
        <w:ilvl w:val="3"/>
      </w:numPr>
      <w:outlineLvl w:val="3"/>
    </w:pPr>
    <w:rPr>
      <w:iCs/>
    </w:rPr>
  </w:style>
  <w:style w:type="paragraph" w:styleId="Heading5">
    <w:name w:val="heading 5"/>
    <w:basedOn w:val="Heading4"/>
    <w:next w:val="Normal"/>
    <w:link w:val="Heading5Char"/>
    <w:uiPriority w:val="2"/>
    <w:qFormat/>
    <w:rsid w:val="00F273F6"/>
    <w:pPr>
      <w:numPr>
        <w:ilvl w:val="4"/>
      </w:numPr>
      <w:outlineLvl w:val="4"/>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F273F6"/>
    <w:rPr>
      <w:rFonts w:ascii="Times New Roman" w:eastAsia="Cambria" w:hAnsi="Times New Roman" w:cs="Times New Roman"/>
      <w:b/>
      <w:sz w:val="24"/>
      <w:szCs w:val="24"/>
      <w:lang w:val="en-US" w:eastAsia="en-US"/>
    </w:rPr>
  </w:style>
  <w:style w:type="character" w:customStyle="1" w:styleId="Heading2Char">
    <w:name w:val="Heading 2 Char"/>
    <w:basedOn w:val="DefaultParagraphFont"/>
    <w:link w:val="Heading2"/>
    <w:uiPriority w:val="2"/>
    <w:rsid w:val="00F273F6"/>
    <w:rPr>
      <w:rFonts w:ascii="Times New Roman" w:eastAsia="Cambria" w:hAnsi="Times New Roman" w:cs="Times New Roman"/>
      <w:b/>
      <w:sz w:val="24"/>
      <w:szCs w:val="24"/>
      <w:lang w:val="en-US" w:eastAsia="en-US"/>
    </w:rPr>
  </w:style>
  <w:style w:type="character" w:customStyle="1" w:styleId="Heading3Char">
    <w:name w:val="Heading 3 Char"/>
    <w:basedOn w:val="DefaultParagraphFont"/>
    <w:link w:val="Heading3"/>
    <w:uiPriority w:val="2"/>
    <w:rsid w:val="00F273F6"/>
    <w:rPr>
      <w:rFonts w:ascii="Times New Roman" w:eastAsiaTheme="majorEastAsia" w:hAnsi="Times New Roman" w:cstheme="majorBidi"/>
      <w:b/>
      <w:sz w:val="24"/>
      <w:szCs w:val="24"/>
      <w:lang w:val="en-US" w:eastAsia="en-US"/>
    </w:rPr>
  </w:style>
  <w:style w:type="character" w:customStyle="1" w:styleId="Heading4Char">
    <w:name w:val="Heading 4 Char"/>
    <w:basedOn w:val="DefaultParagraphFont"/>
    <w:link w:val="Heading4"/>
    <w:uiPriority w:val="2"/>
    <w:rsid w:val="00F273F6"/>
    <w:rPr>
      <w:rFonts w:ascii="Times New Roman" w:eastAsiaTheme="majorEastAsia" w:hAnsi="Times New Roman" w:cstheme="majorBidi"/>
      <w:b/>
      <w:iCs/>
      <w:sz w:val="24"/>
      <w:szCs w:val="24"/>
      <w:lang w:val="en-US" w:eastAsia="en-US"/>
    </w:rPr>
  </w:style>
  <w:style w:type="character" w:customStyle="1" w:styleId="Heading5Char">
    <w:name w:val="Heading 5 Char"/>
    <w:basedOn w:val="DefaultParagraphFont"/>
    <w:link w:val="Heading5"/>
    <w:uiPriority w:val="2"/>
    <w:rsid w:val="00F273F6"/>
    <w:rPr>
      <w:rFonts w:ascii="Times New Roman" w:eastAsiaTheme="majorEastAsia" w:hAnsi="Times New Roman" w:cstheme="majorBidi"/>
      <w:b/>
      <w:iCs/>
      <w:sz w:val="24"/>
      <w:szCs w:val="24"/>
      <w:lang w:val="en-US" w:eastAsia="en-US"/>
    </w:rPr>
  </w:style>
  <w:style w:type="paragraph" w:styleId="Subtitle">
    <w:name w:val="Subtitle"/>
    <w:basedOn w:val="Normal"/>
    <w:next w:val="Normal"/>
    <w:link w:val="SubtitleChar"/>
    <w:uiPriority w:val="99"/>
    <w:unhideWhenUsed/>
    <w:qFormat/>
    <w:rsid w:val="00F273F6"/>
    <w:pPr>
      <w:spacing w:before="240"/>
    </w:pPr>
    <w:rPr>
      <w:rFonts w:cs="Times New Roman"/>
      <w:b/>
      <w:szCs w:val="24"/>
    </w:rPr>
  </w:style>
  <w:style w:type="character" w:customStyle="1" w:styleId="SubtitleChar">
    <w:name w:val="Subtitle Char"/>
    <w:basedOn w:val="DefaultParagraphFont"/>
    <w:link w:val="Subtitle"/>
    <w:uiPriority w:val="99"/>
    <w:rsid w:val="00F273F6"/>
    <w:rPr>
      <w:rFonts w:ascii="Times New Roman" w:eastAsiaTheme="minorHAnsi" w:hAnsi="Times New Roman" w:cs="Times New Roman"/>
      <w:b/>
      <w:sz w:val="24"/>
      <w:szCs w:val="24"/>
      <w:lang w:val="en-US" w:eastAsia="en-US"/>
    </w:rPr>
  </w:style>
  <w:style w:type="paragraph" w:customStyle="1" w:styleId="AuthorList">
    <w:name w:val="Author List"/>
    <w:aliases w:val="Keywords,Abstract"/>
    <w:basedOn w:val="Subtitle"/>
    <w:next w:val="Normal"/>
    <w:uiPriority w:val="1"/>
    <w:qFormat/>
    <w:rsid w:val="00F273F6"/>
  </w:style>
  <w:style w:type="paragraph" w:styleId="BalloonText">
    <w:name w:val="Balloon Text"/>
    <w:basedOn w:val="Normal"/>
    <w:link w:val="BalloonTextChar"/>
    <w:uiPriority w:val="99"/>
    <w:semiHidden/>
    <w:unhideWhenUsed/>
    <w:rsid w:val="00F273F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73F6"/>
    <w:rPr>
      <w:rFonts w:ascii="Tahoma" w:eastAsiaTheme="minorHAnsi" w:hAnsi="Tahoma" w:cs="Tahoma"/>
      <w:sz w:val="16"/>
      <w:szCs w:val="16"/>
      <w:lang w:val="en-US" w:eastAsia="en-US"/>
    </w:rPr>
  </w:style>
  <w:style w:type="character" w:styleId="BookTitle">
    <w:name w:val="Book Title"/>
    <w:basedOn w:val="DefaultParagraphFont"/>
    <w:uiPriority w:val="33"/>
    <w:qFormat/>
    <w:rsid w:val="00F273F6"/>
    <w:rPr>
      <w:rFonts w:ascii="Times New Roman" w:hAnsi="Times New Roman"/>
      <w:b/>
      <w:bCs/>
      <w:i/>
      <w:iCs/>
      <w:spacing w:val="5"/>
    </w:rPr>
  </w:style>
  <w:style w:type="paragraph" w:styleId="Caption">
    <w:name w:val="caption"/>
    <w:basedOn w:val="Normal"/>
    <w:next w:val="NoSpacing"/>
    <w:uiPriority w:val="35"/>
    <w:unhideWhenUsed/>
    <w:qFormat/>
    <w:rsid w:val="00F273F6"/>
    <w:pPr>
      <w:keepNext/>
    </w:pPr>
    <w:rPr>
      <w:rFonts w:cs="Times New Roman"/>
      <w:b/>
      <w:bCs/>
      <w:szCs w:val="24"/>
    </w:rPr>
  </w:style>
  <w:style w:type="paragraph" w:styleId="NoSpacing">
    <w:name w:val="No Spacing"/>
    <w:uiPriority w:val="99"/>
    <w:unhideWhenUsed/>
    <w:qFormat/>
    <w:rsid w:val="00F273F6"/>
    <w:pPr>
      <w:spacing w:after="0" w:line="240" w:lineRule="auto"/>
    </w:pPr>
    <w:rPr>
      <w:rFonts w:ascii="Times New Roman" w:eastAsiaTheme="minorHAnsi" w:hAnsi="Times New Roman"/>
      <w:sz w:val="24"/>
      <w:lang w:val="en-US" w:eastAsia="en-US"/>
    </w:rPr>
  </w:style>
  <w:style w:type="character" w:styleId="CommentReference">
    <w:name w:val="annotation reference"/>
    <w:basedOn w:val="DefaultParagraphFont"/>
    <w:uiPriority w:val="99"/>
    <w:semiHidden/>
    <w:unhideWhenUsed/>
    <w:rsid w:val="00F273F6"/>
    <w:rPr>
      <w:sz w:val="16"/>
      <w:szCs w:val="16"/>
    </w:rPr>
  </w:style>
  <w:style w:type="paragraph" w:styleId="CommentText">
    <w:name w:val="annotation text"/>
    <w:basedOn w:val="Normal"/>
    <w:link w:val="CommentTextChar"/>
    <w:uiPriority w:val="99"/>
    <w:semiHidden/>
    <w:unhideWhenUsed/>
    <w:rsid w:val="00F273F6"/>
    <w:rPr>
      <w:sz w:val="20"/>
      <w:szCs w:val="20"/>
    </w:rPr>
  </w:style>
  <w:style w:type="character" w:customStyle="1" w:styleId="CommentTextChar">
    <w:name w:val="Comment Text Char"/>
    <w:basedOn w:val="DefaultParagraphFont"/>
    <w:link w:val="CommentText"/>
    <w:uiPriority w:val="99"/>
    <w:semiHidden/>
    <w:rsid w:val="00F273F6"/>
    <w:rPr>
      <w:rFonts w:ascii="Times New Roman" w:eastAsiaTheme="minorHAnsi" w:hAnsi="Times New Roman"/>
      <w:sz w:val="20"/>
      <w:szCs w:val="20"/>
      <w:lang w:val="en-US" w:eastAsia="en-US"/>
    </w:rPr>
  </w:style>
  <w:style w:type="paragraph" w:styleId="CommentSubject">
    <w:name w:val="annotation subject"/>
    <w:basedOn w:val="CommentText"/>
    <w:next w:val="CommentText"/>
    <w:link w:val="CommentSubjectChar"/>
    <w:uiPriority w:val="99"/>
    <w:semiHidden/>
    <w:unhideWhenUsed/>
    <w:rsid w:val="00F273F6"/>
    <w:rPr>
      <w:b/>
      <w:bCs/>
    </w:rPr>
  </w:style>
  <w:style w:type="character" w:customStyle="1" w:styleId="CommentSubjectChar">
    <w:name w:val="Comment Subject Char"/>
    <w:basedOn w:val="CommentTextChar"/>
    <w:link w:val="CommentSubject"/>
    <w:uiPriority w:val="99"/>
    <w:semiHidden/>
    <w:rsid w:val="00F273F6"/>
    <w:rPr>
      <w:rFonts w:ascii="Times New Roman" w:eastAsiaTheme="minorHAnsi" w:hAnsi="Times New Roman"/>
      <w:b/>
      <w:bCs/>
      <w:sz w:val="20"/>
      <w:szCs w:val="20"/>
      <w:lang w:val="en-US" w:eastAsia="en-US"/>
    </w:rPr>
  </w:style>
  <w:style w:type="character" w:styleId="Emphasis">
    <w:name w:val="Emphasis"/>
    <w:basedOn w:val="DefaultParagraphFont"/>
    <w:uiPriority w:val="20"/>
    <w:qFormat/>
    <w:rsid w:val="00F273F6"/>
    <w:rPr>
      <w:rFonts w:ascii="Times New Roman" w:hAnsi="Times New Roman"/>
      <w:i/>
      <w:iCs/>
    </w:rPr>
  </w:style>
  <w:style w:type="character" w:styleId="EndnoteReference">
    <w:name w:val="endnote reference"/>
    <w:basedOn w:val="DefaultParagraphFont"/>
    <w:uiPriority w:val="99"/>
    <w:semiHidden/>
    <w:unhideWhenUsed/>
    <w:rsid w:val="00F273F6"/>
    <w:rPr>
      <w:vertAlign w:val="superscript"/>
    </w:rPr>
  </w:style>
  <w:style w:type="paragraph" w:styleId="EndnoteText">
    <w:name w:val="endnote text"/>
    <w:basedOn w:val="Normal"/>
    <w:link w:val="EndnoteTextChar"/>
    <w:uiPriority w:val="99"/>
    <w:semiHidden/>
    <w:unhideWhenUsed/>
    <w:rsid w:val="00F273F6"/>
    <w:pPr>
      <w:spacing w:after="0"/>
    </w:pPr>
    <w:rPr>
      <w:sz w:val="20"/>
      <w:szCs w:val="20"/>
    </w:rPr>
  </w:style>
  <w:style w:type="character" w:customStyle="1" w:styleId="EndnoteTextChar">
    <w:name w:val="Endnote Text Char"/>
    <w:basedOn w:val="DefaultParagraphFont"/>
    <w:link w:val="EndnoteText"/>
    <w:uiPriority w:val="99"/>
    <w:semiHidden/>
    <w:rsid w:val="00F273F6"/>
    <w:rPr>
      <w:rFonts w:ascii="Times New Roman" w:eastAsiaTheme="minorHAnsi" w:hAnsi="Times New Roman"/>
      <w:sz w:val="20"/>
      <w:szCs w:val="20"/>
      <w:lang w:val="en-US" w:eastAsia="en-US"/>
    </w:rPr>
  </w:style>
  <w:style w:type="character" w:styleId="FollowedHyperlink">
    <w:name w:val="FollowedHyperlink"/>
    <w:basedOn w:val="DefaultParagraphFont"/>
    <w:uiPriority w:val="99"/>
    <w:semiHidden/>
    <w:unhideWhenUsed/>
    <w:rsid w:val="00F273F6"/>
    <w:rPr>
      <w:color w:val="954F72" w:themeColor="followedHyperlink"/>
      <w:u w:val="single"/>
    </w:rPr>
  </w:style>
  <w:style w:type="paragraph" w:styleId="Footer">
    <w:name w:val="footer"/>
    <w:basedOn w:val="Normal"/>
    <w:link w:val="FooterChar"/>
    <w:uiPriority w:val="99"/>
    <w:unhideWhenUsed/>
    <w:rsid w:val="00F273F6"/>
    <w:pPr>
      <w:tabs>
        <w:tab w:val="center" w:pos="4844"/>
        <w:tab w:val="right" w:pos="9689"/>
      </w:tabs>
      <w:spacing w:after="0"/>
    </w:pPr>
  </w:style>
  <w:style w:type="character" w:customStyle="1" w:styleId="FooterChar">
    <w:name w:val="Footer Char"/>
    <w:basedOn w:val="DefaultParagraphFont"/>
    <w:link w:val="Footer"/>
    <w:uiPriority w:val="99"/>
    <w:rsid w:val="00F273F6"/>
    <w:rPr>
      <w:rFonts w:ascii="Times New Roman" w:eastAsiaTheme="minorHAnsi" w:hAnsi="Times New Roman"/>
      <w:sz w:val="24"/>
      <w:lang w:val="en-US" w:eastAsia="en-US"/>
    </w:rPr>
  </w:style>
  <w:style w:type="character" w:styleId="FootnoteReference">
    <w:name w:val="footnote reference"/>
    <w:basedOn w:val="DefaultParagraphFont"/>
    <w:uiPriority w:val="99"/>
    <w:semiHidden/>
    <w:unhideWhenUsed/>
    <w:rsid w:val="00F273F6"/>
    <w:rPr>
      <w:vertAlign w:val="superscript"/>
    </w:rPr>
  </w:style>
  <w:style w:type="paragraph" w:styleId="FootnoteText">
    <w:name w:val="footnote text"/>
    <w:basedOn w:val="Normal"/>
    <w:link w:val="FootnoteTextChar"/>
    <w:uiPriority w:val="99"/>
    <w:semiHidden/>
    <w:unhideWhenUsed/>
    <w:rsid w:val="00F273F6"/>
    <w:pPr>
      <w:spacing w:after="0"/>
    </w:pPr>
    <w:rPr>
      <w:sz w:val="20"/>
      <w:szCs w:val="20"/>
    </w:rPr>
  </w:style>
  <w:style w:type="character" w:customStyle="1" w:styleId="FootnoteTextChar">
    <w:name w:val="Footnote Text Char"/>
    <w:basedOn w:val="DefaultParagraphFont"/>
    <w:link w:val="FootnoteText"/>
    <w:uiPriority w:val="99"/>
    <w:semiHidden/>
    <w:rsid w:val="00F273F6"/>
    <w:rPr>
      <w:rFonts w:ascii="Times New Roman" w:eastAsiaTheme="minorHAnsi" w:hAnsi="Times New Roman"/>
      <w:sz w:val="20"/>
      <w:szCs w:val="20"/>
      <w:lang w:val="en-US" w:eastAsia="en-US"/>
    </w:rPr>
  </w:style>
  <w:style w:type="paragraph" w:styleId="Header">
    <w:name w:val="header"/>
    <w:basedOn w:val="Normal"/>
    <w:link w:val="HeaderChar"/>
    <w:uiPriority w:val="99"/>
    <w:unhideWhenUsed/>
    <w:rsid w:val="00F273F6"/>
    <w:pPr>
      <w:tabs>
        <w:tab w:val="center" w:pos="4844"/>
        <w:tab w:val="right" w:pos="9689"/>
      </w:tabs>
    </w:pPr>
    <w:rPr>
      <w:b/>
    </w:rPr>
  </w:style>
  <w:style w:type="character" w:customStyle="1" w:styleId="HeaderChar">
    <w:name w:val="Header Char"/>
    <w:basedOn w:val="DefaultParagraphFont"/>
    <w:link w:val="Header"/>
    <w:uiPriority w:val="99"/>
    <w:rsid w:val="00F273F6"/>
    <w:rPr>
      <w:rFonts w:ascii="Times New Roman" w:eastAsiaTheme="minorHAnsi" w:hAnsi="Times New Roman"/>
      <w:b/>
      <w:sz w:val="24"/>
      <w:lang w:val="en-US" w:eastAsia="en-US"/>
    </w:rPr>
  </w:style>
  <w:style w:type="paragraph" w:styleId="ListParagraph">
    <w:name w:val="List Paragraph"/>
    <w:basedOn w:val="Normal"/>
    <w:uiPriority w:val="3"/>
    <w:qFormat/>
    <w:rsid w:val="00F273F6"/>
    <w:pPr>
      <w:numPr>
        <w:numId w:val="6"/>
      </w:numPr>
      <w:contextualSpacing/>
    </w:pPr>
    <w:rPr>
      <w:rFonts w:eastAsia="Cambria" w:cs="Times New Roman"/>
      <w:szCs w:val="24"/>
    </w:rPr>
  </w:style>
  <w:style w:type="numbering" w:customStyle="1" w:styleId="Headings">
    <w:name w:val="Headings"/>
    <w:uiPriority w:val="99"/>
    <w:rsid w:val="00F273F6"/>
    <w:pPr>
      <w:numPr>
        <w:numId w:val="8"/>
      </w:numPr>
    </w:pPr>
  </w:style>
  <w:style w:type="character" w:styleId="Hyperlink">
    <w:name w:val="Hyperlink"/>
    <w:basedOn w:val="DefaultParagraphFont"/>
    <w:uiPriority w:val="99"/>
    <w:unhideWhenUsed/>
    <w:rsid w:val="00F273F6"/>
    <w:rPr>
      <w:color w:val="0000FF"/>
      <w:u w:val="single"/>
    </w:rPr>
  </w:style>
  <w:style w:type="character" w:styleId="IntenseEmphasis">
    <w:name w:val="Intense Emphasis"/>
    <w:basedOn w:val="DefaultParagraphFont"/>
    <w:uiPriority w:val="21"/>
    <w:unhideWhenUsed/>
    <w:rsid w:val="00F273F6"/>
    <w:rPr>
      <w:rFonts w:ascii="Times New Roman" w:hAnsi="Times New Roman"/>
      <w:i/>
      <w:iCs/>
      <w:color w:val="auto"/>
    </w:rPr>
  </w:style>
  <w:style w:type="character" w:styleId="IntenseReference">
    <w:name w:val="Intense Reference"/>
    <w:basedOn w:val="DefaultParagraphFont"/>
    <w:uiPriority w:val="32"/>
    <w:qFormat/>
    <w:rsid w:val="00F273F6"/>
    <w:rPr>
      <w:b/>
      <w:bCs/>
      <w:smallCaps/>
      <w:color w:val="auto"/>
      <w:spacing w:val="5"/>
    </w:rPr>
  </w:style>
  <w:style w:type="character" w:styleId="LineNumber">
    <w:name w:val="line number"/>
    <w:basedOn w:val="DefaultParagraphFont"/>
    <w:uiPriority w:val="99"/>
    <w:semiHidden/>
    <w:unhideWhenUsed/>
    <w:rsid w:val="00F273F6"/>
  </w:style>
  <w:style w:type="paragraph" w:styleId="NormalWeb">
    <w:name w:val="Normal (Web)"/>
    <w:basedOn w:val="Normal"/>
    <w:uiPriority w:val="99"/>
    <w:unhideWhenUsed/>
    <w:rsid w:val="00F273F6"/>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F273F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273F6"/>
    <w:rPr>
      <w:rFonts w:ascii="Times New Roman" w:eastAsiaTheme="minorHAnsi" w:hAnsi="Times New Roman"/>
      <w:i/>
      <w:iCs/>
      <w:color w:val="404040" w:themeColor="text1" w:themeTint="BF"/>
      <w:sz w:val="24"/>
      <w:lang w:val="en-US" w:eastAsia="en-US"/>
    </w:rPr>
  </w:style>
  <w:style w:type="character" w:styleId="Strong">
    <w:name w:val="Strong"/>
    <w:basedOn w:val="DefaultParagraphFont"/>
    <w:uiPriority w:val="22"/>
    <w:qFormat/>
    <w:rsid w:val="00F273F6"/>
    <w:rPr>
      <w:rFonts w:ascii="Times New Roman" w:hAnsi="Times New Roman"/>
      <w:b/>
      <w:bCs/>
    </w:rPr>
  </w:style>
  <w:style w:type="character" w:styleId="SubtleEmphasis">
    <w:name w:val="Subtle Emphasis"/>
    <w:basedOn w:val="DefaultParagraphFont"/>
    <w:uiPriority w:val="19"/>
    <w:qFormat/>
    <w:rsid w:val="00F273F6"/>
    <w:rPr>
      <w:rFonts w:ascii="Times New Roman" w:hAnsi="Times New Roman"/>
      <w:i/>
      <w:iCs/>
      <w:color w:val="404040" w:themeColor="text1" w:themeTint="BF"/>
    </w:rPr>
  </w:style>
  <w:style w:type="table" w:styleId="TableGrid">
    <w:name w:val="Table Grid"/>
    <w:basedOn w:val="TableNormal"/>
    <w:uiPriority w:val="59"/>
    <w:rsid w:val="00F273F6"/>
    <w:pPr>
      <w:spacing w:after="0" w:line="240" w:lineRule="auto"/>
    </w:pPr>
    <w:rPr>
      <w:rFonts w:asciiTheme="majorHAnsi" w:eastAsiaTheme="minorHAnsi" w:hAnsiTheme="maj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F273F6"/>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F273F6"/>
    <w:rPr>
      <w:rFonts w:ascii="Times New Roman" w:eastAsiaTheme="minorHAnsi" w:hAnsi="Times New Roman" w:cs="Times New Roman"/>
      <w:b/>
      <w:sz w:val="32"/>
      <w:szCs w:val="32"/>
      <w:lang w:val="en-US" w:eastAsia="en-US"/>
    </w:rPr>
  </w:style>
  <w:style w:type="paragraph" w:customStyle="1" w:styleId="SupplementaryMaterial">
    <w:name w:val="Supplementary Material"/>
    <w:basedOn w:val="Title"/>
    <w:next w:val="Title"/>
    <w:qFormat/>
    <w:rsid w:val="00F273F6"/>
    <w:pPr>
      <w:spacing w:after="120"/>
    </w:pPr>
    <w:rPr>
      <w:i/>
    </w:rPr>
  </w:style>
  <w:style w:type="table" w:styleId="PlainTable2">
    <w:name w:val="Plain Table 2"/>
    <w:basedOn w:val="TableNormal"/>
    <w:uiPriority w:val="42"/>
    <w:rsid w:val="00F273F6"/>
    <w:pPr>
      <w:spacing w:after="0" w:line="240" w:lineRule="auto"/>
    </w:pPr>
    <w:rPr>
      <w:rFonts w:eastAsiaTheme="minorHAnsi"/>
      <w:lang w:val="en-US"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EndNoteBibliographyTitle">
    <w:name w:val="EndNote Bibliography Title"/>
    <w:basedOn w:val="Normal"/>
    <w:link w:val="EndNoteBibliographyTitleChar"/>
    <w:rsid w:val="00F273F6"/>
    <w:pPr>
      <w:spacing w:after="0"/>
      <w:jc w:val="center"/>
    </w:pPr>
    <w:rPr>
      <w:rFonts w:cs="Times New Roman"/>
      <w:noProof/>
    </w:rPr>
  </w:style>
  <w:style w:type="character" w:customStyle="1" w:styleId="EndNoteBibliographyTitleChar">
    <w:name w:val="EndNote Bibliography Title Char"/>
    <w:basedOn w:val="DefaultParagraphFont"/>
    <w:link w:val="EndNoteBibliographyTitle"/>
    <w:rsid w:val="00F273F6"/>
    <w:rPr>
      <w:rFonts w:ascii="Times New Roman" w:eastAsiaTheme="minorHAnsi" w:hAnsi="Times New Roman" w:cs="Times New Roman"/>
      <w:noProof/>
      <w:sz w:val="24"/>
      <w:lang w:val="en-US" w:eastAsia="en-US"/>
    </w:rPr>
  </w:style>
  <w:style w:type="paragraph" w:customStyle="1" w:styleId="EndNoteBibliography">
    <w:name w:val="EndNote Bibliography"/>
    <w:basedOn w:val="Normal"/>
    <w:link w:val="EndNoteBibliographyChar"/>
    <w:rsid w:val="00F273F6"/>
    <w:rPr>
      <w:rFonts w:cs="Times New Roman"/>
      <w:noProof/>
    </w:rPr>
  </w:style>
  <w:style w:type="character" w:customStyle="1" w:styleId="EndNoteBibliographyChar">
    <w:name w:val="EndNote Bibliography Char"/>
    <w:basedOn w:val="DefaultParagraphFont"/>
    <w:link w:val="EndNoteBibliography"/>
    <w:rsid w:val="00F273F6"/>
    <w:rPr>
      <w:rFonts w:ascii="Times New Roman" w:eastAsiaTheme="minorHAnsi" w:hAnsi="Times New Roman" w:cs="Times New Roman"/>
      <w:noProof/>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4</Pages>
  <Words>521</Words>
  <Characters>4227</Characters>
  <Application>Microsoft Office Word</Application>
  <DocSecurity>0</DocSecurity>
  <Lines>35</Lines>
  <Paragraphs>9</Paragraphs>
  <ScaleCrop>false</ScaleCrop>
  <Company/>
  <LinksUpToDate>false</LinksUpToDate>
  <CharactersWithSpaces>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 Cheng</dc:creator>
  <cp:keywords/>
  <dc:description/>
  <cp:lastModifiedBy>Jing Cheng</cp:lastModifiedBy>
  <cp:revision>20</cp:revision>
  <dcterms:created xsi:type="dcterms:W3CDTF">2021-11-12T11:55:00Z</dcterms:created>
  <dcterms:modified xsi:type="dcterms:W3CDTF">2021-11-29T14:10:00Z</dcterms:modified>
</cp:coreProperties>
</file>