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11C6" w14:textId="1D636F87" w:rsidR="009A0199" w:rsidRPr="009A0199" w:rsidRDefault="009A0199">
      <w:pPr>
        <w:rPr>
          <w:rFonts w:ascii="Arial" w:hAnsi="Arial" w:cs="Arial"/>
          <w:sz w:val="24"/>
          <w:szCs w:val="24"/>
        </w:rPr>
      </w:pPr>
      <w:r w:rsidRPr="009A0199">
        <w:rPr>
          <w:rFonts w:ascii="Arial" w:hAnsi="Arial" w:cs="Arial"/>
          <w:sz w:val="24"/>
          <w:szCs w:val="24"/>
        </w:rPr>
        <w:t>Supplementary Materials</w:t>
      </w:r>
    </w:p>
    <w:p w14:paraId="138A7BCC" w14:textId="77777777" w:rsidR="009A0199" w:rsidRPr="009A0199" w:rsidRDefault="009A0199" w:rsidP="009A0199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34DA035E" w14:textId="4FC26DF5" w:rsidR="009A0199" w:rsidRPr="009A0199" w:rsidRDefault="00CF0A81" w:rsidP="009A019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CF0A8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ED715EB" wp14:editId="5A079705">
            <wp:extent cx="3278038" cy="519555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400" cy="521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8C7D7" w14:textId="1EEF9989" w:rsidR="009A0199" w:rsidRPr="009A0199" w:rsidRDefault="009A0199" w:rsidP="009A0199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9A0199">
        <w:rPr>
          <w:rFonts w:ascii="Arial" w:hAnsi="Arial" w:cs="Arial"/>
          <w:b/>
          <w:bCs/>
          <w:sz w:val="24"/>
          <w:szCs w:val="24"/>
        </w:rPr>
        <w:t>Figure S1.</w:t>
      </w:r>
      <w:r w:rsidRPr="009A0199">
        <w:rPr>
          <w:rFonts w:ascii="Arial" w:hAnsi="Arial" w:cs="Arial"/>
          <w:sz w:val="24"/>
          <w:szCs w:val="24"/>
        </w:rPr>
        <w:t xml:space="preserve"> </w:t>
      </w:r>
      <w:r w:rsidRPr="009A0199">
        <w:rPr>
          <w:rFonts w:ascii="Arial" w:hAnsi="Arial" w:cs="Arial"/>
          <w:b/>
          <w:bCs/>
          <w:sz w:val="24"/>
          <w:szCs w:val="24"/>
        </w:rPr>
        <w:t xml:space="preserve">Robustness to humanization of the gut microbiota in captive </w:t>
      </w:r>
      <w:proofErr w:type="spellStart"/>
      <w:r w:rsidRPr="009A0199">
        <w:rPr>
          <w:rFonts w:ascii="Arial" w:hAnsi="Arial" w:cs="Arial"/>
          <w:b/>
          <w:bCs/>
          <w:sz w:val="24"/>
          <w:szCs w:val="24"/>
        </w:rPr>
        <w:t>Orycteropodidae</w:t>
      </w:r>
      <w:proofErr w:type="spellEnd"/>
      <w:r w:rsidRPr="009A0199">
        <w:rPr>
          <w:rFonts w:ascii="Arial" w:hAnsi="Arial" w:cs="Arial"/>
          <w:b/>
          <w:bCs/>
          <w:sz w:val="24"/>
          <w:szCs w:val="24"/>
        </w:rPr>
        <w:t xml:space="preserve">. </w:t>
      </w:r>
      <w:r w:rsidRPr="009A0199">
        <w:rPr>
          <w:rFonts w:ascii="Arial" w:hAnsi="Arial" w:cs="Arial"/>
          <w:sz w:val="24"/>
          <w:szCs w:val="24"/>
        </w:rPr>
        <w:t xml:space="preserve">Boxplots show microbiota dissimilarities (binary Sorensen-Dice) between humans and </w:t>
      </w:r>
      <w:r>
        <w:rPr>
          <w:rFonts w:ascii="Arial" w:hAnsi="Arial" w:cs="Arial"/>
          <w:sz w:val="24"/>
          <w:szCs w:val="24"/>
        </w:rPr>
        <w:t xml:space="preserve">wild </w:t>
      </w:r>
      <w:proofErr w:type="spellStart"/>
      <w:r w:rsidRPr="009A0199">
        <w:rPr>
          <w:rFonts w:ascii="Arial" w:hAnsi="Arial" w:cs="Arial"/>
          <w:sz w:val="24"/>
          <w:szCs w:val="24"/>
        </w:rPr>
        <w:t>Orycteropodidae</w:t>
      </w:r>
      <w:proofErr w:type="spellEnd"/>
      <w:r w:rsidRPr="009A0199">
        <w:rPr>
          <w:rFonts w:ascii="Arial" w:hAnsi="Arial" w:cs="Arial"/>
          <w:sz w:val="24"/>
          <w:szCs w:val="24"/>
        </w:rPr>
        <w:t xml:space="preserve"> (red boxes) and between humans and captive </w:t>
      </w:r>
      <w:proofErr w:type="spellStart"/>
      <w:r w:rsidRPr="009A0199">
        <w:rPr>
          <w:rFonts w:ascii="Arial" w:hAnsi="Arial" w:cs="Arial"/>
          <w:sz w:val="24"/>
          <w:szCs w:val="24"/>
        </w:rPr>
        <w:t>Orycteropodidae</w:t>
      </w:r>
      <w:proofErr w:type="spellEnd"/>
      <w:r w:rsidRPr="009A0199">
        <w:rPr>
          <w:rFonts w:ascii="Arial" w:hAnsi="Arial" w:cs="Arial"/>
          <w:sz w:val="24"/>
          <w:szCs w:val="24"/>
        </w:rPr>
        <w:t xml:space="preserve"> (blue boxes). Each box shows median and interquartile range. Significant differences between boxplots within each panel are denoted with asterisks; </w:t>
      </w:r>
      <w:r>
        <w:rPr>
          <w:rFonts w:ascii="Arial" w:hAnsi="Arial" w:cs="Arial"/>
          <w:sz w:val="24"/>
          <w:szCs w:val="24"/>
        </w:rPr>
        <w:t>***</w:t>
      </w:r>
      <w:r w:rsidRPr="009A0199">
        <w:rPr>
          <w:rFonts w:ascii="Arial" w:hAnsi="Arial" w:cs="Arial"/>
          <w:sz w:val="24"/>
          <w:szCs w:val="24"/>
        </w:rPr>
        <w:t xml:space="preserve"> </w:t>
      </w:r>
      <w:r w:rsidRPr="009A0199">
        <w:rPr>
          <w:rFonts w:ascii="Arial" w:hAnsi="Arial" w:cs="Arial"/>
          <w:i/>
          <w:iCs/>
          <w:sz w:val="24"/>
          <w:szCs w:val="24"/>
        </w:rPr>
        <w:t xml:space="preserve">p </w:t>
      </w:r>
      <w:r>
        <w:rPr>
          <w:rFonts w:ascii="Arial" w:hAnsi="Arial" w:cs="Arial"/>
          <w:sz w:val="24"/>
          <w:szCs w:val="24"/>
        </w:rPr>
        <w:t>=</w:t>
      </w:r>
      <w:r w:rsidRPr="009A0199">
        <w:rPr>
          <w:rFonts w:ascii="Arial" w:hAnsi="Arial" w:cs="Arial"/>
          <w:sz w:val="24"/>
          <w:szCs w:val="24"/>
        </w:rPr>
        <w:t xml:space="preserve"> 0.0</w:t>
      </w:r>
      <w:r>
        <w:rPr>
          <w:rFonts w:ascii="Arial" w:hAnsi="Arial" w:cs="Arial"/>
          <w:sz w:val="24"/>
          <w:szCs w:val="24"/>
        </w:rPr>
        <w:t>01</w:t>
      </w:r>
      <w:r w:rsidRPr="009A0199">
        <w:rPr>
          <w:rFonts w:ascii="Arial" w:hAnsi="Arial" w:cs="Arial"/>
          <w:sz w:val="24"/>
          <w:szCs w:val="24"/>
        </w:rPr>
        <w:t>; nonparametric Monte-Carlo permutation tests.</w:t>
      </w:r>
    </w:p>
    <w:p w14:paraId="0ABA5B86" w14:textId="3CD0985E" w:rsidR="009A0199" w:rsidRDefault="00E42F2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Table S1. Metadata for samples from humans and wild and captive mammals. </w:t>
      </w:r>
    </w:p>
    <w:p w14:paraId="7D7B9D86" w14:textId="3EC7E50B" w:rsidR="00E42F25" w:rsidRDefault="00E42F2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Table S2. Combined ASV table of human and mammalian gut microbiota</w:t>
      </w:r>
    </w:p>
    <w:p w14:paraId="651168A8" w14:textId="78B36F84" w:rsidR="00E42F25" w:rsidRPr="00E42F25" w:rsidRDefault="00E42F2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Table S3. Taxonomic assignments of ASVs </w:t>
      </w:r>
      <w:r w:rsidR="004116C4">
        <w:rPr>
          <w:rFonts w:ascii="Arial" w:hAnsi="Arial" w:cs="Arial"/>
          <w:b/>
          <w:bCs/>
          <w:sz w:val="24"/>
          <w:szCs w:val="24"/>
        </w:rPr>
        <w:t>based on the</w:t>
      </w:r>
      <w:r>
        <w:rPr>
          <w:rFonts w:ascii="Arial" w:hAnsi="Arial" w:cs="Arial"/>
          <w:b/>
          <w:bCs/>
          <w:sz w:val="24"/>
          <w:szCs w:val="24"/>
        </w:rPr>
        <w:t xml:space="preserve"> Silva 138 database.</w:t>
      </w:r>
    </w:p>
    <w:sectPr w:rsidR="00E42F25" w:rsidRPr="00E42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99"/>
    <w:rsid w:val="004116C4"/>
    <w:rsid w:val="009A0199"/>
    <w:rsid w:val="00CF0A81"/>
    <w:rsid w:val="00E4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40D9A"/>
  <w15:chartTrackingRefBased/>
  <w15:docId w15:val="{46D60805-CF1B-414A-816E-DD1F1E90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Moeller</dc:creator>
  <cp:keywords/>
  <dc:description/>
  <cp:lastModifiedBy>andrew Moeller</cp:lastModifiedBy>
  <cp:revision>4</cp:revision>
  <dcterms:created xsi:type="dcterms:W3CDTF">2021-09-14T15:31:00Z</dcterms:created>
  <dcterms:modified xsi:type="dcterms:W3CDTF">2021-09-19T14:50:00Z</dcterms:modified>
</cp:coreProperties>
</file>