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B2A2E" w:rsidRDefault="00654E8F" w:rsidP="001B2A2E">
      <w:pPr>
        <w:pStyle w:val="SupplementaryMaterial"/>
        <w:rPr>
          <w:b w:val="0"/>
          <w:sz w:val="24"/>
          <w:szCs w:val="24"/>
        </w:rPr>
      </w:pPr>
      <w:r w:rsidRPr="001B2A2E">
        <w:rPr>
          <w:sz w:val="24"/>
          <w:szCs w:val="24"/>
        </w:rPr>
        <w:t>Supplementary Material</w:t>
      </w:r>
    </w:p>
    <w:p w14:paraId="4D059444" w14:textId="5EC22548" w:rsidR="00994A3D" w:rsidRPr="001B2A2E" w:rsidRDefault="00654E8F" w:rsidP="001B2A2E">
      <w:pPr>
        <w:pStyle w:val="Heading1"/>
      </w:pPr>
      <w:r w:rsidRPr="001B2A2E">
        <w:t>Supple</w:t>
      </w:r>
      <w:r w:rsidR="001B2A2E" w:rsidRPr="001B2A2E">
        <w:t xml:space="preserve">mentary </w:t>
      </w:r>
      <w:r w:rsidRPr="001B2A2E">
        <w:t>Tables</w:t>
      </w:r>
    </w:p>
    <w:p w14:paraId="509FCE29" w14:textId="77777777" w:rsidR="001B2A2E" w:rsidRPr="001B2A2E" w:rsidRDefault="001B2A2E" w:rsidP="001B2A2E">
      <w:pPr>
        <w:pStyle w:val="17Table-Title-Center"/>
        <w:spacing w:before="0" w:after="0"/>
        <w:contextualSpacing/>
        <w:rPr>
          <w:rFonts w:cs="Times New Roman"/>
          <w:b w:val="0"/>
          <w:sz w:val="24"/>
        </w:rPr>
      </w:pPr>
      <w:r w:rsidRPr="001B2A2E">
        <w:rPr>
          <w:rFonts w:cs="Times New Roman"/>
          <w:b w:val="0"/>
          <w:sz w:val="24"/>
        </w:rPr>
        <w:t xml:space="preserve">Table S1. Characteristic of </w:t>
      </w:r>
      <w:proofErr w:type="spellStart"/>
      <w:r w:rsidRPr="001B2A2E">
        <w:rPr>
          <w:rFonts w:cs="Times New Roman"/>
          <w:b w:val="0"/>
          <w:sz w:val="24"/>
        </w:rPr>
        <w:t>Novasource</w:t>
      </w:r>
      <w:proofErr w:type="spellEnd"/>
      <w:r w:rsidRPr="001B2A2E">
        <w:rPr>
          <w:rFonts w:cs="Times New Roman"/>
          <w:b w:val="0"/>
          <w:sz w:val="24"/>
        </w:rPr>
        <w:t xml:space="preserve"> Renal</w:t>
      </w:r>
    </w:p>
    <w:p w14:paraId="1DB4D1AA" w14:textId="77777777" w:rsidR="001B2A2E" w:rsidRPr="001B2A2E" w:rsidRDefault="001B2A2E" w:rsidP="001B2A2E">
      <w:pPr>
        <w:pStyle w:val="21Table-Contents-Left"/>
        <w:spacing w:before="0" w:after="0"/>
        <w:contextualSpacing/>
        <w:rPr>
          <w:rFonts w:cs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62"/>
      </w:tblGrid>
      <w:tr w:rsidR="001B2A2E" w:rsidRPr="001B2A2E" w14:paraId="50A36AF5" w14:textId="77777777" w:rsidTr="004A79F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C2746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Characteristic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B6AF7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Description</w:t>
            </w:r>
          </w:p>
        </w:tc>
      </w:tr>
      <w:tr w:rsidR="001B2A2E" w:rsidRPr="001B2A2E" w14:paraId="1EADC846" w14:textId="77777777" w:rsidTr="004A79F1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284B220E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>Product type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65663FE3" w14:textId="77777777" w:rsidR="001B2A2E" w:rsidRPr="001B2A2E" w:rsidRDefault="001B2A2E" w:rsidP="001B2A2E">
            <w:pPr>
              <w:pStyle w:val="20Table-Contents-Center"/>
              <w:spacing w:before="0" w:after="0"/>
              <w:contextualSpacing/>
              <w:rPr>
                <w:sz w:val="24"/>
              </w:rPr>
            </w:pPr>
            <w:r w:rsidRPr="001B2A2E">
              <w:rPr>
                <w:sz w:val="24"/>
              </w:rPr>
              <w:t>Liquid</w:t>
            </w:r>
          </w:p>
        </w:tc>
      </w:tr>
      <w:tr w:rsidR="001B2A2E" w:rsidRPr="001B2A2E" w14:paraId="5C9A14FB" w14:textId="77777777" w:rsidTr="004A79F1">
        <w:tc>
          <w:tcPr>
            <w:tcW w:w="2943" w:type="dxa"/>
            <w:shd w:val="clear" w:color="auto" w:fill="auto"/>
          </w:tcPr>
          <w:p w14:paraId="0BE8F2FC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>Volume</w:t>
            </w:r>
          </w:p>
        </w:tc>
        <w:tc>
          <w:tcPr>
            <w:tcW w:w="4962" w:type="dxa"/>
            <w:shd w:val="clear" w:color="auto" w:fill="auto"/>
          </w:tcPr>
          <w:p w14:paraId="02BE60F4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237 ml</w:t>
            </w:r>
          </w:p>
        </w:tc>
      </w:tr>
      <w:tr w:rsidR="001B2A2E" w:rsidRPr="001B2A2E" w14:paraId="275C8F87" w14:textId="77777777" w:rsidTr="004A79F1">
        <w:tc>
          <w:tcPr>
            <w:tcW w:w="2943" w:type="dxa"/>
            <w:shd w:val="clear" w:color="auto" w:fill="auto"/>
          </w:tcPr>
          <w:p w14:paraId="1E23BEB3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 xml:space="preserve">Calorie/serving </w:t>
            </w:r>
          </w:p>
        </w:tc>
        <w:tc>
          <w:tcPr>
            <w:tcW w:w="4962" w:type="dxa"/>
            <w:shd w:val="clear" w:color="auto" w:fill="auto"/>
          </w:tcPr>
          <w:p w14:paraId="5C579784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475 kcal /2 kcal/ml</w:t>
            </w:r>
          </w:p>
        </w:tc>
      </w:tr>
      <w:tr w:rsidR="001B2A2E" w:rsidRPr="001B2A2E" w14:paraId="74519641" w14:textId="77777777" w:rsidTr="004A79F1">
        <w:tc>
          <w:tcPr>
            <w:tcW w:w="2943" w:type="dxa"/>
            <w:shd w:val="clear" w:color="auto" w:fill="auto"/>
          </w:tcPr>
          <w:p w14:paraId="24FAE917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>Protein/serving</w:t>
            </w:r>
          </w:p>
        </w:tc>
        <w:tc>
          <w:tcPr>
            <w:tcW w:w="4962" w:type="dxa"/>
            <w:shd w:val="clear" w:color="auto" w:fill="auto"/>
          </w:tcPr>
          <w:p w14:paraId="48CCCFED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21.7 g</w:t>
            </w:r>
          </w:p>
        </w:tc>
      </w:tr>
      <w:tr w:rsidR="001B2A2E" w:rsidRPr="001B2A2E" w14:paraId="74FDAEA0" w14:textId="77777777" w:rsidTr="004A79F1">
        <w:tc>
          <w:tcPr>
            <w:tcW w:w="2943" w:type="dxa"/>
            <w:shd w:val="clear" w:color="auto" w:fill="auto"/>
          </w:tcPr>
          <w:p w14:paraId="78FE2FAD" w14:textId="77777777" w:rsidR="001B2A2E" w:rsidRPr="001B2A2E" w:rsidRDefault="001B2A2E" w:rsidP="001B2A2E">
            <w:pPr>
              <w:pStyle w:val="21Table-Contents-Left"/>
              <w:spacing w:before="0" w:after="0"/>
              <w:contextualSpacing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>Fat/ serving</w:t>
            </w:r>
          </w:p>
        </w:tc>
        <w:tc>
          <w:tcPr>
            <w:tcW w:w="4962" w:type="dxa"/>
            <w:shd w:val="clear" w:color="auto" w:fill="auto"/>
          </w:tcPr>
          <w:p w14:paraId="4A77E79F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23.8 g</w:t>
            </w:r>
          </w:p>
        </w:tc>
      </w:tr>
      <w:tr w:rsidR="001B2A2E" w:rsidRPr="001B2A2E" w14:paraId="06EBA23A" w14:textId="77777777" w:rsidTr="004A79F1">
        <w:tc>
          <w:tcPr>
            <w:tcW w:w="2943" w:type="dxa"/>
            <w:shd w:val="clear" w:color="auto" w:fill="auto"/>
          </w:tcPr>
          <w:p w14:paraId="43213798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>Carbohydrate/serving</w:t>
            </w:r>
          </w:p>
        </w:tc>
        <w:tc>
          <w:tcPr>
            <w:tcW w:w="4962" w:type="dxa"/>
            <w:shd w:val="clear" w:color="auto" w:fill="auto"/>
          </w:tcPr>
          <w:p w14:paraId="6C5EABA4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43.5 g</w:t>
            </w:r>
          </w:p>
        </w:tc>
      </w:tr>
      <w:tr w:rsidR="001B2A2E" w:rsidRPr="001B2A2E" w14:paraId="5AF7907A" w14:textId="77777777" w:rsidTr="004A79F1">
        <w:tc>
          <w:tcPr>
            <w:tcW w:w="2943" w:type="dxa"/>
            <w:shd w:val="clear" w:color="auto" w:fill="auto"/>
          </w:tcPr>
          <w:p w14:paraId="18BB3110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>Sodium/serving</w:t>
            </w:r>
          </w:p>
        </w:tc>
        <w:tc>
          <w:tcPr>
            <w:tcW w:w="4962" w:type="dxa"/>
            <w:shd w:val="clear" w:color="auto" w:fill="auto"/>
          </w:tcPr>
          <w:p w14:paraId="6055E9CF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225 mg</w:t>
            </w:r>
          </w:p>
        </w:tc>
      </w:tr>
      <w:tr w:rsidR="001B2A2E" w:rsidRPr="001B2A2E" w14:paraId="6BE4A174" w14:textId="77777777" w:rsidTr="004A79F1">
        <w:tc>
          <w:tcPr>
            <w:tcW w:w="2943" w:type="dxa"/>
            <w:shd w:val="clear" w:color="auto" w:fill="auto"/>
          </w:tcPr>
          <w:p w14:paraId="666E6FD6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>Potassium/serving</w:t>
            </w:r>
          </w:p>
        </w:tc>
        <w:tc>
          <w:tcPr>
            <w:tcW w:w="4962" w:type="dxa"/>
            <w:shd w:val="clear" w:color="auto" w:fill="auto"/>
          </w:tcPr>
          <w:p w14:paraId="35C54494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225 mg</w:t>
            </w:r>
          </w:p>
        </w:tc>
      </w:tr>
      <w:tr w:rsidR="001B2A2E" w:rsidRPr="001B2A2E" w14:paraId="09F086BC" w14:textId="77777777" w:rsidTr="004A79F1">
        <w:tc>
          <w:tcPr>
            <w:tcW w:w="2943" w:type="dxa"/>
            <w:shd w:val="clear" w:color="auto" w:fill="auto"/>
          </w:tcPr>
          <w:p w14:paraId="3D12C81E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>Phosphate/serving</w:t>
            </w:r>
          </w:p>
        </w:tc>
        <w:tc>
          <w:tcPr>
            <w:tcW w:w="4962" w:type="dxa"/>
            <w:shd w:val="clear" w:color="auto" w:fill="auto"/>
          </w:tcPr>
          <w:p w14:paraId="1493ECCF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195 mg</w:t>
            </w:r>
          </w:p>
        </w:tc>
      </w:tr>
      <w:tr w:rsidR="001B2A2E" w:rsidRPr="001B2A2E" w14:paraId="44752BFF" w14:textId="77777777" w:rsidTr="004A79F1">
        <w:tc>
          <w:tcPr>
            <w:tcW w:w="2943" w:type="dxa"/>
            <w:shd w:val="clear" w:color="auto" w:fill="auto"/>
          </w:tcPr>
          <w:p w14:paraId="6B6DA35A" w14:textId="77777777" w:rsidR="001B2A2E" w:rsidRPr="001B2A2E" w:rsidRDefault="001B2A2E" w:rsidP="001B2A2E">
            <w:pPr>
              <w:pStyle w:val="21Table-Contents-Left"/>
              <w:keepNext/>
              <w:keepLines/>
              <w:spacing w:before="0" w:after="0"/>
              <w:contextualSpacing/>
              <w:outlineLvl w:val="7"/>
              <w:rPr>
                <w:rFonts w:cs="Times New Roman"/>
                <w:sz w:val="24"/>
              </w:rPr>
            </w:pPr>
            <w:r w:rsidRPr="001B2A2E">
              <w:rPr>
                <w:rFonts w:cs="Times New Roman"/>
                <w:sz w:val="24"/>
              </w:rPr>
              <w:t xml:space="preserve">Source of protein </w:t>
            </w:r>
          </w:p>
        </w:tc>
        <w:tc>
          <w:tcPr>
            <w:tcW w:w="4962" w:type="dxa"/>
            <w:shd w:val="clear" w:color="auto" w:fill="auto"/>
          </w:tcPr>
          <w:p w14:paraId="6820915B" w14:textId="77777777" w:rsidR="001B2A2E" w:rsidRPr="001B2A2E" w:rsidRDefault="001B2A2E" w:rsidP="001B2A2E">
            <w:pPr>
              <w:pStyle w:val="20Table-Contents-Center"/>
              <w:keepNext/>
              <w:keepLines/>
              <w:spacing w:before="0" w:after="0"/>
              <w:contextualSpacing/>
              <w:outlineLvl w:val="7"/>
              <w:rPr>
                <w:sz w:val="24"/>
              </w:rPr>
            </w:pPr>
            <w:r w:rsidRPr="001B2A2E">
              <w:rPr>
                <w:sz w:val="24"/>
              </w:rPr>
              <w:t>Sodium and calcium caseinates, L-arginine</w:t>
            </w:r>
          </w:p>
        </w:tc>
      </w:tr>
    </w:tbl>
    <w:p w14:paraId="5E25AA9B" w14:textId="77777777" w:rsidR="001B2A2E" w:rsidRPr="001B2A2E" w:rsidRDefault="001B2A2E" w:rsidP="001B2A2E">
      <w:pPr>
        <w:rPr>
          <w:rFonts w:cs="Times New Roman"/>
          <w:b/>
          <w:szCs w:val="24"/>
        </w:rPr>
      </w:pPr>
    </w:p>
    <w:p w14:paraId="660ED565" w14:textId="77777777" w:rsidR="001B2A2E" w:rsidRPr="001B2A2E" w:rsidRDefault="001B2A2E" w:rsidP="001B2A2E">
      <w:pPr>
        <w:rPr>
          <w:rFonts w:cs="Times New Roman"/>
          <w:szCs w:val="24"/>
        </w:rPr>
      </w:pPr>
    </w:p>
    <w:p w14:paraId="621D82C5" w14:textId="77777777" w:rsidR="001B2A2E" w:rsidRPr="001B2A2E" w:rsidRDefault="001B2A2E" w:rsidP="001B2A2E">
      <w:pPr>
        <w:rPr>
          <w:rFonts w:cs="Times New Roman"/>
          <w:szCs w:val="24"/>
        </w:rPr>
      </w:pPr>
    </w:p>
    <w:p w14:paraId="212E9BCE" w14:textId="77777777" w:rsidR="001B2A2E" w:rsidRPr="001B2A2E" w:rsidRDefault="001B2A2E" w:rsidP="001B2A2E">
      <w:pPr>
        <w:rPr>
          <w:rFonts w:cs="Times New Roman"/>
          <w:szCs w:val="24"/>
        </w:rPr>
      </w:pPr>
    </w:p>
    <w:p w14:paraId="141BF851" w14:textId="77777777" w:rsidR="001B2A2E" w:rsidRPr="001B2A2E" w:rsidRDefault="001B2A2E" w:rsidP="001B2A2E">
      <w:pPr>
        <w:rPr>
          <w:rFonts w:cs="Times New Roman"/>
          <w:szCs w:val="24"/>
        </w:rPr>
      </w:pPr>
    </w:p>
    <w:p w14:paraId="10120409" w14:textId="77777777" w:rsidR="001B2A2E" w:rsidRPr="001B2A2E" w:rsidRDefault="001B2A2E" w:rsidP="001B2A2E">
      <w:pPr>
        <w:rPr>
          <w:rFonts w:cs="Times New Roman"/>
          <w:szCs w:val="24"/>
        </w:rPr>
      </w:pPr>
    </w:p>
    <w:p w14:paraId="1E31811F" w14:textId="77777777" w:rsidR="001B2A2E" w:rsidRPr="001B2A2E" w:rsidRDefault="001B2A2E" w:rsidP="001B2A2E">
      <w:pPr>
        <w:rPr>
          <w:rFonts w:cs="Times New Roman"/>
          <w:szCs w:val="24"/>
        </w:rPr>
      </w:pPr>
    </w:p>
    <w:p w14:paraId="7A18F3EE" w14:textId="77777777" w:rsidR="001B2A2E" w:rsidRDefault="001B2A2E" w:rsidP="001B2A2E">
      <w:pPr>
        <w:rPr>
          <w:rFonts w:cs="Times New Roman"/>
          <w:szCs w:val="24"/>
        </w:rPr>
        <w:sectPr w:rsidR="001B2A2E" w:rsidSect="00296F2A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BC97290" w14:textId="77777777" w:rsidR="001B2A2E" w:rsidRPr="001B2A2E" w:rsidRDefault="001B2A2E" w:rsidP="001B2A2E">
      <w:pPr>
        <w:pStyle w:val="11Normal02-SecondOnwardParagraph"/>
        <w:spacing w:before="0" w:after="0" w:line="240" w:lineRule="auto"/>
        <w:ind w:firstLine="0"/>
        <w:contextualSpacing/>
        <w:jc w:val="center"/>
        <w:rPr>
          <w:rFonts w:cs="Times New Roman"/>
        </w:rPr>
      </w:pPr>
      <w:r w:rsidRPr="001B2A2E">
        <w:rPr>
          <w:rFonts w:cs="Times New Roman"/>
        </w:rPr>
        <w:lastRenderedPageBreak/>
        <w:t xml:space="preserve">Table S2. Changes in US-derived muscle measures according to treatment groups </w:t>
      </w:r>
    </w:p>
    <w:p w14:paraId="4A3CBCF4" w14:textId="77777777" w:rsidR="001B2A2E" w:rsidRPr="001B2A2E" w:rsidRDefault="001B2A2E" w:rsidP="001B2A2E">
      <w:pPr>
        <w:pStyle w:val="11Normal02-SecondOnwardParagraph"/>
        <w:spacing w:before="0" w:after="0" w:line="240" w:lineRule="auto"/>
        <w:ind w:firstLine="0"/>
        <w:contextualSpacing/>
        <w:jc w:val="center"/>
        <w:rPr>
          <w:rFonts w:cs="Times New Roman"/>
        </w:rPr>
      </w:pPr>
    </w:p>
    <w:tbl>
      <w:tblPr>
        <w:tblStyle w:val="TableGrid"/>
        <w:tblW w:w="1581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1446"/>
        <w:gridCol w:w="1446"/>
        <w:gridCol w:w="1446"/>
        <w:gridCol w:w="1446"/>
        <w:gridCol w:w="1446"/>
        <w:gridCol w:w="1304"/>
        <w:gridCol w:w="1305"/>
        <w:gridCol w:w="1304"/>
        <w:gridCol w:w="1305"/>
        <w:gridCol w:w="1305"/>
      </w:tblGrid>
      <w:tr w:rsidR="001B2A2E" w:rsidRPr="001B2A2E" w14:paraId="11471498" w14:textId="77777777" w:rsidTr="004A79F1">
        <w:trPr>
          <w:jc w:val="center"/>
        </w:trPr>
        <w:tc>
          <w:tcPr>
            <w:tcW w:w="2062" w:type="dxa"/>
            <w:tcBorders>
              <w:top w:val="single" w:sz="4" w:space="0" w:color="auto"/>
              <w:bottom w:val="nil"/>
            </w:tcBorders>
          </w:tcPr>
          <w:p w14:paraId="1729B0CA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82F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ONS+NC (n=29)</w:t>
            </w:r>
          </w:p>
        </w:tc>
        <w:tc>
          <w:tcPr>
            <w:tcW w:w="65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12B32C3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NC (n=27)</w:t>
            </w:r>
          </w:p>
        </w:tc>
      </w:tr>
      <w:tr w:rsidR="001B2A2E" w:rsidRPr="001B2A2E" w14:paraId="4A982D04" w14:textId="77777777" w:rsidTr="004A79F1">
        <w:trPr>
          <w:jc w:val="center"/>
        </w:trPr>
        <w:tc>
          <w:tcPr>
            <w:tcW w:w="2062" w:type="dxa"/>
            <w:tcBorders>
              <w:top w:val="nil"/>
              <w:bottom w:val="nil"/>
            </w:tcBorders>
          </w:tcPr>
          <w:p w14:paraId="6EEDD612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53A5BFD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i/>
                <w:iCs/>
                <w:color w:val="243F60" w:themeColor="accent1" w:themeShade="7F"/>
              </w:rPr>
            </w:pPr>
            <w:r w:rsidRPr="001B2A2E">
              <w:rPr>
                <w:rFonts w:cs="Times New Roman"/>
              </w:rPr>
              <w:t>Baseline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1AE7BEAC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</w:t>
            </w:r>
            <w:r w:rsidRPr="001B2A2E">
              <w:rPr>
                <w:rFonts w:cs="Times New Roman"/>
                <w:vertAlign w:val="superscript"/>
              </w:rPr>
              <w:t>rd</w:t>
            </w:r>
            <w:r w:rsidRPr="001B2A2E">
              <w:rPr>
                <w:rFonts w:cs="Times New Roman"/>
              </w:rPr>
              <w:t xml:space="preserve"> month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78A8415" w14:textId="77777777" w:rsidR="001B2A2E" w:rsidRPr="001B2A2E" w:rsidRDefault="001B2A2E" w:rsidP="001B2A2E">
            <w:pPr>
              <w:pStyle w:val="20Table-Contents-Center"/>
              <w:spacing w:before="0" w:after="0"/>
              <w:contextualSpacing/>
              <w:rPr>
                <w:iCs/>
                <w:color w:val="243F60" w:themeColor="accent1" w:themeShade="7F"/>
                <w:sz w:val="24"/>
              </w:rPr>
            </w:pPr>
            <w:r w:rsidRPr="001B2A2E">
              <w:rPr>
                <w:sz w:val="24"/>
              </w:rPr>
              <w:t>6</w:t>
            </w:r>
            <w:r w:rsidRPr="001B2A2E">
              <w:rPr>
                <w:sz w:val="24"/>
                <w:vertAlign w:val="superscript"/>
              </w:rPr>
              <w:t xml:space="preserve">th </w:t>
            </w:r>
            <w:r w:rsidRPr="001B2A2E">
              <w:rPr>
                <w:sz w:val="24"/>
              </w:rPr>
              <w:t>month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7F9EAEE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i/>
                <w:iCs/>
                <w:color w:val="243F60" w:themeColor="accent1" w:themeShade="7F"/>
              </w:rPr>
            </w:pPr>
            <w:r w:rsidRPr="001B2A2E">
              <w:rPr>
                <w:rFonts w:cs="Times New Roman"/>
              </w:rPr>
              <w:t>Δ</w:t>
            </w:r>
            <w:r w:rsidRPr="001B2A2E">
              <w:rPr>
                <w:rFonts w:cs="Times New Roman"/>
                <w:i/>
                <w:vertAlign w:val="superscript"/>
              </w:rPr>
              <w:t>t3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302" w14:textId="77777777" w:rsidR="001B2A2E" w:rsidRPr="001B2A2E" w:rsidRDefault="001B2A2E" w:rsidP="001B2A2E">
            <w:pPr>
              <w:pStyle w:val="20Table-Contents-Center"/>
              <w:spacing w:before="0" w:after="0"/>
              <w:contextualSpacing/>
              <w:rPr>
                <w:i/>
                <w:iCs/>
                <w:color w:val="243F60" w:themeColor="accent1" w:themeShade="7F"/>
                <w:sz w:val="24"/>
                <w:vertAlign w:val="superscript"/>
              </w:rPr>
            </w:pPr>
            <w:r w:rsidRPr="001B2A2E">
              <w:rPr>
                <w:sz w:val="24"/>
              </w:rPr>
              <w:t>Δ</w:t>
            </w:r>
            <w:r w:rsidRPr="001B2A2E">
              <w:rPr>
                <w:i/>
                <w:sz w:val="24"/>
                <w:vertAlign w:val="superscript"/>
              </w:rPr>
              <w:t>t6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1268F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i/>
                <w:iCs/>
                <w:color w:val="243F60" w:themeColor="accent1" w:themeShade="7F"/>
              </w:rPr>
            </w:pPr>
            <w:r w:rsidRPr="001B2A2E">
              <w:rPr>
                <w:rFonts w:cs="Times New Roman"/>
              </w:rPr>
              <w:t>Baseline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83105D4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</w:t>
            </w:r>
            <w:r w:rsidRPr="001B2A2E">
              <w:rPr>
                <w:rFonts w:cs="Times New Roman"/>
                <w:vertAlign w:val="superscript"/>
              </w:rPr>
              <w:t>rd</w:t>
            </w:r>
            <w:r w:rsidRPr="001B2A2E">
              <w:rPr>
                <w:rFonts w:cs="Times New Roman"/>
              </w:rPr>
              <w:t xml:space="preserve"> month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BB9739A" w14:textId="77777777" w:rsidR="001B2A2E" w:rsidRPr="001B2A2E" w:rsidRDefault="001B2A2E" w:rsidP="001B2A2E">
            <w:pPr>
              <w:pStyle w:val="20Table-Contents-Center"/>
              <w:spacing w:before="0" w:after="0"/>
              <w:contextualSpacing/>
              <w:rPr>
                <w:i/>
                <w:iCs/>
                <w:color w:val="243F60" w:themeColor="accent1" w:themeShade="7F"/>
                <w:sz w:val="24"/>
                <w:vertAlign w:val="superscript"/>
              </w:rPr>
            </w:pPr>
            <w:r w:rsidRPr="001B2A2E">
              <w:rPr>
                <w:sz w:val="24"/>
              </w:rPr>
              <w:t>6</w:t>
            </w:r>
            <w:r w:rsidRPr="001B2A2E">
              <w:rPr>
                <w:sz w:val="24"/>
                <w:vertAlign w:val="superscript"/>
              </w:rPr>
              <w:t xml:space="preserve">th </w:t>
            </w:r>
            <w:r w:rsidRPr="001B2A2E">
              <w:rPr>
                <w:sz w:val="24"/>
              </w:rPr>
              <w:t>month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494AFC4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i/>
                <w:iCs/>
                <w:color w:val="243F60" w:themeColor="accent1" w:themeShade="7F"/>
              </w:rPr>
            </w:pPr>
            <w:r w:rsidRPr="001B2A2E">
              <w:rPr>
                <w:rFonts w:cs="Times New Roman"/>
              </w:rPr>
              <w:t>Δ</w:t>
            </w:r>
            <w:r w:rsidRPr="001B2A2E">
              <w:rPr>
                <w:rFonts w:cs="Times New Roman"/>
                <w:i/>
                <w:vertAlign w:val="superscript"/>
              </w:rPr>
              <w:t>t3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27BD5A" w14:textId="77777777" w:rsidR="001B2A2E" w:rsidRPr="001B2A2E" w:rsidRDefault="001B2A2E" w:rsidP="001B2A2E">
            <w:pPr>
              <w:pStyle w:val="20Table-Contents-Center"/>
              <w:spacing w:before="0" w:after="0"/>
              <w:contextualSpacing/>
              <w:rPr>
                <w:i/>
                <w:iCs/>
                <w:color w:val="243F60" w:themeColor="accent1" w:themeShade="7F"/>
                <w:sz w:val="24"/>
                <w:vertAlign w:val="superscript"/>
              </w:rPr>
            </w:pPr>
            <w:r w:rsidRPr="001B2A2E">
              <w:rPr>
                <w:sz w:val="24"/>
              </w:rPr>
              <w:t>Δ</w:t>
            </w:r>
            <w:r w:rsidRPr="001B2A2E">
              <w:rPr>
                <w:i/>
                <w:sz w:val="24"/>
                <w:vertAlign w:val="superscript"/>
              </w:rPr>
              <w:t>t6</w:t>
            </w:r>
          </w:p>
        </w:tc>
      </w:tr>
      <w:tr w:rsidR="001B2A2E" w:rsidRPr="001B2A2E" w14:paraId="6C0627D0" w14:textId="77777777" w:rsidTr="004A79F1">
        <w:trPr>
          <w:jc w:val="center"/>
        </w:trPr>
        <w:tc>
          <w:tcPr>
            <w:tcW w:w="1581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B03CE17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  <w:b/>
                <w:i/>
              </w:rPr>
              <w:t>US measures</w:t>
            </w:r>
          </w:p>
        </w:tc>
      </w:tr>
      <w:tr w:rsidR="001B2A2E" w:rsidRPr="001B2A2E" w14:paraId="562BE512" w14:textId="77777777" w:rsidTr="004A79F1">
        <w:trPr>
          <w:jc w:val="center"/>
        </w:trPr>
        <w:tc>
          <w:tcPr>
            <w:tcW w:w="2062" w:type="dxa"/>
            <w:tcBorders>
              <w:top w:val="single" w:sz="4" w:space="0" w:color="auto"/>
            </w:tcBorders>
          </w:tcPr>
          <w:p w14:paraId="43324023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i/>
                <w:vertAlign w:val="superscript"/>
              </w:rPr>
            </w:pPr>
            <w:r w:rsidRPr="001B2A2E">
              <w:rPr>
                <w:rFonts w:cs="Times New Roman"/>
              </w:rPr>
              <w:t>RF</w:t>
            </w:r>
            <w:r w:rsidRPr="001B2A2E">
              <w:rPr>
                <w:rFonts w:cs="Times New Roman"/>
                <w:vertAlign w:val="subscript"/>
              </w:rPr>
              <w:t xml:space="preserve">MID </w:t>
            </w:r>
            <w:r w:rsidRPr="001B2A2E">
              <w:rPr>
                <w:rFonts w:cs="Times New Roman"/>
              </w:rPr>
              <w:t>(cm)</w:t>
            </w:r>
            <w:proofErr w:type="spellStart"/>
            <w:proofErr w:type="gramStart"/>
            <w:r w:rsidRPr="001B2A2E">
              <w:rPr>
                <w:rFonts w:cs="Times New Roman"/>
                <w:i/>
                <w:vertAlign w:val="superscript"/>
              </w:rPr>
              <w:t>b,c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9D35601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1.56 ± 0.1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B9755A8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1.63 ± 0.1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7BDDA16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1.68 ± 0.1</w:t>
            </w: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</w:tcPr>
          <w:p w14:paraId="09643F7C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0.07 ± 0.0</w:t>
            </w:r>
            <w:r w:rsidRPr="001B2A2E">
              <w:rPr>
                <w:rFonts w:cs="Times New Roman"/>
                <w:vertAlign w:val="superscript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E42214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0.12 ± 0.0</w:t>
            </w:r>
            <w:r w:rsidRPr="001B2A2E">
              <w:rPr>
                <w:rFonts w:cs="Times New Roman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7BFC55A5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1.63 ± 0.1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A6E88DD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1.63 ± 0.1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D854BBF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1.63 ± 0.1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DB7A07A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-0.01 ± 0.0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89423BD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-0.01 ± 0.0</w:t>
            </w:r>
          </w:p>
        </w:tc>
      </w:tr>
      <w:tr w:rsidR="001B2A2E" w:rsidRPr="001B2A2E" w14:paraId="1BFE6473" w14:textId="77777777" w:rsidTr="004A79F1">
        <w:trPr>
          <w:jc w:val="center"/>
        </w:trPr>
        <w:tc>
          <w:tcPr>
            <w:tcW w:w="2062" w:type="dxa"/>
          </w:tcPr>
          <w:p w14:paraId="6CFFD474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i/>
                <w:vertAlign w:val="superscript"/>
              </w:rPr>
            </w:pPr>
            <w:r w:rsidRPr="001B2A2E">
              <w:rPr>
                <w:rFonts w:cs="Times New Roman"/>
              </w:rPr>
              <w:t>VI</w:t>
            </w:r>
            <w:r w:rsidRPr="001B2A2E">
              <w:rPr>
                <w:rFonts w:cs="Times New Roman"/>
                <w:vertAlign w:val="subscript"/>
              </w:rPr>
              <w:t xml:space="preserve">MID </w:t>
            </w:r>
            <w:r w:rsidRPr="001B2A2E">
              <w:rPr>
                <w:rFonts w:cs="Times New Roman"/>
              </w:rPr>
              <w:t>(cm)</w:t>
            </w:r>
            <w:proofErr w:type="spellStart"/>
            <w:proofErr w:type="gramStart"/>
            <w:r w:rsidRPr="001B2A2E">
              <w:rPr>
                <w:rFonts w:cs="Times New Roman"/>
                <w:i/>
                <w:vertAlign w:val="superscript"/>
              </w:rPr>
              <w:t>b,c</w:t>
            </w:r>
            <w:proofErr w:type="spellEnd"/>
            <w:proofErr w:type="gramEnd"/>
          </w:p>
        </w:tc>
        <w:tc>
          <w:tcPr>
            <w:tcW w:w="1446" w:type="dxa"/>
          </w:tcPr>
          <w:p w14:paraId="2D865C14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1.39 ± 0.1</w:t>
            </w:r>
          </w:p>
        </w:tc>
        <w:tc>
          <w:tcPr>
            <w:tcW w:w="1446" w:type="dxa"/>
          </w:tcPr>
          <w:p w14:paraId="16874183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1.34 ± 0.1</w:t>
            </w:r>
          </w:p>
        </w:tc>
        <w:tc>
          <w:tcPr>
            <w:tcW w:w="1446" w:type="dxa"/>
          </w:tcPr>
          <w:p w14:paraId="5DE8F4B0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1.43 ± 0.1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4CFFE352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0.05 ± 0.0*</w:t>
            </w:r>
          </w:p>
        </w:tc>
        <w:tc>
          <w:tcPr>
            <w:tcW w:w="1446" w:type="dxa"/>
            <w:tcBorders>
              <w:top w:val="nil"/>
              <w:bottom w:val="nil"/>
              <w:right w:val="single" w:sz="4" w:space="0" w:color="auto"/>
            </w:tcBorders>
          </w:tcPr>
          <w:p w14:paraId="0FC0A366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0.09 ± 0.0</w:t>
            </w:r>
            <w:r w:rsidRPr="001B2A2E">
              <w:rPr>
                <w:rFonts w:cs="Times New Roman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C493507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1.18 ± 0.1</w:t>
            </w:r>
          </w:p>
        </w:tc>
        <w:tc>
          <w:tcPr>
            <w:tcW w:w="1305" w:type="dxa"/>
          </w:tcPr>
          <w:p w14:paraId="4F84377E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1.19 ± 0.1</w:t>
            </w:r>
          </w:p>
        </w:tc>
        <w:tc>
          <w:tcPr>
            <w:tcW w:w="1304" w:type="dxa"/>
          </w:tcPr>
          <w:p w14:paraId="1E51B09F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1.19 ± 0.1</w:t>
            </w:r>
          </w:p>
        </w:tc>
        <w:tc>
          <w:tcPr>
            <w:tcW w:w="1305" w:type="dxa"/>
          </w:tcPr>
          <w:p w14:paraId="3EF1810E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0.01 ± 0.0</w:t>
            </w:r>
          </w:p>
        </w:tc>
        <w:tc>
          <w:tcPr>
            <w:tcW w:w="1305" w:type="dxa"/>
          </w:tcPr>
          <w:p w14:paraId="51F0BFE4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0.01 ± 0.0</w:t>
            </w:r>
          </w:p>
        </w:tc>
      </w:tr>
      <w:tr w:rsidR="001B2A2E" w:rsidRPr="001B2A2E" w14:paraId="49FD7EF0" w14:textId="77777777" w:rsidTr="004A79F1">
        <w:trPr>
          <w:jc w:val="center"/>
        </w:trPr>
        <w:tc>
          <w:tcPr>
            <w:tcW w:w="2062" w:type="dxa"/>
            <w:tcBorders>
              <w:bottom w:val="single" w:sz="4" w:space="0" w:color="auto"/>
            </w:tcBorders>
          </w:tcPr>
          <w:p w14:paraId="0960425C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RF</w:t>
            </w:r>
            <w:r w:rsidRPr="001B2A2E">
              <w:rPr>
                <w:rFonts w:cs="Times New Roman"/>
                <w:vertAlign w:val="subscript"/>
              </w:rPr>
              <w:t xml:space="preserve">CSA </w:t>
            </w:r>
            <w:r w:rsidRPr="001B2A2E">
              <w:rPr>
                <w:rFonts w:cs="Times New Roman"/>
              </w:rPr>
              <w:t>(cm</w:t>
            </w:r>
            <w:r w:rsidRPr="001B2A2E">
              <w:rPr>
                <w:rFonts w:cs="Times New Roman"/>
                <w:vertAlign w:val="superscript"/>
              </w:rPr>
              <w:t>2</w:t>
            </w:r>
            <w:r w:rsidRPr="001B2A2E">
              <w:rPr>
                <w:rFonts w:cs="Times New Roman"/>
              </w:rPr>
              <w:t>)</w:t>
            </w:r>
            <w:r w:rsidRPr="001B2A2E">
              <w:rPr>
                <w:rFonts w:cs="Times New Roman"/>
                <w:i/>
                <w:vertAlign w:val="superscript"/>
              </w:rPr>
              <w:t xml:space="preserve"> </w:t>
            </w:r>
            <w:proofErr w:type="spellStart"/>
            <w:proofErr w:type="gramStart"/>
            <w:r w:rsidRPr="001B2A2E">
              <w:rPr>
                <w:rFonts w:cs="Times New Roman"/>
                <w:i/>
                <w:vertAlign w:val="superscript"/>
              </w:rPr>
              <w:t>b,c</w:t>
            </w:r>
            <w:proofErr w:type="spellEnd"/>
            <w:proofErr w:type="gramEnd"/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CDE67D6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5.50 ± 0.3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B426139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5.56 ± 0.3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C989171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5.64 ± 0.3</w:t>
            </w: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</w:tcPr>
          <w:p w14:paraId="54104556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0.06 ± 0.0</w:t>
            </w:r>
            <w:r w:rsidRPr="001B2A2E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0D14E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0.15 ± 0.0</w:t>
            </w:r>
            <w:r w:rsidRPr="001B2A2E">
              <w:rPr>
                <w:rFonts w:cs="Times New Roman"/>
                <w:vertAlign w:val="superscript"/>
              </w:rPr>
              <w:t>*</w:t>
            </w:r>
            <w:r w:rsidRPr="001B2A2E">
              <w:rPr>
                <w:rFonts w:cs="Times New Roman"/>
                <w:i/>
                <w:vertAlign w:val="superscript"/>
              </w:rPr>
              <w:t>*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14:paraId="44AA67BD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5.34 ± 0.2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85AA5A9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5.33 ± 0.2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89222BB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5.31 ± 0.2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4B2DB6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-0.01 ± 0.0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425676D" w14:textId="77777777" w:rsidR="001B2A2E" w:rsidRPr="001B2A2E" w:rsidRDefault="001B2A2E" w:rsidP="001B2A2E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-0.03 ± 0.0</w:t>
            </w:r>
          </w:p>
        </w:tc>
      </w:tr>
    </w:tbl>
    <w:p w14:paraId="1BD7DFE0" w14:textId="7A1DDDD2" w:rsidR="00CE5FD8" w:rsidRDefault="001B2A2E" w:rsidP="00CE5FD8">
      <w:pPr>
        <w:ind w:left="-709"/>
        <w:rPr>
          <w:rFonts w:cs="Times New Roman"/>
          <w:szCs w:val="24"/>
        </w:rPr>
      </w:pPr>
      <w:r w:rsidRPr="001B2A2E">
        <w:rPr>
          <w:rFonts w:cs="Times New Roman"/>
          <w:szCs w:val="24"/>
        </w:rPr>
        <w:t xml:space="preserve">Note: All baseline comparisons between group were not significantly different as per Independent </w:t>
      </w:r>
      <w:r w:rsidRPr="001B2A2E">
        <w:rPr>
          <w:rFonts w:cs="Times New Roman"/>
          <w:i/>
          <w:szCs w:val="24"/>
        </w:rPr>
        <w:t xml:space="preserve">t </w:t>
      </w:r>
      <w:r w:rsidRPr="001B2A2E">
        <w:rPr>
          <w:rFonts w:cs="Times New Roman"/>
          <w:szCs w:val="24"/>
        </w:rPr>
        <w:t xml:space="preserve">test; Data adjusted for age, gender, dialysis vintage and presence of diabetes mellitus is presented as mean ± standard deviation; </w:t>
      </w:r>
      <w:r w:rsidRPr="001B2A2E">
        <w:rPr>
          <w:rFonts w:cs="Times New Roman"/>
          <w:i/>
          <w:szCs w:val="24"/>
          <w:vertAlign w:val="superscript"/>
        </w:rPr>
        <w:t xml:space="preserve">a </w:t>
      </w:r>
      <w:r w:rsidRPr="001B2A2E">
        <w:rPr>
          <w:rFonts w:cs="Times New Roman"/>
          <w:szCs w:val="24"/>
        </w:rPr>
        <w:t xml:space="preserve">Main effect of Group, </w:t>
      </w:r>
      <w:r w:rsidRPr="001B2A2E">
        <w:rPr>
          <w:rFonts w:cs="Times New Roman"/>
          <w:i/>
          <w:szCs w:val="24"/>
          <w:vertAlign w:val="superscript"/>
        </w:rPr>
        <w:t xml:space="preserve">b </w:t>
      </w:r>
      <w:r w:rsidRPr="001B2A2E">
        <w:rPr>
          <w:rFonts w:cs="Times New Roman"/>
          <w:szCs w:val="24"/>
        </w:rPr>
        <w:t xml:space="preserve">Main effect of Time, </w:t>
      </w:r>
      <w:r w:rsidRPr="001B2A2E">
        <w:rPr>
          <w:rFonts w:cs="Times New Roman"/>
          <w:i/>
          <w:szCs w:val="24"/>
          <w:vertAlign w:val="superscript"/>
        </w:rPr>
        <w:t xml:space="preserve">c </w:t>
      </w:r>
      <w:r w:rsidRPr="001B2A2E">
        <w:rPr>
          <w:rFonts w:cs="Times New Roman"/>
          <w:szCs w:val="24"/>
        </w:rPr>
        <w:t>Group x Time interaction; Δ</w:t>
      </w:r>
      <w:r w:rsidRPr="001B2A2E">
        <w:rPr>
          <w:rFonts w:cs="Times New Roman"/>
          <w:i/>
          <w:szCs w:val="24"/>
          <w:vertAlign w:val="superscript"/>
        </w:rPr>
        <w:t xml:space="preserve">t3 </w:t>
      </w:r>
      <w:r w:rsidRPr="001B2A2E">
        <w:rPr>
          <w:rFonts w:cs="Times New Roman"/>
          <w:szCs w:val="24"/>
        </w:rPr>
        <w:t>=Mean change at 3</w:t>
      </w:r>
      <w:r w:rsidRPr="001B2A2E">
        <w:rPr>
          <w:rFonts w:cs="Times New Roman"/>
          <w:szCs w:val="24"/>
          <w:vertAlign w:val="superscript"/>
        </w:rPr>
        <w:t>rd</w:t>
      </w:r>
      <w:r w:rsidRPr="001B2A2E">
        <w:rPr>
          <w:rFonts w:cs="Times New Roman"/>
          <w:szCs w:val="24"/>
        </w:rPr>
        <w:t xml:space="preserve"> months, Δ</w:t>
      </w:r>
      <w:r w:rsidRPr="001B2A2E">
        <w:rPr>
          <w:rFonts w:cs="Times New Roman"/>
          <w:i/>
          <w:szCs w:val="24"/>
          <w:vertAlign w:val="superscript"/>
        </w:rPr>
        <w:t xml:space="preserve">t6 </w:t>
      </w:r>
      <w:r w:rsidRPr="001B2A2E">
        <w:rPr>
          <w:rFonts w:cs="Times New Roman"/>
          <w:szCs w:val="24"/>
        </w:rPr>
        <w:t>=Mean change at 6</w:t>
      </w:r>
      <w:r w:rsidRPr="001B2A2E">
        <w:rPr>
          <w:rFonts w:cs="Times New Roman"/>
          <w:szCs w:val="24"/>
          <w:vertAlign w:val="superscript"/>
        </w:rPr>
        <w:t>th</w:t>
      </w:r>
      <w:r w:rsidRPr="001B2A2E">
        <w:rPr>
          <w:rFonts w:cs="Times New Roman"/>
          <w:szCs w:val="24"/>
        </w:rPr>
        <w:t xml:space="preserve"> months; </w:t>
      </w:r>
      <w:r w:rsidR="00E85956">
        <w:rPr>
          <w:rFonts w:cs="Times New Roman"/>
          <w:szCs w:val="24"/>
        </w:rPr>
        <w:t xml:space="preserve">Significance for mean change differences was determined using the Bonferroni post-hoc test with </w:t>
      </w:r>
      <w:r w:rsidRPr="001B2A2E">
        <w:rPr>
          <w:rFonts w:cs="Times New Roman"/>
          <w:szCs w:val="24"/>
        </w:rPr>
        <w:t>*</w:t>
      </w:r>
      <w:r w:rsidRPr="001B2A2E">
        <w:rPr>
          <w:rFonts w:cs="Times New Roman"/>
          <w:i/>
          <w:szCs w:val="24"/>
        </w:rPr>
        <w:t>p</w:t>
      </w:r>
      <w:r w:rsidRPr="001B2A2E">
        <w:rPr>
          <w:rFonts w:cs="Times New Roman"/>
          <w:szCs w:val="24"/>
        </w:rPr>
        <w:t>&lt;0.05 compared to baseline</w:t>
      </w:r>
      <w:r w:rsidR="00E85956">
        <w:rPr>
          <w:rFonts w:cs="Times New Roman"/>
          <w:szCs w:val="24"/>
        </w:rPr>
        <w:t xml:space="preserve"> and</w:t>
      </w:r>
      <w:r w:rsidRPr="001B2A2E">
        <w:rPr>
          <w:rFonts w:cs="Times New Roman"/>
          <w:szCs w:val="24"/>
        </w:rPr>
        <w:t xml:space="preserve"> ** </w:t>
      </w:r>
      <w:r w:rsidRPr="001B2A2E">
        <w:rPr>
          <w:rFonts w:cs="Times New Roman"/>
          <w:i/>
          <w:szCs w:val="24"/>
        </w:rPr>
        <w:t>p</w:t>
      </w:r>
      <w:r w:rsidRPr="001B2A2E">
        <w:rPr>
          <w:rFonts w:cs="Times New Roman"/>
          <w:szCs w:val="24"/>
        </w:rPr>
        <w:t xml:space="preserve">&lt;0.001 compared to baseline </w:t>
      </w:r>
    </w:p>
    <w:p w14:paraId="37F53737" w14:textId="43B4545D" w:rsidR="00CE5FD8" w:rsidRPr="00CE5FD8" w:rsidRDefault="00CE5FD8" w:rsidP="00CE5FD8">
      <w:pPr>
        <w:spacing w:before="0" w:after="0"/>
        <w:ind w:left="-709"/>
        <w:contextualSpacing/>
        <w:rPr>
          <w:rFonts w:cs="Times New Roman"/>
          <w:szCs w:val="24"/>
        </w:rPr>
      </w:pPr>
      <w:r w:rsidRPr="001B2A2E">
        <w:rPr>
          <w:rFonts w:cs="Times New Roman"/>
        </w:rPr>
        <w:t xml:space="preserve">Abbreviations: CSA, cross-sectional area; MID, mid-point; NC= nutrition counseling; ONS= oral nutritional supplementation; RF, </w:t>
      </w:r>
      <w:r w:rsidRPr="001B2A2E">
        <w:rPr>
          <w:rFonts w:cs="Times New Roman"/>
          <w:i/>
        </w:rPr>
        <w:t>rectus femoris</w:t>
      </w:r>
      <w:r w:rsidRPr="001B2A2E">
        <w:rPr>
          <w:rFonts w:cs="Times New Roman"/>
        </w:rPr>
        <w:t xml:space="preserve">; US, ultrasound; VI, </w:t>
      </w:r>
      <w:r w:rsidRPr="001B2A2E">
        <w:rPr>
          <w:rFonts w:cs="Times New Roman"/>
          <w:i/>
        </w:rPr>
        <w:t xml:space="preserve">vastus intermedius </w:t>
      </w:r>
    </w:p>
    <w:p w14:paraId="576DE607" w14:textId="77777777" w:rsidR="00CE5FD8" w:rsidRDefault="00CE5FD8" w:rsidP="00CE5FD8">
      <w:pPr>
        <w:ind w:left="-709"/>
        <w:rPr>
          <w:rFonts w:cs="Times New Roman"/>
          <w:szCs w:val="24"/>
        </w:rPr>
      </w:pPr>
    </w:p>
    <w:p w14:paraId="478D00DB" w14:textId="77777777" w:rsidR="001B2A2E" w:rsidRDefault="001B2A2E" w:rsidP="001B2A2E">
      <w:pPr>
        <w:pStyle w:val="11Normal02-SecondOnwardParagraph"/>
        <w:spacing w:before="0" w:after="0" w:line="240" w:lineRule="auto"/>
        <w:ind w:firstLine="0"/>
        <w:contextualSpacing/>
        <w:jc w:val="center"/>
        <w:rPr>
          <w:rFonts w:cs="Times New Roman"/>
        </w:rPr>
        <w:sectPr w:rsidR="001B2A2E" w:rsidSect="00296F2A">
          <w:type w:val="continuous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AAEB0B2" w14:textId="77777777" w:rsidR="001B2A2E" w:rsidRPr="001B2A2E" w:rsidRDefault="001B2A2E" w:rsidP="001B2A2E">
      <w:pPr>
        <w:pStyle w:val="11Normal02-SecondOnwardParagraph"/>
        <w:spacing w:before="0" w:after="0" w:line="240" w:lineRule="auto"/>
        <w:ind w:firstLine="0"/>
        <w:contextualSpacing/>
        <w:jc w:val="center"/>
        <w:rPr>
          <w:rFonts w:cs="Times New Roman"/>
        </w:rPr>
      </w:pPr>
      <w:r w:rsidRPr="001B2A2E">
        <w:rPr>
          <w:rFonts w:cs="Times New Roman"/>
        </w:rPr>
        <w:lastRenderedPageBreak/>
        <w:t>Table S3. Nutritional outcomes according to treatment groups</w:t>
      </w:r>
    </w:p>
    <w:p w14:paraId="2ABD7A1A" w14:textId="77777777" w:rsidR="001B2A2E" w:rsidRPr="001B2A2E" w:rsidRDefault="001B2A2E" w:rsidP="001B2A2E">
      <w:pPr>
        <w:pStyle w:val="11Normal02-SecondOnwardParagraph"/>
        <w:spacing w:before="0" w:after="0" w:line="240" w:lineRule="auto"/>
        <w:ind w:firstLine="0"/>
        <w:contextualSpacing/>
        <w:jc w:val="center"/>
        <w:rPr>
          <w:rFonts w:cs="Times New Roman"/>
        </w:rPr>
      </w:pPr>
    </w:p>
    <w:tbl>
      <w:tblPr>
        <w:tblStyle w:val="TableGrid"/>
        <w:tblW w:w="1549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84"/>
        <w:gridCol w:w="321"/>
        <w:gridCol w:w="963"/>
        <w:gridCol w:w="642"/>
        <w:gridCol w:w="642"/>
        <w:gridCol w:w="963"/>
        <w:gridCol w:w="321"/>
        <w:gridCol w:w="1284"/>
        <w:gridCol w:w="1304"/>
        <w:gridCol w:w="1305"/>
        <w:gridCol w:w="1304"/>
        <w:gridCol w:w="1305"/>
        <w:gridCol w:w="1305"/>
      </w:tblGrid>
      <w:tr w:rsidR="001B2A2E" w:rsidRPr="001B2A2E" w14:paraId="267856BA" w14:textId="77777777" w:rsidTr="001B2A2E">
        <w:trPr>
          <w:jc w:val="center"/>
        </w:trPr>
        <w:tc>
          <w:tcPr>
            <w:tcW w:w="2553" w:type="dxa"/>
            <w:tcBorders>
              <w:top w:val="single" w:sz="4" w:space="0" w:color="auto"/>
              <w:bottom w:val="nil"/>
              <w:right w:val="nil"/>
            </w:tcBorders>
          </w:tcPr>
          <w:p w14:paraId="4201FE5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Nutritional outcomes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6AFE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ONS+NC (n=29)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75DD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NC (n=27)</w:t>
            </w:r>
          </w:p>
        </w:tc>
      </w:tr>
      <w:tr w:rsidR="001B2A2E" w:rsidRPr="001B2A2E" w14:paraId="5DC343D8" w14:textId="77777777" w:rsidTr="001B2A2E">
        <w:trPr>
          <w:jc w:val="center"/>
        </w:trPr>
        <w:tc>
          <w:tcPr>
            <w:tcW w:w="2553" w:type="dxa"/>
            <w:tcBorders>
              <w:top w:val="nil"/>
              <w:bottom w:val="single" w:sz="4" w:space="0" w:color="auto"/>
              <w:right w:val="nil"/>
            </w:tcBorders>
          </w:tcPr>
          <w:p w14:paraId="71A3F1F0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5724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i/>
                <w:iCs/>
                <w:color w:val="243F60" w:themeColor="accent1" w:themeShade="7F"/>
              </w:rPr>
            </w:pPr>
            <w:r w:rsidRPr="001B2A2E">
              <w:rPr>
                <w:rFonts w:cs="Times New Roman"/>
              </w:rPr>
              <w:t>Baseline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D215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</w:t>
            </w:r>
            <w:r w:rsidRPr="001B2A2E">
              <w:rPr>
                <w:rFonts w:cs="Times New Roman"/>
                <w:vertAlign w:val="superscript"/>
              </w:rPr>
              <w:t>rd</w:t>
            </w:r>
            <w:r w:rsidRPr="001B2A2E">
              <w:rPr>
                <w:rFonts w:cs="Times New Roman"/>
              </w:rPr>
              <w:t xml:space="preserve"> month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619B9" w14:textId="77777777" w:rsidR="001B2A2E" w:rsidRPr="001B2A2E" w:rsidRDefault="001B2A2E" w:rsidP="004A79F1">
            <w:pPr>
              <w:pStyle w:val="20Table-Contents-Center"/>
              <w:spacing w:before="0" w:after="0"/>
              <w:contextualSpacing/>
              <w:rPr>
                <w:iCs/>
                <w:color w:val="243F60" w:themeColor="accent1" w:themeShade="7F"/>
                <w:sz w:val="24"/>
              </w:rPr>
            </w:pPr>
            <w:r w:rsidRPr="001B2A2E">
              <w:rPr>
                <w:sz w:val="24"/>
              </w:rPr>
              <w:t>6</w:t>
            </w:r>
            <w:r w:rsidRPr="001B2A2E">
              <w:rPr>
                <w:sz w:val="24"/>
                <w:vertAlign w:val="superscript"/>
              </w:rPr>
              <w:t xml:space="preserve">th </w:t>
            </w:r>
            <w:r w:rsidRPr="001B2A2E">
              <w:rPr>
                <w:sz w:val="24"/>
              </w:rPr>
              <w:t>month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58A5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i/>
                <w:iCs/>
                <w:color w:val="243F60" w:themeColor="accent1" w:themeShade="7F"/>
              </w:rPr>
            </w:pPr>
            <w:r w:rsidRPr="001B2A2E">
              <w:rPr>
                <w:rFonts w:cs="Times New Roman"/>
              </w:rPr>
              <w:t>Δ</w:t>
            </w:r>
            <w:r w:rsidRPr="001B2A2E">
              <w:rPr>
                <w:rFonts w:cs="Times New Roman"/>
                <w:i/>
                <w:vertAlign w:val="superscript"/>
              </w:rPr>
              <w:t>t3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A593F" w14:textId="77777777" w:rsidR="001B2A2E" w:rsidRPr="001B2A2E" w:rsidRDefault="001B2A2E" w:rsidP="004A79F1">
            <w:pPr>
              <w:pStyle w:val="20Table-Contents-Center"/>
              <w:spacing w:before="0" w:after="0"/>
              <w:contextualSpacing/>
              <w:rPr>
                <w:i/>
                <w:iCs/>
                <w:color w:val="243F60" w:themeColor="accent1" w:themeShade="7F"/>
                <w:sz w:val="24"/>
                <w:vertAlign w:val="superscript"/>
              </w:rPr>
            </w:pPr>
            <w:r w:rsidRPr="001B2A2E">
              <w:rPr>
                <w:sz w:val="24"/>
              </w:rPr>
              <w:t>Δ</w:t>
            </w:r>
            <w:r w:rsidRPr="001B2A2E">
              <w:rPr>
                <w:i/>
                <w:sz w:val="24"/>
                <w:vertAlign w:val="superscript"/>
              </w:rPr>
              <w:t>t6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E8D9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i/>
                <w:iCs/>
                <w:color w:val="243F60" w:themeColor="accent1" w:themeShade="7F"/>
              </w:rPr>
            </w:pPr>
            <w:r w:rsidRPr="001B2A2E">
              <w:rPr>
                <w:rFonts w:cs="Times New Roman"/>
              </w:rPr>
              <w:t>Baseline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AD38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</w:t>
            </w:r>
            <w:r w:rsidRPr="001B2A2E">
              <w:rPr>
                <w:rFonts w:cs="Times New Roman"/>
                <w:vertAlign w:val="superscript"/>
              </w:rPr>
              <w:t>rd</w:t>
            </w:r>
            <w:r w:rsidRPr="001B2A2E">
              <w:rPr>
                <w:rFonts w:cs="Times New Roman"/>
              </w:rPr>
              <w:t xml:space="preserve"> month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22E60" w14:textId="77777777" w:rsidR="001B2A2E" w:rsidRPr="001B2A2E" w:rsidRDefault="001B2A2E" w:rsidP="004A79F1">
            <w:pPr>
              <w:pStyle w:val="20Table-Contents-Center"/>
              <w:spacing w:before="0" w:after="0"/>
              <w:contextualSpacing/>
              <w:rPr>
                <w:i/>
                <w:iCs/>
                <w:color w:val="243F60" w:themeColor="accent1" w:themeShade="7F"/>
                <w:sz w:val="24"/>
                <w:vertAlign w:val="superscript"/>
              </w:rPr>
            </w:pPr>
            <w:r w:rsidRPr="001B2A2E">
              <w:rPr>
                <w:sz w:val="24"/>
              </w:rPr>
              <w:t>6</w:t>
            </w:r>
            <w:r w:rsidRPr="001B2A2E">
              <w:rPr>
                <w:sz w:val="24"/>
                <w:vertAlign w:val="superscript"/>
              </w:rPr>
              <w:t xml:space="preserve">th </w:t>
            </w:r>
            <w:r w:rsidRPr="001B2A2E">
              <w:rPr>
                <w:sz w:val="24"/>
              </w:rPr>
              <w:t>month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9D92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i/>
                <w:iCs/>
                <w:color w:val="243F60" w:themeColor="accent1" w:themeShade="7F"/>
              </w:rPr>
            </w:pPr>
            <w:r w:rsidRPr="001B2A2E">
              <w:rPr>
                <w:rFonts w:cs="Times New Roman"/>
              </w:rPr>
              <w:t>Δ</w:t>
            </w:r>
            <w:r w:rsidRPr="001B2A2E">
              <w:rPr>
                <w:rFonts w:cs="Times New Roman"/>
                <w:i/>
                <w:vertAlign w:val="superscript"/>
              </w:rPr>
              <w:t>t3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CF440" w14:textId="77777777" w:rsidR="001B2A2E" w:rsidRPr="001B2A2E" w:rsidRDefault="001B2A2E" w:rsidP="004A79F1">
            <w:pPr>
              <w:pStyle w:val="20Table-Contents-Center"/>
              <w:spacing w:before="0" w:after="0"/>
              <w:contextualSpacing/>
              <w:rPr>
                <w:i/>
                <w:iCs/>
                <w:color w:val="243F60" w:themeColor="accent1" w:themeShade="7F"/>
                <w:sz w:val="24"/>
                <w:vertAlign w:val="superscript"/>
              </w:rPr>
            </w:pPr>
            <w:r w:rsidRPr="001B2A2E">
              <w:rPr>
                <w:sz w:val="24"/>
              </w:rPr>
              <w:t>Δ</w:t>
            </w:r>
            <w:r w:rsidRPr="001B2A2E">
              <w:rPr>
                <w:i/>
                <w:sz w:val="24"/>
                <w:vertAlign w:val="superscript"/>
              </w:rPr>
              <w:t>t6</w:t>
            </w:r>
          </w:p>
        </w:tc>
      </w:tr>
      <w:tr w:rsidR="001B2A2E" w:rsidRPr="001B2A2E" w14:paraId="75601293" w14:textId="77777777" w:rsidTr="001B2A2E">
        <w:trPr>
          <w:jc w:val="center"/>
        </w:trPr>
        <w:tc>
          <w:tcPr>
            <w:tcW w:w="154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70E946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  <w:b/>
                <w:i/>
              </w:rPr>
              <w:t>Physical measures</w:t>
            </w:r>
          </w:p>
        </w:tc>
      </w:tr>
      <w:tr w:rsidR="001B2A2E" w:rsidRPr="001B2A2E" w14:paraId="7998A74B" w14:textId="77777777" w:rsidTr="001B2A2E">
        <w:trPr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14:paraId="01B5857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  <w:i/>
              </w:rPr>
            </w:pPr>
            <w:r w:rsidRPr="001B2A2E">
              <w:rPr>
                <w:rFonts w:cs="Times New Roman"/>
              </w:rPr>
              <w:t>Post-dialysis weight (kg)</w:t>
            </w:r>
            <w:r w:rsidRPr="001B2A2E">
              <w:rPr>
                <w:rFonts w:cs="Times New Roman"/>
                <w:i/>
                <w:vertAlign w:val="superscript"/>
              </w:rPr>
              <w:t>b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BCE0E0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50.4 ± 1.2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1AFC2C2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51.1 ± 1.2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5736EBA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51.5 ± 1.2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nil"/>
            </w:tcBorders>
          </w:tcPr>
          <w:p w14:paraId="70FC09F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0.7 ± 0.4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127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1.1 ± 0.4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602C088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49.6 ± 1.3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44F8D0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49.9 ± 1.3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AE19CD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50.0 ± 1.2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C4B658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0.3 ± 0.3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383FD4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0.5 ± 0.4</w:t>
            </w:r>
          </w:p>
        </w:tc>
      </w:tr>
      <w:tr w:rsidR="001B2A2E" w:rsidRPr="001B2A2E" w14:paraId="1B421637" w14:textId="77777777" w:rsidTr="001B2A2E">
        <w:trPr>
          <w:jc w:val="center"/>
        </w:trPr>
        <w:tc>
          <w:tcPr>
            <w:tcW w:w="2553" w:type="dxa"/>
          </w:tcPr>
          <w:p w14:paraId="7056D6E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  <w:i/>
                <w:vertAlign w:val="superscript"/>
              </w:rPr>
            </w:pPr>
            <w:r w:rsidRPr="001B2A2E">
              <w:rPr>
                <w:rFonts w:cs="Times New Roman"/>
              </w:rPr>
              <w:t>Dry weight (kg)</w:t>
            </w:r>
            <w:r w:rsidRPr="001B2A2E">
              <w:rPr>
                <w:rFonts w:cs="Times New Roman"/>
                <w:i/>
                <w:vertAlign w:val="superscript"/>
              </w:rPr>
              <w:t>b</w:t>
            </w:r>
          </w:p>
        </w:tc>
        <w:tc>
          <w:tcPr>
            <w:tcW w:w="1284" w:type="dxa"/>
          </w:tcPr>
          <w:p w14:paraId="4E7FB3C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49.4 ± 1.3</w:t>
            </w:r>
          </w:p>
        </w:tc>
        <w:tc>
          <w:tcPr>
            <w:tcW w:w="1284" w:type="dxa"/>
            <w:gridSpan w:val="2"/>
          </w:tcPr>
          <w:p w14:paraId="14210BB3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50.1 ± 1.3</w:t>
            </w:r>
          </w:p>
        </w:tc>
        <w:tc>
          <w:tcPr>
            <w:tcW w:w="1284" w:type="dxa"/>
            <w:gridSpan w:val="2"/>
          </w:tcPr>
          <w:p w14:paraId="52CA982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50.5 ± 1.3</w:t>
            </w:r>
          </w:p>
        </w:tc>
        <w:tc>
          <w:tcPr>
            <w:tcW w:w="1284" w:type="dxa"/>
            <w:gridSpan w:val="2"/>
            <w:tcBorders>
              <w:top w:val="nil"/>
              <w:bottom w:val="nil"/>
            </w:tcBorders>
          </w:tcPr>
          <w:p w14:paraId="413C375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0.7 ± 0.3</w:t>
            </w:r>
          </w:p>
        </w:tc>
        <w:tc>
          <w:tcPr>
            <w:tcW w:w="1284" w:type="dxa"/>
            <w:tcBorders>
              <w:top w:val="nil"/>
              <w:bottom w:val="nil"/>
              <w:right w:val="single" w:sz="4" w:space="0" w:color="auto"/>
            </w:tcBorders>
          </w:tcPr>
          <w:p w14:paraId="3E239AE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1.1 ± 0.4</w:t>
            </w:r>
            <w:r w:rsidRPr="001B2A2E">
              <w:rPr>
                <w:rFonts w:cs="Times New Roman"/>
                <w:i/>
                <w:vertAlign w:val="superscript"/>
              </w:rPr>
              <w:t>*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6FBA19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48.9 ± 1.2</w:t>
            </w:r>
          </w:p>
        </w:tc>
        <w:tc>
          <w:tcPr>
            <w:tcW w:w="1305" w:type="dxa"/>
          </w:tcPr>
          <w:p w14:paraId="2E73AEE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49.4 ± 1.2</w:t>
            </w:r>
          </w:p>
        </w:tc>
        <w:tc>
          <w:tcPr>
            <w:tcW w:w="1304" w:type="dxa"/>
          </w:tcPr>
          <w:p w14:paraId="27095D23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49.5 ± 1.2</w:t>
            </w:r>
          </w:p>
        </w:tc>
        <w:tc>
          <w:tcPr>
            <w:tcW w:w="1305" w:type="dxa"/>
          </w:tcPr>
          <w:p w14:paraId="2D46C84E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0.5 ± 0.3</w:t>
            </w:r>
          </w:p>
        </w:tc>
        <w:tc>
          <w:tcPr>
            <w:tcW w:w="1305" w:type="dxa"/>
          </w:tcPr>
          <w:p w14:paraId="0F7F21D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0.7 ± 0.4</w:t>
            </w:r>
          </w:p>
        </w:tc>
      </w:tr>
      <w:tr w:rsidR="001B2A2E" w:rsidRPr="001B2A2E" w14:paraId="5EE2A08E" w14:textId="77777777" w:rsidTr="001B2A2E">
        <w:trPr>
          <w:jc w:val="center"/>
        </w:trPr>
        <w:tc>
          <w:tcPr>
            <w:tcW w:w="2553" w:type="dxa"/>
            <w:tcBorders>
              <w:bottom w:val="single" w:sz="4" w:space="0" w:color="auto"/>
            </w:tcBorders>
          </w:tcPr>
          <w:p w14:paraId="515AFF0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BMI (kg/m</w:t>
            </w:r>
            <w:proofErr w:type="gramStart"/>
            <w:r w:rsidRPr="001B2A2E">
              <w:rPr>
                <w:rFonts w:cs="Times New Roman"/>
                <w:vertAlign w:val="superscript"/>
              </w:rPr>
              <w:t>2</w:t>
            </w:r>
            <w:r w:rsidRPr="001B2A2E">
              <w:rPr>
                <w:rFonts w:cs="Times New Roman"/>
              </w:rPr>
              <w:t>)</w:t>
            </w:r>
            <w:r w:rsidRPr="001B2A2E">
              <w:rPr>
                <w:rFonts w:cs="Times New Roman"/>
                <w:i/>
                <w:vertAlign w:val="superscript"/>
              </w:rPr>
              <w:t>b</w:t>
            </w:r>
            <w:proofErr w:type="gramEnd"/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AF71247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20.0 ± 0.4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6384F9FE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20.2 ± 0.4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7F777B0F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20.4 ± 0.4</w:t>
            </w:r>
          </w:p>
        </w:tc>
        <w:tc>
          <w:tcPr>
            <w:tcW w:w="1284" w:type="dxa"/>
            <w:gridSpan w:val="2"/>
            <w:tcBorders>
              <w:top w:val="nil"/>
              <w:bottom w:val="single" w:sz="4" w:space="0" w:color="auto"/>
            </w:tcBorders>
          </w:tcPr>
          <w:p w14:paraId="25B8DCF8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0.3 ± 0.1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01ECF0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0.4 ± 0.2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14:paraId="24EB7AAC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19.9 ± 0.5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CDD6E6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20.0 ± 0.5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BBA1B29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20.0 ± 0.5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DB0B30E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0.1 ± 0.1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ED2250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0.2 ± 0.1</w:t>
            </w:r>
          </w:p>
        </w:tc>
      </w:tr>
      <w:tr w:rsidR="001B2A2E" w:rsidRPr="001B2A2E" w14:paraId="3AD71D79" w14:textId="77777777" w:rsidTr="001B2A2E">
        <w:trPr>
          <w:jc w:val="center"/>
        </w:trPr>
        <w:tc>
          <w:tcPr>
            <w:tcW w:w="154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73657E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  <w:b/>
                <w:i/>
              </w:rPr>
            </w:pPr>
            <w:r w:rsidRPr="001B2A2E">
              <w:rPr>
                <w:rFonts w:cs="Times New Roman"/>
                <w:b/>
                <w:i/>
              </w:rPr>
              <w:t>Biochemistry markers</w:t>
            </w:r>
          </w:p>
        </w:tc>
      </w:tr>
      <w:tr w:rsidR="001B2A2E" w:rsidRPr="001B2A2E" w14:paraId="5C0FC888" w14:textId="77777777" w:rsidTr="001B2A2E">
        <w:trPr>
          <w:jc w:val="center"/>
        </w:trPr>
        <w:tc>
          <w:tcPr>
            <w:tcW w:w="2553" w:type="dxa"/>
            <w:tcBorders>
              <w:top w:val="single" w:sz="4" w:space="0" w:color="auto"/>
              <w:bottom w:val="nil"/>
            </w:tcBorders>
          </w:tcPr>
          <w:p w14:paraId="69927BA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Serum albumin (g/L)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14:paraId="339EA78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40.8 ± 0.8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nil"/>
            </w:tcBorders>
          </w:tcPr>
          <w:p w14:paraId="688EF66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41.5 ± 1.0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nil"/>
            </w:tcBorders>
          </w:tcPr>
          <w:p w14:paraId="4F8EFAD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41.5 ± 1.0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nil"/>
            </w:tcBorders>
          </w:tcPr>
          <w:p w14:paraId="3B3A2A3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0.7 ± 0.6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72D34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0.6 ± 0.6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202D5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41.7 ± 0.6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6779D8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40.6 ± 0.7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35E2E58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40.5 ± 0.8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C8C9A0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-1.0 ± 0.5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8FDCF8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-1.2 ± 0.6</w:t>
            </w:r>
          </w:p>
        </w:tc>
      </w:tr>
      <w:tr w:rsidR="001B2A2E" w:rsidRPr="001B2A2E" w14:paraId="2F4F254E" w14:textId="77777777" w:rsidTr="001B2A2E">
        <w:trPr>
          <w:jc w:val="center"/>
        </w:trPr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648CFCB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  <w:i/>
                <w:vertAlign w:val="superscript"/>
              </w:rPr>
            </w:pPr>
            <w:r w:rsidRPr="001B2A2E">
              <w:rPr>
                <w:rFonts w:cs="Times New Roman"/>
                <w:iCs/>
              </w:rPr>
              <w:t>Serum urea (mmol/</w:t>
            </w:r>
            <w:proofErr w:type="gramStart"/>
            <w:r w:rsidRPr="001B2A2E">
              <w:rPr>
                <w:rFonts w:cs="Times New Roman"/>
                <w:iCs/>
              </w:rPr>
              <w:t>L)</w:t>
            </w:r>
            <w:proofErr w:type="spellStart"/>
            <w:r w:rsidRPr="001B2A2E">
              <w:rPr>
                <w:rFonts w:cs="Times New Roman"/>
                <w:i/>
                <w:iCs/>
                <w:vertAlign w:val="superscript"/>
              </w:rPr>
              <w:t>a</w:t>
            </w:r>
            <w:proofErr w:type="gramEnd"/>
            <w:r w:rsidRPr="001B2A2E">
              <w:rPr>
                <w:rFonts w:cs="Times New Roman"/>
                <w:i/>
                <w:iCs/>
                <w:vertAlign w:val="superscript"/>
              </w:rPr>
              <w:t>,c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FC80D9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19.2 ± 1.1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E1F2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22.7 ± 1.2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E68C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21.6 ± 1.2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6379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3.5 ± 1.0</w:t>
            </w:r>
            <w:r w:rsidRPr="001B2A2E">
              <w:rPr>
                <w:rFonts w:cs="Times New Roman"/>
                <w:i/>
                <w:vertAlign w:val="superscript"/>
              </w:rPr>
              <w:t>*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F768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2.5 ± 0.9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2A96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19.0 ± 1.2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CAA2893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18.4 ± 1.2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E3888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18.7 ± 1.2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1F95B5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-0.6 ± 0.8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5630F5B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-0.3 ± 0.9</w:t>
            </w:r>
          </w:p>
        </w:tc>
      </w:tr>
      <w:tr w:rsidR="001B2A2E" w:rsidRPr="001B2A2E" w14:paraId="79E549DE" w14:textId="77777777" w:rsidTr="001B2A2E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14:paraId="0A56F82E" w14:textId="62B3278A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  <w:iCs/>
              </w:rPr>
            </w:pPr>
            <w:r w:rsidRPr="001B2A2E">
              <w:rPr>
                <w:rFonts w:cs="Times New Roman"/>
                <w:iCs/>
              </w:rPr>
              <w:t>Ser</w:t>
            </w:r>
            <w:r w:rsidR="00E85956">
              <w:rPr>
                <w:rFonts w:cs="Times New Roman"/>
                <w:iCs/>
              </w:rPr>
              <w:t>um</w:t>
            </w:r>
            <w:r w:rsidRPr="001B2A2E">
              <w:rPr>
                <w:rFonts w:cs="Times New Roman"/>
                <w:iCs/>
              </w:rPr>
              <w:t xml:space="preserve"> creatinine </w:t>
            </w:r>
          </w:p>
          <w:p w14:paraId="457BC43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  <w:kern w:val="24"/>
              </w:rPr>
              <w:t>(</w:t>
            </w:r>
            <w:proofErr w:type="spellStart"/>
            <w:r w:rsidRPr="001B2A2E">
              <w:rPr>
                <w:rFonts w:cs="Times New Roman"/>
                <w:kern w:val="24"/>
              </w:rPr>
              <w:t>μmol</w:t>
            </w:r>
            <w:proofErr w:type="spellEnd"/>
            <w:r w:rsidRPr="001B2A2E">
              <w:rPr>
                <w:rFonts w:cs="Times New Roman"/>
                <w:kern w:val="24"/>
              </w:rPr>
              <w:t>/L)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3822709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788 ± 43</w:t>
            </w:r>
          </w:p>
        </w:tc>
        <w:tc>
          <w:tcPr>
            <w:tcW w:w="1284" w:type="dxa"/>
            <w:gridSpan w:val="2"/>
            <w:tcBorders>
              <w:top w:val="nil"/>
              <w:bottom w:val="nil"/>
            </w:tcBorders>
          </w:tcPr>
          <w:p w14:paraId="1C45C35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826 ± 37</w:t>
            </w:r>
          </w:p>
        </w:tc>
        <w:tc>
          <w:tcPr>
            <w:tcW w:w="1284" w:type="dxa"/>
            <w:gridSpan w:val="2"/>
            <w:tcBorders>
              <w:top w:val="nil"/>
              <w:bottom w:val="nil"/>
            </w:tcBorders>
          </w:tcPr>
          <w:p w14:paraId="3B64D2AD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826 ± 49</w:t>
            </w:r>
          </w:p>
        </w:tc>
        <w:tc>
          <w:tcPr>
            <w:tcW w:w="1284" w:type="dxa"/>
            <w:gridSpan w:val="2"/>
            <w:tcBorders>
              <w:top w:val="nil"/>
              <w:bottom w:val="nil"/>
            </w:tcBorders>
          </w:tcPr>
          <w:p w14:paraId="25F3156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38 ± 22</w:t>
            </w:r>
          </w:p>
        </w:tc>
        <w:tc>
          <w:tcPr>
            <w:tcW w:w="1284" w:type="dxa"/>
            <w:tcBorders>
              <w:top w:val="nil"/>
              <w:bottom w:val="nil"/>
              <w:right w:val="single" w:sz="4" w:space="0" w:color="auto"/>
            </w:tcBorders>
          </w:tcPr>
          <w:p w14:paraId="7989197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38 ± 48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</w:tcBorders>
          </w:tcPr>
          <w:p w14:paraId="1BA2A62D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770 ± 31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9CDCBD0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803 ± 33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710BEA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778 ± 33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86E1F0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33 ± 20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3A9F33E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9 ± 23</w:t>
            </w:r>
          </w:p>
        </w:tc>
      </w:tr>
      <w:tr w:rsidR="001B2A2E" w:rsidRPr="001B2A2E" w14:paraId="1B3412AF" w14:textId="77777777" w:rsidTr="001B2A2E">
        <w:trPr>
          <w:jc w:val="center"/>
        </w:trPr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2A7C6106" w14:textId="0E00BE24" w:rsid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  <w:iCs/>
              </w:rPr>
            </w:pPr>
            <w:r w:rsidRPr="001B2A2E">
              <w:rPr>
                <w:rFonts w:cs="Times New Roman"/>
                <w:iCs/>
              </w:rPr>
              <w:t>Ser</w:t>
            </w:r>
            <w:r w:rsidR="00E85956">
              <w:rPr>
                <w:rFonts w:cs="Times New Roman"/>
                <w:iCs/>
              </w:rPr>
              <w:t>um</w:t>
            </w:r>
            <w:r w:rsidRPr="001B2A2E">
              <w:rPr>
                <w:rFonts w:cs="Times New Roman"/>
                <w:iCs/>
              </w:rPr>
              <w:t xml:space="preserve"> phosphate </w:t>
            </w:r>
          </w:p>
          <w:p w14:paraId="6C4FBA43" w14:textId="00A2DD41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  <w:iCs/>
              </w:rPr>
              <w:t>(mmol/L)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9A99CD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1.7 ± 0.1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2D1B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1.8 ± 0.1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49C7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1.6 ± 0.1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28D0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0.1 ± 0.1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8B6D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-0.1 ± 0.1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D8AE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1.9 ± 0.1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984856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1.8 ± 0.1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FF3D9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1.7 ± 0.1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9EB0DC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-0.0 ± 0.1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097CFE4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-0.1 ± 0.1</w:t>
            </w:r>
          </w:p>
        </w:tc>
      </w:tr>
      <w:tr w:rsidR="001B2A2E" w:rsidRPr="001B2A2E" w14:paraId="6B0CEF1A" w14:textId="77777777" w:rsidTr="001B2A2E">
        <w:trPr>
          <w:jc w:val="center"/>
        </w:trPr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37BD871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proofErr w:type="spellStart"/>
            <w:r w:rsidRPr="001B2A2E">
              <w:rPr>
                <w:rFonts w:cs="Times New Roman"/>
              </w:rPr>
              <w:t>hsCRP</w:t>
            </w:r>
            <w:proofErr w:type="spellEnd"/>
            <w:r w:rsidRPr="001B2A2E">
              <w:rPr>
                <w:rFonts w:cs="Times New Roman"/>
              </w:rPr>
              <w:t xml:space="preserve"> </w:t>
            </w:r>
            <w:r w:rsidRPr="001B2A2E">
              <w:rPr>
                <w:rFonts w:cs="Times New Roman"/>
                <w:kern w:val="24"/>
              </w:rPr>
              <w:t>(mg/L)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7CF423B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3.0 ± 0.8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B23A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3.2 ± 0.8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4C25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3.0 ± 0.8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FA42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0.2 ± 0.2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100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0.1 ± 0.2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9E98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4.3 ± 0.7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2002D2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4.5 ± 0.8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D197A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4.2 ± 0.7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2B38AA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0.2 ± 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2CDB104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-0.1 ± 0.4</w:t>
            </w:r>
          </w:p>
        </w:tc>
      </w:tr>
      <w:tr w:rsidR="001B2A2E" w:rsidRPr="001B2A2E" w14:paraId="61B7E213" w14:textId="77777777" w:rsidTr="001B2A2E">
        <w:trPr>
          <w:jc w:val="center"/>
        </w:trPr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6A3D9AD3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IL-6 (</w:t>
            </w:r>
            <w:proofErr w:type="spellStart"/>
            <w:r w:rsidRPr="001B2A2E">
              <w:rPr>
                <w:rFonts w:cs="Times New Roman"/>
                <w:kern w:val="24"/>
                <w:lang w:val="en-GB"/>
              </w:rPr>
              <w:t>pg</w:t>
            </w:r>
            <w:proofErr w:type="spellEnd"/>
            <w:r w:rsidRPr="001B2A2E">
              <w:rPr>
                <w:rFonts w:cs="Times New Roman"/>
                <w:kern w:val="24"/>
                <w:lang w:val="en-GB"/>
              </w:rPr>
              <w:t>/ml)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8697D8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4.2 ± 0.4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1549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4.1 ± 0.4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7400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4.1 ± 0.4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05390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-0.0 ± 0.2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A14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-0.1 ± 0.3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275E3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4.1 ± 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EB175C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4.4 ± 0.4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005E3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4.4 ± 0.4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E2B0E50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0.3 ± 0.2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04D104F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0.3 ± 0.2</w:t>
            </w:r>
          </w:p>
        </w:tc>
      </w:tr>
      <w:tr w:rsidR="001B2A2E" w:rsidRPr="001B2A2E" w14:paraId="0B4CA9FD" w14:textId="77777777" w:rsidTr="001B2A2E">
        <w:trPr>
          <w:jc w:val="center"/>
        </w:trPr>
        <w:tc>
          <w:tcPr>
            <w:tcW w:w="2553" w:type="dxa"/>
            <w:tcBorders>
              <w:top w:val="nil"/>
              <w:bottom w:val="single" w:sz="4" w:space="0" w:color="auto"/>
            </w:tcBorders>
          </w:tcPr>
          <w:p w14:paraId="6668E02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proofErr w:type="spellStart"/>
            <w:r w:rsidRPr="001B2A2E">
              <w:rPr>
                <w:rFonts w:cs="Times New Roman"/>
                <w:i/>
              </w:rPr>
              <w:t>n</w:t>
            </w:r>
            <w:r w:rsidRPr="001B2A2E">
              <w:rPr>
                <w:rFonts w:cs="Times New Roman"/>
              </w:rPr>
              <w:t>PCR</w:t>
            </w:r>
            <w:proofErr w:type="spellEnd"/>
            <w:r w:rsidRPr="001B2A2E">
              <w:rPr>
                <w:rFonts w:cs="Times New Roman"/>
              </w:rPr>
              <w:t xml:space="preserve"> (g/kg/day)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14:paraId="606BE533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1.0 ± 0.1</w:t>
            </w:r>
          </w:p>
        </w:tc>
        <w:tc>
          <w:tcPr>
            <w:tcW w:w="1284" w:type="dxa"/>
            <w:gridSpan w:val="2"/>
            <w:tcBorders>
              <w:top w:val="nil"/>
              <w:bottom w:val="single" w:sz="4" w:space="0" w:color="auto"/>
            </w:tcBorders>
          </w:tcPr>
          <w:p w14:paraId="2644B5BD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1.1 ± 0.1</w:t>
            </w:r>
          </w:p>
        </w:tc>
        <w:tc>
          <w:tcPr>
            <w:tcW w:w="1284" w:type="dxa"/>
            <w:gridSpan w:val="2"/>
            <w:tcBorders>
              <w:top w:val="nil"/>
              <w:bottom w:val="single" w:sz="4" w:space="0" w:color="auto"/>
            </w:tcBorders>
          </w:tcPr>
          <w:p w14:paraId="34FCCFD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1.2 ± 0.1</w:t>
            </w:r>
          </w:p>
        </w:tc>
        <w:tc>
          <w:tcPr>
            <w:tcW w:w="1284" w:type="dxa"/>
            <w:gridSpan w:val="2"/>
            <w:tcBorders>
              <w:top w:val="nil"/>
              <w:bottom w:val="single" w:sz="4" w:space="0" w:color="auto"/>
            </w:tcBorders>
          </w:tcPr>
          <w:p w14:paraId="61BDCC6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0.1 ± 0.1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56B9A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0.2 ± 0.1</w:t>
            </w:r>
            <w:r w:rsidRPr="001B2A2E">
              <w:rPr>
                <w:rFonts w:cs="Times New Roman"/>
                <w:i/>
                <w:vertAlign w:val="superscript"/>
              </w:rPr>
              <w:t>*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1DCEC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1.0 ± 0.1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55938E13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1.0 ± 0.1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18BE558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1.0 ± 0.1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58E4FC9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0.0 ± 0.1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3BAAB5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0.0 ± 0.1</w:t>
            </w:r>
          </w:p>
        </w:tc>
      </w:tr>
      <w:tr w:rsidR="001B2A2E" w:rsidRPr="001B2A2E" w14:paraId="5FB29930" w14:textId="77777777" w:rsidTr="001B2A2E">
        <w:trPr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1721FFE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  <w:b/>
                <w:i/>
              </w:rPr>
            </w:pPr>
            <w:r w:rsidRPr="001B2A2E">
              <w:rPr>
                <w:rFonts w:cs="Times New Roman"/>
                <w:b/>
                <w:i/>
              </w:rPr>
              <w:t>Dietary parameters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0E6385E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4DD3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748D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2535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2EB43EB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3D7EED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F1A21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9E32D5B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B4FEB53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403C53D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</w:tr>
      <w:tr w:rsidR="001B2A2E" w:rsidRPr="001B2A2E" w14:paraId="5EEECD8E" w14:textId="77777777" w:rsidTr="001B2A2E">
        <w:trPr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14:paraId="61ABB31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  <w:i/>
                <w:vertAlign w:val="superscript"/>
              </w:rPr>
            </w:pPr>
            <w:r w:rsidRPr="001B2A2E">
              <w:rPr>
                <w:rFonts w:cs="Times New Roman"/>
              </w:rPr>
              <w:t>Energy (kcal)</w:t>
            </w:r>
            <w:proofErr w:type="spellStart"/>
            <w:proofErr w:type="gramStart"/>
            <w:r w:rsidRPr="001B2A2E">
              <w:rPr>
                <w:rFonts w:cs="Times New Roman"/>
                <w:i/>
                <w:vertAlign w:val="superscript"/>
              </w:rPr>
              <w:t>a,b</w:t>
            </w:r>
            <w:proofErr w:type="gramEnd"/>
            <w:r w:rsidRPr="001B2A2E">
              <w:rPr>
                <w:rFonts w:cs="Times New Roman"/>
                <w:i/>
                <w:vertAlign w:val="superscript"/>
              </w:rPr>
              <w:t>,c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1302150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1305 ± 58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51ECA22D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1674 ± 55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7E1677E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1671 ± 49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3F01E34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369 ± 54</w:t>
            </w:r>
            <w:r w:rsidRPr="001B2A2E">
              <w:rPr>
                <w:rFonts w:cs="Times New Roman"/>
                <w:i/>
                <w:vertAlign w:val="superscript"/>
              </w:rPr>
              <w:t>**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146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366 ± 60</w:t>
            </w:r>
            <w:r w:rsidRPr="001B2A2E">
              <w:rPr>
                <w:rFonts w:cs="Times New Roman"/>
                <w:i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2E1085B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1313 ± 56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AE59BB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1373 ± 38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59368B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1389 ± 64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6325E96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60 ± 35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0783750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76 ± 44</w:t>
            </w:r>
          </w:p>
        </w:tc>
      </w:tr>
      <w:tr w:rsidR="001B2A2E" w:rsidRPr="001B2A2E" w14:paraId="0860A609" w14:textId="77777777" w:rsidTr="001B2A2E">
        <w:trPr>
          <w:jc w:val="center"/>
        </w:trPr>
        <w:tc>
          <w:tcPr>
            <w:tcW w:w="2553" w:type="dxa"/>
          </w:tcPr>
          <w:p w14:paraId="0A50A41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Protein (g)</w:t>
            </w:r>
            <w:proofErr w:type="spellStart"/>
            <w:proofErr w:type="gramStart"/>
            <w:r w:rsidRPr="001B2A2E">
              <w:rPr>
                <w:rFonts w:cs="Times New Roman"/>
                <w:i/>
                <w:vertAlign w:val="superscript"/>
              </w:rPr>
              <w:t>a,b</w:t>
            </w:r>
            <w:proofErr w:type="gramEnd"/>
            <w:r w:rsidRPr="001B2A2E">
              <w:rPr>
                <w:rFonts w:cs="Times New Roman"/>
                <w:i/>
                <w:vertAlign w:val="superscript"/>
              </w:rPr>
              <w:t>,c</w:t>
            </w:r>
            <w:proofErr w:type="spellEnd"/>
          </w:p>
        </w:tc>
        <w:tc>
          <w:tcPr>
            <w:tcW w:w="1284" w:type="dxa"/>
          </w:tcPr>
          <w:p w14:paraId="52B3E89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49.1 ± 3.4</w:t>
            </w:r>
          </w:p>
        </w:tc>
        <w:tc>
          <w:tcPr>
            <w:tcW w:w="1284" w:type="dxa"/>
            <w:gridSpan w:val="2"/>
          </w:tcPr>
          <w:p w14:paraId="5AEEA15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64.9 ± 2.4</w:t>
            </w:r>
          </w:p>
        </w:tc>
        <w:tc>
          <w:tcPr>
            <w:tcW w:w="1284" w:type="dxa"/>
            <w:gridSpan w:val="2"/>
          </w:tcPr>
          <w:p w14:paraId="0FB0D1E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66.5 ± 3.0</w:t>
            </w:r>
          </w:p>
        </w:tc>
        <w:tc>
          <w:tcPr>
            <w:tcW w:w="1284" w:type="dxa"/>
            <w:gridSpan w:val="2"/>
          </w:tcPr>
          <w:p w14:paraId="0D70C34A" w14:textId="3DB67274" w:rsidR="001B2A2E" w:rsidRPr="001B2A2E" w:rsidRDefault="00CE5FD8" w:rsidP="00CE5FD8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15.8±</w:t>
            </w:r>
            <w:r w:rsidR="001B2A2E" w:rsidRPr="001B2A2E">
              <w:rPr>
                <w:rFonts w:cs="Times New Roman"/>
              </w:rPr>
              <w:t>2.4</w:t>
            </w:r>
            <w:r w:rsidR="001B2A2E" w:rsidRPr="001B2A2E">
              <w:rPr>
                <w:rFonts w:cs="Times New Roman"/>
                <w:i/>
                <w:vertAlign w:val="superscript"/>
              </w:rPr>
              <w:t>**</w:t>
            </w:r>
          </w:p>
        </w:tc>
        <w:tc>
          <w:tcPr>
            <w:tcW w:w="1284" w:type="dxa"/>
            <w:tcBorders>
              <w:top w:val="nil"/>
              <w:bottom w:val="nil"/>
              <w:right w:val="single" w:sz="4" w:space="0" w:color="auto"/>
            </w:tcBorders>
          </w:tcPr>
          <w:p w14:paraId="3A00AED9" w14:textId="3B930152" w:rsidR="001B2A2E" w:rsidRPr="001B2A2E" w:rsidRDefault="00CE5FD8" w:rsidP="00CE5FD8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17.4±</w:t>
            </w:r>
            <w:r w:rsidR="001B2A2E" w:rsidRPr="001B2A2E">
              <w:rPr>
                <w:rFonts w:cs="Times New Roman"/>
              </w:rPr>
              <w:t>3.2</w:t>
            </w:r>
            <w:r w:rsidR="001B2A2E" w:rsidRPr="001B2A2E">
              <w:rPr>
                <w:rFonts w:cs="Times New Roman"/>
                <w:i/>
                <w:vertAlign w:val="superscript"/>
              </w:rPr>
              <w:t>**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74080D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44.7 ± 2.7</w:t>
            </w:r>
          </w:p>
        </w:tc>
        <w:tc>
          <w:tcPr>
            <w:tcW w:w="1305" w:type="dxa"/>
          </w:tcPr>
          <w:p w14:paraId="109A9E6E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47.8 ± 2.2</w:t>
            </w:r>
          </w:p>
        </w:tc>
        <w:tc>
          <w:tcPr>
            <w:tcW w:w="1304" w:type="dxa"/>
          </w:tcPr>
          <w:p w14:paraId="16BCA6E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51.8 ± 3.6</w:t>
            </w:r>
          </w:p>
        </w:tc>
        <w:tc>
          <w:tcPr>
            <w:tcW w:w="1305" w:type="dxa"/>
          </w:tcPr>
          <w:p w14:paraId="5E5B7D3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3.1 ± 1.4</w:t>
            </w:r>
          </w:p>
        </w:tc>
        <w:tc>
          <w:tcPr>
            <w:tcW w:w="1305" w:type="dxa"/>
          </w:tcPr>
          <w:p w14:paraId="76DFF25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7.1 ± 2.4</w:t>
            </w:r>
          </w:p>
        </w:tc>
      </w:tr>
      <w:tr w:rsidR="001B2A2E" w:rsidRPr="001B2A2E" w14:paraId="7ACA2136" w14:textId="77777777" w:rsidTr="001B2A2E">
        <w:trPr>
          <w:jc w:val="center"/>
        </w:trPr>
        <w:tc>
          <w:tcPr>
            <w:tcW w:w="2553" w:type="dxa"/>
          </w:tcPr>
          <w:p w14:paraId="7ECE642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DEI (kcal/kg IBW)</w:t>
            </w:r>
            <w:r w:rsidRPr="001B2A2E">
              <w:rPr>
                <w:rFonts w:cs="Times New Roman"/>
                <w:i/>
                <w:vertAlign w:val="superscript"/>
              </w:rPr>
              <w:t xml:space="preserve"> </w:t>
            </w:r>
            <w:proofErr w:type="spellStart"/>
            <w:proofErr w:type="gramStart"/>
            <w:r w:rsidRPr="001B2A2E">
              <w:rPr>
                <w:rFonts w:cs="Times New Roman"/>
                <w:i/>
                <w:vertAlign w:val="superscript"/>
              </w:rPr>
              <w:t>a,b</w:t>
            </w:r>
            <w:proofErr w:type="gramEnd"/>
            <w:r w:rsidRPr="001B2A2E">
              <w:rPr>
                <w:rFonts w:cs="Times New Roman"/>
                <w:i/>
                <w:vertAlign w:val="superscript"/>
              </w:rPr>
              <w:t>,c</w:t>
            </w:r>
            <w:proofErr w:type="spellEnd"/>
          </w:p>
        </w:tc>
        <w:tc>
          <w:tcPr>
            <w:tcW w:w="1284" w:type="dxa"/>
          </w:tcPr>
          <w:p w14:paraId="4EE652C3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line="240" w:lineRule="auto"/>
              <w:ind w:firstLine="0"/>
              <w:contextualSpacing/>
              <w:outlineLvl w:val="3"/>
              <w:rPr>
                <w:rFonts w:cs="Times New Roman"/>
                <w:b/>
                <w:bCs/>
                <w:i/>
                <w:iCs/>
                <w:color w:val="4F81BD" w:themeColor="accent1"/>
              </w:rPr>
            </w:pPr>
            <w:r w:rsidRPr="001B2A2E">
              <w:rPr>
                <w:rFonts w:cs="Times New Roman"/>
              </w:rPr>
              <w:t>24.8 ± 1.2</w:t>
            </w:r>
          </w:p>
        </w:tc>
        <w:tc>
          <w:tcPr>
            <w:tcW w:w="1284" w:type="dxa"/>
            <w:gridSpan w:val="2"/>
          </w:tcPr>
          <w:p w14:paraId="7501EE0F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31.3 ± 1.3</w:t>
            </w:r>
          </w:p>
        </w:tc>
        <w:tc>
          <w:tcPr>
            <w:tcW w:w="1284" w:type="dxa"/>
            <w:gridSpan w:val="2"/>
          </w:tcPr>
          <w:p w14:paraId="6616B2E1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31.0 ± 1.1</w:t>
            </w:r>
          </w:p>
        </w:tc>
        <w:tc>
          <w:tcPr>
            <w:tcW w:w="1284" w:type="dxa"/>
            <w:gridSpan w:val="2"/>
          </w:tcPr>
          <w:p w14:paraId="0FD93E47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6.5 ± 1.0</w:t>
            </w:r>
            <w:r w:rsidRPr="001B2A2E">
              <w:rPr>
                <w:rFonts w:cs="Times New Roman"/>
                <w:i/>
                <w:vertAlign w:val="superscript"/>
              </w:rPr>
              <w:t>**</w:t>
            </w:r>
          </w:p>
        </w:tc>
        <w:tc>
          <w:tcPr>
            <w:tcW w:w="1284" w:type="dxa"/>
            <w:tcBorders>
              <w:top w:val="nil"/>
              <w:bottom w:val="nil"/>
              <w:right w:val="single" w:sz="4" w:space="0" w:color="auto"/>
            </w:tcBorders>
          </w:tcPr>
          <w:p w14:paraId="1C36E9C9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6.2 ± 1.2</w:t>
            </w:r>
            <w:r w:rsidRPr="001B2A2E">
              <w:rPr>
                <w:rFonts w:cs="Times New Roman"/>
                <w:i/>
                <w:vertAlign w:val="superscript"/>
              </w:rPr>
              <w:t>**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1B37C25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24.2 ± 1.1</w:t>
            </w:r>
          </w:p>
        </w:tc>
        <w:tc>
          <w:tcPr>
            <w:tcW w:w="1305" w:type="dxa"/>
          </w:tcPr>
          <w:p w14:paraId="5DAE4CCA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24.8 ± 0.9</w:t>
            </w:r>
          </w:p>
        </w:tc>
        <w:tc>
          <w:tcPr>
            <w:tcW w:w="1304" w:type="dxa"/>
          </w:tcPr>
          <w:p w14:paraId="02C4C7D1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25.7 ± 1.4</w:t>
            </w:r>
          </w:p>
        </w:tc>
        <w:tc>
          <w:tcPr>
            <w:tcW w:w="1305" w:type="dxa"/>
          </w:tcPr>
          <w:p w14:paraId="52324CA8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0.6 ± 0.8</w:t>
            </w:r>
          </w:p>
        </w:tc>
        <w:tc>
          <w:tcPr>
            <w:tcW w:w="1305" w:type="dxa"/>
          </w:tcPr>
          <w:p w14:paraId="6EB3978E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1.5 ± 0.9</w:t>
            </w:r>
          </w:p>
        </w:tc>
      </w:tr>
      <w:tr w:rsidR="001B2A2E" w:rsidRPr="001B2A2E" w14:paraId="3CFF83A4" w14:textId="77777777" w:rsidTr="001B2A2E">
        <w:trPr>
          <w:jc w:val="center"/>
        </w:trPr>
        <w:tc>
          <w:tcPr>
            <w:tcW w:w="2553" w:type="dxa"/>
            <w:tcBorders>
              <w:bottom w:val="single" w:sz="4" w:space="0" w:color="auto"/>
            </w:tcBorders>
          </w:tcPr>
          <w:p w14:paraId="376913E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DPI (g/kg IBW)</w:t>
            </w:r>
            <w:r w:rsidRPr="001B2A2E">
              <w:rPr>
                <w:rFonts w:cs="Times New Roman"/>
                <w:i/>
                <w:vertAlign w:val="superscript"/>
              </w:rPr>
              <w:t xml:space="preserve"> </w:t>
            </w:r>
            <w:proofErr w:type="spellStart"/>
            <w:proofErr w:type="gramStart"/>
            <w:r w:rsidRPr="001B2A2E">
              <w:rPr>
                <w:rFonts w:cs="Times New Roman"/>
                <w:i/>
                <w:vertAlign w:val="superscript"/>
              </w:rPr>
              <w:t>a,b</w:t>
            </w:r>
            <w:proofErr w:type="gramEnd"/>
            <w:r w:rsidRPr="001B2A2E">
              <w:rPr>
                <w:rFonts w:cs="Times New Roman"/>
                <w:i/>
                <w:vertAlign w:val="superscript"/>
              </w:rPr>
              <w:t>,c</w:t>
            </w:r>
            <w:proofErr w:type="spellEnd"/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552E0F9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0.9 ± 0.1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6318D8F0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1.2 ± 0.1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4B475B29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1.2 ± 0.1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0B8103E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0.3 ± 0.1</w:t>
            </w:r>
            <w:r w:rsidRPr="001B2A2E">
              <w:rPr>
                <w:rFonts w:cs="Times New Roman"/>
                <w:i/>
                <w:vertAlign w:val="superscript"/>
              </w:rPr>
              <w:t>**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027E8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0.3 ± 0.1</w:t>
            </w:r>
            <w:r w:rsidRPr="001B2A2E">
              <w:rPr>
                <w:rFonts w:cs="Times New Roman"/>
                <w:i/>
                <w:vertAlign w:val="superscript"/>
              </w:rPr>
              <w:t>**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14:paraId="2287F1C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0.8 ± 0.1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45455D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0.9 ± 0.1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26EB39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1.0 ± 0.1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BEC531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0.1 ± 0.0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43C6BC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0.1 ± 0.1</w:t>
            </w:r>
          </w:p>
        </w:tc>
      </w:tr>
      <w:tr w:rsidR="001B2A2E" w:rsidRPr="001B2A2E" w14:paraId="490D8781" w14:textId="77777777" w:rsidTr="001B2A2E">
        <w:trPr>
          <w:jc w:val="center"/>
        </w:trPr>
        <w:tc>
          <w:tcPr>
            <w:tcW w:w="15496" w:type="dxa"/>
            <w:gridSpan w:val="14"/>
            <w:tcBorders>
              <w:top w:val="single" w:sz="4" w:space="0" w:color="auto"/>
            </w:tcBorders>
          </w:tcPr>
          <w:p w14:paraId="3169F5F5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left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  <w:b/>
                <w:i/>
              </w:rPr>
              <w:t>Appetite rating</w:t>
            </w:r>
          </w:p>
        </w:tc>
      </w:tr>
      <w:tr w:rsidR="001B2A2E" w:rsidRPr="001B2A2E" w14:paraId="5B9C6C7D" w14:textId="77777777" w:rsidTr="001B2A2E">
        <w:trPr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14:paraId="27142EFD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Good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14:paraId="4C5B728E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19 (65.5)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14:paraId="6B4698D6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22 (75.9)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14:paraId="0E622F20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19 (65.5)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B688F5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60B110E5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12 (44.4)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3E1FEA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19 (70.4)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FF22D60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17 (63.0)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58C368E8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ns</w:t>
            </w:r>
          </w:p>
        </w:tc>
      </w:tr>
      <w:tr w:rsidR="001B2A2E" w:rsidRPr="001B2A2E" w14:paraId="342D2813" w14:textId="77777777" w:rsidTr="001B2A2E">
        <w:trPr>
          <w:jc w:val="center"/>
        </w:trPr>
        <w:tc>
          <w:tcPr>
            <w:tcW w:w="2553" w:type="dxa"/>
          </w:tcPr>
          <w:p w14:paraId="1AFAD9F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Diminished</w:t>
            </w:r>
          </w:p>
        </w:tc>
        <w:tc>
          <w:tcPr>
            <w:tcW w:w="1605" w:type="dxa"/>
            <w:gridSpan w:val="2"/>
          </w:tcPr>
          <w:p w14:paraId="2487C6E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10 (34.5)</w:t>
            </w:r>
          </w:p>
        </w:tc>
        <w:tc>
          <w:tcPr>
            <w:tcW w:w="1605" w:type="dxa"/>
            <w:gridSpan w:val="2"/>
          </w:tcPr>
          <w:p w14:paraId="07E7137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7 (24.1)</w:t>
            </w:r>
          </w:p>
        </w:tc>
        <w:tc>
          <w:tcPr>
            <w:tcW w:w="1605" w:type="dxa"/>
            <w:gridSpan w:val="2"/>
          </w:tcPr>
          <w:p w14:paraId="46E1A95F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10 (34.5)</w:t>
            </w: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14:paraId="5A2B7AC0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ns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110FE67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15 (55.6)</w:t>
            </w:r>
          </w:p>
        </w:tc>
        <w:tc>
          <w:tcPr>
            <w:tcW w:w="1305" w:type="dxa"/>
          </w:tcPr>
          <w:p w14:paraId="13FC896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8 (29.6)</w:t>
            </w:r>
          </w:p>
        </w:tc>
        <w:tc>
          <w:tcPr>
            <w:tcW w:w="1304" w:type="dxa"/>
          </w:tcPr>
          <w:p w14:paraId="5A3072B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10 (37.0)</w:t>
            </w:r>
          </w:p>
        </w:tc>
        <w:tc>
          <w:tcPr>
            <w:tcW w:w="2610" w:type="dxa"/>
            <w:gridSpan w:val="2"/>
          </w:tcPr>
          <w:p w14:paraId="0FAE7E3A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ns</w:t>
            </w:r>
          </w:p>
        </w:tc>
      </w:tr>
      <w:tr w:rsidR="001B2A2E" w:rsidRPr="001B2A2E" w14:paraId="6914AA67" w14:textId="77777777" w:rsidTr="001B2A2E">
        <w:trPr>
          <w:jc w:val="center"/>
        </w:trPr>
        <w:tc>
          <w:tcPr>
            <w:tcW w:w="154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36732CD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b/>
                <w:i/>
                <w:vertAlign w:val="superscript"/>
              </w:rPr>
            </w:pPr>
            <w:r w:rsidRPr="001B2A2E">
              <w:rPr>
                <w:rFonts w:cs="Times New Roman"/>
                <w:b/>
                <w:i/>
              </w:rPr>
              <w:t xml:space="preserve">Physical activity </w:t>
            </w:r>
            <w:proofErr w:type="spellStart"/>
            <w:r w:rsidRPr="001B2A2E">
              <w:rPr>
                <w:rFonts w:cs="Times New Roman"/>
                <w:b/>
                <w:i/>
              </w:rPr>
              <w:t>level</w:t>
            </w:r>
            <w:r w:rsidRPr="001B2A2E">
              <w:rPr>
                <w:rFonts w:cs="Times New Roman"/>
                <w:b/>
                <w:i/>
                <w:vertAlign w:val="superscript"/>
              </w:rPr>
              <w:t>ξ</w:t>
            </w:r>
            <w:proofErr w:type="spellEnd"/>
          </w:p>
        </w:tc>
      </w:tr>
      <w:tr w:rsidR="001B2A2E" w:rsidRPr="001B2A2E" w14:paraId="224046AB" w14:textId="77777777" w:rsidTr="001B2A2E">
        <w:trPr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14:paraId="58DA19A4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 xml:space="preserve">PAL </w:t>
            </w:r>
          </w:p>
          <w:p w14:paraId="42169BD1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right="-249" w:firstLine="0"/>
              <w:contextualSpacing/>
              <w:jc w:val="left"/>
              <w:rPr>
                <w:rFonts w:cs="Times New Roman"/>
              </w:rPr>
            </w:pPr>
            <w:r w:rsidRPr="001B2A2E">
              <w:rPr>
                <w:rFonts w:cs="Times New Roman"/>
              </w:rPr>
              <w:t>(MET-minutes/week)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86488B3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198</w:t>
            </w:r>
          </w:p>
          <w:p w14:paraId="43DD2AD2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(0-487)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16C0946E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198</w:t>
            </w:r>
          </w:p>
          <w:p w14:paraId="750B0724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(0-644)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431DDF59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198</w:t>
            </w:r>
          </w:p>
          <w:p w14:paraId="6C0E2921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(17-747)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764CC1FC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0</w:t>
            </w:r>
          </w:p>
          <w:p w14:paraId="79BAC912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(-50-149)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05E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0</w:t>
            </w:r>
          </w:p>
          <w:p w14:paraId="31D4EE1F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(-221-289)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50BFE909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198</w:t>
            </w:r>
          </w:p>
          <w:p w14:paraId="6D5BECF0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(0-396)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A9D97E3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66</w:t>
            </w:r>
          </w:p>
          <w:p w14:paraId="0AD8E477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(0-347)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DC16C97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66</w:t>
            </w:r>
          </w:p>
          <w:p w14:paraId="406FC202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(0-462)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A72A8CF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0</w:t>
            </w:r>
          </w:p>
          <w:p w14:paraId="3BC2DE1F" w14:textId="77777777" w:rsidR="001B2A2E" w:rsidRPr="001B2A2E" w:rsidRDefault="001B2A2E" w:rsidP="004A79F1">
            <w:pPr>
              <w:pStyle w:val="11Normal02-SecondOnwardParagraph"/>
              <w:keepNext/>
              <w:keepLines/>
              <w:spacing w:before="0" w:after="0" w:line="240" w:lineRule="auto"/>
              <w:ind w:firstLine="0"/>
              <w:contextualSpacing/>
              <w:jc w:val="center"/>
              <w:outlineLvl w:val="3"/>
              <w:rPr>
                <w:rFonts w:cs="Times New Roman"/>
              </w:rPr>
            </w:pPr>
            <w:r w:rsidRPr="001B2A2E">
              <w:rPr>
                <w:rFonts w:cs="Times New Roman"/>
              </w:rPr>
              <w:t>(-165-0)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DD02BB2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0</w:t>
            </w:r>
          </w:p>
          <w:p w14:paraId="76291CBC" w14:textId="77777777" w:rsidR="001B2A2E" w:rsidRPr="001B2A2E" w:rsidRDefault="001B2A2E" w:rsidP="004A79F1">
            <w:pPr>
              <w:pStyle w:val="11Normal02-SecondOnwardParagraph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</w:rPr>
            </w:pPr>
            <w:r w:rsidRPr="001B2A2E">
              <w:rPr>
                <w:rFonts w:cs="Times New Roman"/>
              </w:rPr>
              <w:t>(-198-0)</w:t>
            </w:r>
          </w:p>
        </w:tc>
      </w:tr>
    </w:tbl>
    <w:p w14:paraId="16E3D707" w14:textId="77777777" w:rsidR="001B2A2E" w:rsidRPr="001B2A2E" w:rsidRDefault="001B2A2E" w:rsidP="001B2A2E">
      <w:pPr>
        <w:pStyle w:val="11Normal02-SecondOnwardParagraph"/>
        <w:spacing w:before="0" w:after="0" w:line="240" w:lineRule="auto"/>
        <w:ind w:left="-709" w:firstLine="0"/>
        <w:contextualSpacing/>
        <w:rPr>
          <w:rFonts w:cs="Times New Roman"/>
        </w:rPr>
      </w:pPr>
    </w:p>
    <w:p w14:paraId="3DBCF744" w14:textId="77777777" w:rsidR="001B2A2E" w:rsidRPr="001B2A2E" w:rsidRDefault="001B2A2E" w:rsidP="001B2A2E">
      <w:pPr>
        <w:pStyle w:val="11Normal02-SecondOnwardParagraph"/>
        <w:spacing w:before="0" w:after="0" w:line="240" w:lineRule="auto"/>
        <w:ind w:left="-709" w:firstLine="0"/>
        <w:contextualSpacing/>
        <w:rPr>
          <w:rFonts w:cs="Times New Roman"/>
        </w:rPr>
      </w:pPr>
      <w:r w:rsidRPr="001B2A2E">
        <w:rPr>
          <w:rFonts w:cs="Times New Roman"/>
        </w:rPr>
        <w:lastRenderedPageBreak/>
        <w:t xml:space="preserve">Note: All baseline comparisons between group were not significantly different as per Independent </w:t>
      </w:r>
      <w:r w:rsidRPr="001B2A2E">
        <w:rPr>
          <w:rFonts w:cs="Times New Roman"/>
          <w:i/>
        </w:rPr>
        <w:t xml:space="preserve">t </w:t>
      </w:r>
      <w:r w:rsidRPr="001B2A2E">
        <w:rPr>
          <w:rFonts w:cs="Times New Roman"/>
        </w:rPr>
        <w:t xml:space="preserve">test or Chi-square test; Data adjusted for age, gender, dialysis vintage and presence of diabetes mellitus is presented as mean ± standard deviation, median (interquartile range) or frequency (percentage); </w:t>
      </w:r>
      <w:r w:rsidRPr="001B2A2E">
        <w:rPr>
          <w:rFonts w:cs="Times New Roman"/>
          <w:i/>
          <w:vertAlign w:val="superscript"/>
        </w:rPr>
        <w:t xml:space="preserve">a </w:t>
      </w:r>
      <w:r w:rsidRPr="001B2A2E">
        <w:rPr>
          <w:rFonts w:cs="Times New Roman"/>
        </w:rPr>
        <w:t xml:space="preserve">Main effect of Group, </w:t>
      </w:r>
      <w:r w:rsidRPr="001B2A2E">
        <w:rPr>
          <w:rFonts w:cs="Times New Roman"/>
          <w:i/>
          <w:vertAlign w:val="superscript"/>
        </w:rPr>
        <w:t xml:space="preserve">b </w:t>
      </w:r>
      <w:r w:rsidRPr="001B2A2E">
        <w:rPr>
          <w:rFonts w:cs="Times New Roman"/>
        </w:rPr>
        <w:t xml:space="preserve">Main effect of Time, </w:t>
      </w:r>
      <w:r w:rsidRPr="001B2A2E">
        <w:rPr>
          <w:rFonts w:cs="Times New Roman"/>
          <w:i/>
          <w:vertAlign w:val="superscript"/>
        </w:rPr>
        <w:t xml:space="preserve">c </w:t>
      </w:r>
      <w:r w:rsidRPr="001B2A2E">
        <w:rPr>
          <w:rFonts w:cs="Times New Roman"/>
        </w:rPr>
        <w:t>Group x Time interaction; Δ</w:t>
      </w:r>
      <w:r w:rsidRPr="001B2A2E">
        <w:rPr>
          <w:rFonts w:cs="Times New Roman"/>
          <w:i/>
          <w:vertAlign w:val="superscript"/>
        </w:rPr>
        <w:t xml:space="preserve">t3 </w:t>
      </w:r>
      <w:r w:rsidRPr="001B2A2E">
        <w:rPr>
          <w:rFonts w:cs="Times New Roman"/>
        </w:rPr>
        <w:t>=Mean change at 3</w:t>
      </w:r>
      <w:r w:rsidRPr="001B2A2E">
        <w:rPr>
          <w:rFonts w:cs="Times New Roman"/>
          <w:vertAlign w:val="superscript"/>
        </w:rPr>
        <w:t>rd</w:t>
      </w:r>
      <w:r w:rsidRPr="001B2A2E">
        <w:rPr>
          <w:rFonts w:cs="Times New Roman"/>
        </w:rPr>
        <w:t xml:space="preserve"> months, Δ</w:t>
      </w:r>
      <w:r w:rsidRPr="001B2A2E">
        <w:rPr>
          <w:rFonts w:cs="Times New Roman"/>
          <w:i/>
          <w:vertAlign w:val="superscript"/>
        </w:rPr>
        <w:t xml:space="preserve">t6 </w:t>
      </w:r>
      <w:r w:rsidRPr="001B2A2E">
        <w:rPr>
          <w:rFonts w:cs="Times New Roman"/>
        </w:rPr>
        <w:t>=Mean change at 6</w:t>
      </w:r>
      <w:r w:rsidRPr="001B2A2E">
        <w:rPr>
          <w:rFonts w:cs="Times New Roman"/>
          <w:vertAlign w:val="superscript"/>
        </w:rPr>
        <w:t>th</w:t>
      </w:r>
      <w:r w:rsidRPr="001B2A2E">
        <w:rPr>
          <w:rFonts w:cs="Times New Roman"/>
        </w:rPr>
        <w:t xml:space="preserve"> months; *Significant at </w:t>
      </w:r>
      <w:r w:rsidRPr="001B2A2E">
        <w:rPr>
          <w:rFonts w:cs="Times New Roman"/>
          <w:i/>
        </w:rPr>
        <w:t>p</w:t>
      </w:r>
      <w:r w:rsidRPr="001B2A2E">
        <w:rPr>
          <w:rFonts w:cs="Times New Roman"/>
        </w:rPr>
        <w:t xml:space="preserve">&lt;0.05 compared to baseline, ** Significant at </w:t>
      </w:r>
      <w:r w:rsidRPr="001B2A2E">
        <w:rPr>
          <w:rFonts w:cs="Times New Roman"/>
          <w:i/>
        </w:rPr>
        <w:t>p</w:t>
      </w:r>
      <w:r w:rsidRPr="001B2A2E">
        <w:rPr>
          <w:rFonts w:cs="Times New Roman"/>
        </w:rPr>
        <w:t>&lt;0.001 compared to baseline</w:t>
      </w:r>
    </w:p>
    <w:p w14:paraId="1566CFBC" w14:textId="77777777" w:rsidR="001B2A2E" w:rsidRDefault="001B2A2E" w:rsidP="001B2A2E">
      <w:pPr>
        <w:pStyle w:val="11Normal02-SecondOnwardParagraph"/>
        <w:spacing w:before="0" w:after="0" w:line="240" w:lineRule="auto"/>
        <w:ind w:left="-709" w:firstLine="0"/>
        <w:contextualSpacing/>
        <w:rPr>
          <w:rFonts w:cs="Times New Roman"/>
        </w:rPr>
      </w:pPr>
      <w:r w:rsidRPr="001B2A2E">
        <w:rPr>
          <w:rFonts w:cs="Times New Roman"/>
          <w:b/>
          <w:i/>
          <w:vertAlign w:val="superscript"/>
        </w:rPr>
        <w:t xml:space="preserve">ξ </w:t>
      </w:r>
      <w:r w:rsidRPr="001B2A2E">
        <w:rPr>
          <w:rFonts w:cs="Times New Roman"/>
        </w:rPr>
        <w:t>Logarithmic conversion was performed for PAL as data was non-normally distributed</w:t>
      </w:r>
    </w:p>
    <w:p w14:paraId="243C2595" w14:textId="4D8B18DC" w:rsidR="001B2A2E" w:rsidRPr="001B2A2E" w:rsidRDefault="001B2A2E" w:rsidP="001B2A2E">
      <w:pPr>
        <w:pStyle w:val="11Normal02-SecondOnwardParagraph"/>
        <w:spacing w:before="0" w:after="0" w:line="240" w:lineRule="auto"/>
        <w:ind w:left="-709" w:firstLine="0"/>
        <w:contextualSpacing/>
        <w:rPr>
          <w:rFonts w:cs="Times New Roman"/>
        </w:rPr>
      </w:pPr>
      <w:r w:rsidRPr="001B2A2E">
        <w:rPr>
          <w:rFonts w:cs="Times New Roman"/>
        </w:rPr>
        <w:t xml:space="preserve">Abbreviation: BMI, body mass index; DEI, dietary energy intake; DPI, dietary protein intake; </w:t>
      </w:r>
      <w:proofErr w:type="spellStart"/>
      <w:r w:rsidRPr="001B2A2E">
        <w:rPr>
          <w:rFonts w:cs="Times New Roman"/>
        </w:rPr>
        <w:t>hsCRP</w:t>
      </w:r>
      <w:proofErr w:type="spellEnd"/>
      <w:r w:rsidRPr="001B2A2E">
        <w:rPr>
          <w:rFonts w:cs="Times New Roman"/>
        </w:rPr>
        <w:t xml:space="preserve">, high sensitivity C-reactive protein; IBW, ideal body weight; IL-6, interleukin-6; NC, nutritional counselling; </w:t>
      </w:r>
      <w:proofErr w:type="spellStart"/>
      <w:r w:rsidRPr="001B2A2E">
        <w:rPr>
          <w:rFonts w:cs="Times New Roman"/>
          <w:i/>
        </w:rPr>
        <w:t>n</w:t>
      </w:r>
      <w:r w:rsidRPr="001B2A2E">
        <w:rPr>
          <w:rFonts w:cs="Times New Roman"/>
        </w:rPr>
        <w:t>PCR</w:t>
      </w:r>
      <w:proofErr w:type="spellEnd"/>
      <w:r w:rsidRPr="001B2A2E">
        <w:rPr>
          <w:rFonts w:cs="Times New Roman"/>
        </w:rPr>
        <w:t>, normalized protein catabolic rate; ONS, oral nutritional supplementation; PAL, physical activity level</w:t>
      </w:r>
    </w:p>
    <w:p w14:paraId="327A8724" w14:textId="77777777" w:rsidR="001B2A2E" w:rsidRPr="001B2A2E" w:rsidRDefault="001B2A2E" w:rsidP="001B2A2E">
      <w:pPr>
        <w:tabs>
          <w:tab w:val="left" w:pos="2425"/>
        </w:tabs>
        <w:rPr>
          <w:rFonts w:cs="Times New Roman"/>
          <w:szCs w:val="24"/>
        </w:rPr>
      </w:pPr>
    </w:p>
    <w:p w14:paraId="219F4AE5" w14:textId="77777777" w:rsidR="001B2A2E" w:rsidRPr="001B2A2E" w:rsidRDefault="001B2A2E" w:rsidP="001B2A2E">
      <w:pPr>
        <w:keepNext/>
        <w:rPr>
          <w:rFonts w:cs="Times New Roman"/>
          <w:szCs w:val="24"/>
        </w:rPr>
      </w:pPr>
    </w:p>
    <w:p w14:paraId="7B65BC41" w14:textId="3026A8B9" w:rsidR="00DE23E8" w:rsidRPr="001B2A2E" w:rsidRDefault="001B2A2E" w:rsidP="001B2A2E">
      <w:pPr>
        <w:keepNext/>
        <w:jc w:val="center"/>
        <w:rPr>
          <w:rFonts w:cs="Times New Roman"/>
          <w:szCs w:val="24"/>
        </w:rPr>
      </w:pPr>
      <w:r w:rsidRPr="001B2A2E">
        <w:rPr>
          <w:rFonts w:cs="Times New Roman"/>
          <w:b/>
          <w:noProof/>
          <w:szCs w:val="24"/>
        </w:rPr>
        <w:drawing>
          <wp:inline distT="0" distB="0" distL="0" distR="0" wp14:anchorId="0B9A57FB" wp14:editId="3B2DE418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1B2A2E" w:rsidSect="001B2A2E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99C3" w14:textId="77777777" w:rsidR="00085BA7" w:rsidRDefault="00085BA7" w:rsidP="00117666">
      <w:pPr>
        <w:spacing w:after="0"/>
      </w:pPr>
      <w:r>
        <w:separator/>
      </w:r>
    </w:p>
  </w:endnote>
  <w:endnote w:type="continuationSeparator" w:id="0">
    <w:p w14:paraId="1DCA307A" w14:textId="77777777" w:rsidR="00085BA7" w:rsidRDefault="00085BA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E5FD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E5FD8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B2A2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B2A2E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FD47" w14:textId="77777777" w:rsidR="00085BA7" w:rsidRDefault="00085BA7" w:rsidP="00117666">
      <w:pPr>
        <w:spacing w:after="0"/>
      </w:pPr>
      <w:r>
        <w:separator/>
      </w:r>
    </w:p>
  </w:footnote>
  <w:footnote w:type="continuationSeparator" w:id="0">
    <w:p w14:paraId="42DB3408" w14:textId="77777777" w:rsidR="00085BA7" w:rsidRDefault="00085BA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85BA7"/>
    <w:rsid w:val="00105FD9"/>
    <w:rsid w:val="00117666"/>
    <w:rsid w:val="00122C73"/>
    <w:rsid w:val="001549D3"/>
    <w:rsid w:val="00160065"/>
    <w:rsid w:val="00177D84"/>
    <w:rsid w:val="001B2A2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42A8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E326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CE5FD8"/>
    <w:rsid w:val="00D060CF"/>
    <w:rsid w:val="00DB59C3"/>
    <w:rsid w:val="00DC259A"/>
    <w:rsid w:val="00DE23E8"/>
    <w:rsid w:val="00E52377"/>
    <w:rsid w:val="00E537AD"/>
    <w:rsid w:val="00E64E17"/>
    <w:rsid w:val="00E85956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379C1C0A-356E-5343-959F-B8DE3386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11Normal02-SecondOnwardParagraph">
    <w:name w:val="11 Normal02-Second&amp;OnwardParagraph"/>
    <w:qFormat/>
    <w:rsid w:val="001B2A2E"/>
    <w:pPr>
      <w:spacing w:before="400" w:after="400" w:line="360" w:lineRule="auto"/>
      <w:ind w:firstLine="720"/>
      <w:jc w:val="both"/>
    </w:pPr>
    <w:rPr>
      <w:rFonts w:ascii="Times New Roman" w:eastAsia="MS Mincho" w:hAnsi="Times New Roman" w:cs="Arial"/>
      <w:sz w:val="24"/>
      <w:szCs w:val="24"/>
    </w:rPr>
  </w:style>
  <w:style w:type="paragraph" w:customStyle="1" w:styleId="21Table-Contents-Left">
    <w:name w:val="21 Table-Contents-Left"/>
    <w:qFormat/>
    <w:rsid w:val="001B2A2E"/>
    <w:pPr>
      <w:spacing w:before="20" w:after="20" w:line="240" w:lineRule="auto"/>
    </w:pPr>
    <w:rPr>
      <w:rFonts w:ascii="Times New Roman" w:eastAsia="MS Mincho" w:hAnsi="Times New Roman" w:cs="Arial"/>
      <w:sz w:val="20"/>
      <w:szCs w:val="24"/>
    </w:rPr>
  </w:style>
  <w:style w:type="paragraph" w:customStyle="1" w:styleId="20Table-Contents-Center">
    <w:name w:val="20 Table-Contents-Center"/>
    <w:qFormat/>
    <w:rsid w:val="001B2A2E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17Table-Title-Center">
    <w:name w:val="17 Table-Title-Center"/>
    <w:next w:val="21Table-Contents-Left"/>
    <w:qFormat/>
    <w:rsid w:val="001B2A2E"/>
    <w:pPr>
      <w:spacing w:before="20" w:after="20" w:line="240" w:lineRule="auto"/>
      <w:jc w:val="center"/>
    </w:pPr>
    <w:rPr>
      <w:rFonts w:ascii="Times New Roman" w:eastAsia="MS Mincho" w:hAnsi="Times New Roman" w:cs="Arial"/>
      <w:b/>
      <w:sz w:val="20"/>
      <w:szCs w:val="24"/>
    </w:rPr>
  </w:style>
  <w:style w:type="paragraph" w:styleId="Revision">
    <w:name w:val="Revision"/>
    <w:hidden/>
    <w:uiPriority w:val="99"/>
    <w:semiHidden/>
    <w:rsid w:val="00122C7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7AD4D2-3150-734C-8031-838E9D30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Sandhya Patel</cp:lastModifiedBy>
  <cp:revision>3</cp:revision>
  <cp:lastPrinted>2013-10-03T12:51:00Z</cp:lastPrinted>
  <dcterms:created xsi:type="dcterms:W3CDTF">2021-11-01T08:49:00Z</dcterms:created>
  <dcterms:modified xsi:type="dcterms:W3CDTF">2021-11-01T08:50:00Z</dcterms:modified>
</cp:coreProperties>
</file>