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806D8" w14:textId="77777777" w:rsidR="006A0996" w:rsidRDefault="00817095">
      <w:pPr>
        <w:pStyle w:val="SupplementaryMaterial"/>
        <w:rPr>
          <w:b w:val="0"/>
        </w:rPr>
      </w:pPr>
      <w:r>
        <w:t>Supplementary Material</w:t>
      </w:r>
    </w:p>
    <w:p w14:paraId="21FB7512" w14:textId="77777777" w:rsidR="006A0996" w:rsidRDefault="00817095">
      <w:pPr>
        <w:pStyle w:val="Heading1"/>
      </w:pPr>
      <w:bookmarkStart w:id="0" w:name="supplementary-figures"/>
      <w:r>
        <w:t>Supplementary Figures</w:t>
      </w:r>
      <w:bookmarkEnd w:id="0"/>
    </w:p>
    <w:p w14:paraId="46C6FCE5" w14:textId="77777777" w:rsidR="006A0996" w:rsidRDefault="00817095">
      <w:pPr>
        <w:pStyle w:val="Heading2"/>
      </w:pPr>
      <w:bookmarkStart w:id="1" w:name="cell-wall-enrichment-schema"/>
      <w:r>
        <w:t>Cell Wall Enrichment Schema</w:t>
      </w:r>
      <w:bookmarkEnd w:id="1"/>
    </w:p>
    <w:p w14:paraId="5AE0B05C" w14:textId="77777777" w:rsidR="006A0996" w:rsidRDefault="00817095">
      <w:r>
        <w:rPr>
          <w:noProof/>
        </w:rPr>
        <w:drawing>
          <wp:inline distT="0" distB="0" distL="0" distR="0" wp14:anchorId="7E21D35F" wp14:editId="72B6E19D">
            <wp:extent cx="4077335" cy="4130040"/>
            <wp:effectExtent l="0" t="0" r="0" b="0"/>
            <wp:docPr id="1" name="Image6" descr="Figure 7: Schema of Cell Wall Protein Enrichment and Preparation of Resulting Cellular Fractions. Cellular debris was precipitated from lysate via centrifugation at 8,000 RCF, washed and boiled in detergent. The cell wall fraction was precipitated from the prior supernatant by centrifugation at 22,000 RCF, washed and solubilised in detergent. The resulting supernatant was the cytosolic fraction. Protein from each fraction was precipitated by chloroform and methanol and prepared for analysis by FASP. Figure adapted from Hermann et al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 descr="Figure 7: Schema of Cell Wall Protein Enrichment and Preparation of Resulting Cellular Fractions. Cellular debris was precipitated from lysate via centrifugation at 8,000 RCF, washed and boiled in detergent. The cell wall fraction was precipitated from the prior supernatant by centrifugation at 22,000 RCF, washed and solubilised in detergent. The resulting supernatant was the cytosolic fraction. Protein from each fraction was precipitated by chloroform and methanol and prepared for analysis by FASP. Figure adapted from Hermann et al (55)."/>
                    <pic:cNvPicPr>
                      <a:picLocks noChangeAspect="1" noChangeArrowheads="1"/>
                    </pic:cNvPicPr>
                  </pic:nvPicPr>
                  <pic:blipFill>
                    <a:blip r:embed="rId8"/>
                    <a:stretch>
                      <a:fillRect/>
                    </a:stretch>
                  </pic:blipFill>
                  <pic:spPr bwMode="auto">
                    <a:xfrm>
                      <a:off x="0" y="0"/>
                      <a:ext cx="4077335" cy="4130040"/>
                    </a:xfrm>
                    <a:prstGeom prst="rect">
                      <a:avLst/>
                    </a:prstGeom>
                  </pic:spPr>
                </pic:pic>
              </a:graphicData>
            </a:graphic>
          </wp:inline>
        </w:drawing>
      </w:r>
    </w:p>
    <w:p w14:paraId="78DAAB16" w14:textId="77777777" w:rsidR="006A0996" w:rsidRDefault="00817095">
      <w:r>
        <w:t xml:space="preserve">Figure S1: </w:t>
      </w:r>
      <w:r>
        <w:rPr>
          <w:b/>
        </w:rPr>
        <w:t>Schema of Cell Wall Protein Enrichment and Preparation of Resulting Cellular Fractions</w:t>
      </w:r>
      <w:r>
        <w:t xml:space="preserve">. Cellular debris was precipitated from lysate via centrifugation at 8,000 RCF, washed and boiled in detergent. The cell wall fraction was precipitated from the prior supernatant by centrifugation at 22,000 RCF, washed and </w:t>
      </w:r>
      <w:proofErr w:type="spellStart"/>
      <w:r>
        <w:t>solubilised</w:t>
      </w:r>
      <w:proofErr w:type="spellEnd"/>
      <w:r>
        <w:t xml:space="preserve"> in detergent. The resulting supernatant was the cytosolic fraction. Protein from each fraction was precipitated by chloroform and methanol and prepared for analysis by FASP. Figure adapted from Hermann et al (55).</w:t>
      </w:r>
    </w:p>
    <w:p w14:paraId="77E259E2" w14:textId="77777777" w:rsidR="006A0996" w:rsidRDefault="00817095">
      <w:pPr>
        <w:pStyle w:val="Heading2"/>
        <w:numPr>
          <w:ilvl w:val="0"/>
          <w:numId w:val="0"/>
        </w:numPr>
      </w:pPr>
      <w:r>
        <w:br w:type="page"/>
      </w:r>
    </w:p>
    <w:p w14:paraId="419F2CB6" w14:textId="77777777" w:rsidR="006A0996" w:rsidRDefault="00817095">
      <w:pPr>
        <w:pStyle w:val="Heading2"/>
      </w:pPr>
      <w:bookmarkStart w:id="2" w:name="data-quality-of-supplemental-dataset"/>
      <w:r>
        <w:lastRenderedPageBreak/>
        <w:t>Data Quality of Supplemental Dataset</w:t>
      </w:r>
      <w:bookmarkEnd w:id="2"/>
    </w:p>
    <w:p w14:paraId="12831477" w14:textId="77777777" w:rsidR="006A0996" w:rsidRDefault="00817095">
      <w:r>
        <w:rPr>
          <w:noProof/>
        </w:rPr>
        <w:drawing>
          <wp:inline distT="0" distB="0" distL="0" distR="0" wp14:anchorId="6CFA38D9" wp14:editId="5663BD90">
            <wp:extent cx="5415915" cy="5415915"/>
            <wp:effectExtent l="0" t="0" r="0" b="0"/>
            <wp:docPr id="2" name="Image7" descr="Figure 8: Data Quality for Supplementary Dataset. a) Distribution of iBAQ protein quantifications by sample both before and after median normalisation. b) Number of quantified proteins by sample. Colour scheme for panels a and b is red for cell debris, green for cell wall and blue for cytosolic fractions. c) Frequency of number of missed trypsin cleavage sites in identified peptides revealing nearly 90% of identified peptides showed no missed cleavag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descr="Figure 8: Data Quality for Supplementary Dataset. a) Distribution of iBAQ protein quantifications by sample both before and after median normalisation. b) Number of quantified proteins by sample. Colour scheme for panels a and b is red for cell debris, green for cell wall and blue for cytosolic fractions. c) Frequency of number of missed trypsin cleavage sites in identified peptides revealing nearly 90% of identified peptides showed no missed cleavage sites."/>
                    <pic:cNvPicPr>
                      <a:picLocks noChangeAspect="1" noChangeArrowheads="1"/>
                    </pic:cNvPicPr>
                  </pic:nvPicPr>
                  <pic:blipFill>
                    <a:blip r:embed="rId9"/>
                    <a:stretch>
                      <a:fillRect/>
                    </a:stretch>
                  </pic:blipFill>
                  <pic:spPr bwMode="auto">
                    <a:xfrm>
                      <a:off x="0" y="0"/>
                      <a:ext cx="5415915" cy="5415915"/>
                    </a:xfrm>
                    <a:prstGeom prst="rect">
                      <a:avLst/>
                    </a:prstGeom>
                  </pic:spPr>
                </pic:pic>
              </a:graphicData>
            </a:graphic>
          </wp:inline>
        </w:drawing>
      </w:r>
    </w:p>
    <w:p w14:paraId="49B4E49C" w14:textId="77777777" w:rsidR="006A0996" w:rsidRDefault="00817095">
      <w:r>
        <w:t xml:space="preserve">Figure S2: </w:t>
      </w:r>
      <w:r>
        <w:rPr>
          <w:b/>
        </w:rPr>
        <w:t>Data Quality for Supplementary Dataset</w:t>
      </w:r>
      <w:r>
        <w:t xml:space="preserve">. </w:t>
      </w:r>
      <w:r>
        <w:rPr>
          <w:b/>
        </w:rPr>
        <w:t>a)</w:t>
      </w:r>
      <w:r>
        <w:t xml:space="preserve"> Distribution of </w:t>
      </w:r>
      <w:proofErr w:type="spellStart"/>
      <w:r>
        <w:t>iBAQ</w:t>
      </w:r>
      <w:proofErr w:type="spellEnd"/>
      <w:r>
        <w:t xml:space="preserve"> protein quantifications by sample both before and after median </w:t>
      </w:r>
      <w:proofErr w:type="spellStart"/>
      <w:r>
        <w:t>normalisation</w:t>
      </w:r>
      <w:proofErr w:type="spellEnd"/>
      <w:r>
        <w:t xml:space="preserve">. </w:t>
      </w:r>
      <w:r>
        <w:rPr>
          <w:b/>
        </w:rPr>
        <w:t>b)</w:t>
      </w:r>
      <w:r>
        <w:t xml:space="preserve"> Number of quantified proteins by sample. </w:t>
      </w:r>
      <w:proofErr w:type="spellStart"/>
      <w:r>
        <w:t>Colour</w:t>
      </w:r>
      <w:proofErr w:type="spellEnd"/>
      <w:r>
        <w:t xml:space="preserve"> scheme for panels a and b is red for cell debris, green for cell wall and blue for cytosolic fractions. </w:t>
      </w:r>
      <w:r>
        <w:rPr>
          <w:b/>
        </w:rPr>
        <w:t>c)</w:t>
      </w:r>
      <w:r>
        <w:t xml:space="preserve"> Frequency of number of missed trypsin cleavage sites in identified peptides revealing nearly 90% of identified peptides showed no missed cleavage sites.</w:t>
      </w:r>
    </w:p>
    <w:p w14:paraId="3BB3042C" w14:textId="77777777" w:rsidR="006A0996" w:rsidRDefault="00817095">
      <w:pPr>
        <w:pStyle w:val="Heading2"/>
        <w:numPr>
          <w:ilvl w:val="0"/>
          <w:numId w:val="0"/>
        </w:numPr>
      </w:pPr>
      <w:r>
        <w:br w:type="page"/>
      </w:r>
    </w:p>
    <w:p w14:paraId="5DB3DB1B" w14:textId="77777777" w:rsidR="006A0996" w:rsidRDefault="00817095">
      <w:pPr>
        <w:pStyle w:val="Heading2"/>
      </w:pPr>
      <w:bookmarkStart w:id="3" w:name="principal-component-analyses"/>
      <w:r>
        <w:lastRenderedPageBreak/>
        <w:t>Principal Component Analyses</w:t>
      </w:r>
      <w:bookmarkEnd w:id="3"/>
    </w:p>
    <w:p w14:paraId="57E993D1" w14:textId="77777777" w:rsidR="006A0996" w:rsidRDefault="00817095">
      <w:r>
        <w:rPr>
          <w:noProof/>
        </w:rPr>
        <w:drawing>
          <wp:inline distT="0" distB="0" distL="0" distR="0" wp14:anchorId="4B6C2A55" wp14:editId="0FA0E3BC">
            <wp:extent cx="5415915" cy="4694555"/>
            <wp:effectExtent l="0" t="0" r="0" b="0"/>
            <wp:docPr id="3" name="Image8" descr="Figure 9: Principal Component Analysis. A principal component analysis identifying the cell wall fraction of sample 6R as an outlier. Rifampicin treated samples are shown in red and control samples in blue. Cellular debris, cell wall and cytosolic fractions are indicated by dots, triangles and squares respectively. Principal components one and three account for 68.7% and 4.8% of total variation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 descr="Figure 9: Principal Component Analysis. A principal component analysis identifying the cell wall fraction of sample 6R as an outlier. Rifampicin treated samples are shown in red and control samples in blue. Cellular debris, cell wall and cytosolic fractions are indicated by dots, triangles and squares respectively. Principal components one and three account for 68.7% and 4.8% of total variation respectively."/>
                    <pic:cNvPicPr>
                      <a:picLocks noChangeAspect="1" noChangeArrowheads="1"/>
                    </pic:cNvPicPr>
                  </pic:nvPicPr>
                  <pic:blipFill>
                    <a:blip r:embed="rId10"/>
                    <a:stretch>
                      <a:fillRect/>
                    </a:stretch>
                  </pic:blipFill>
                  <pic:spPr bwMode="auto">
                    <a:xfrm>
                      <a:off x="0" y="0"/>
                      <a:ext cx="5415915" cy="4694555"/>
                    </a:xfrm>
                    <a:prstGeom prst="rect">
                      <a:avLst/>
                    </a:prstGeom>
                  </pic:spPr>
                </pic:pic>
              </a:graphicData>
            </a:graphic>
          </wp:inline>
        </w:drawing>
      </w:r>
    </w:p>
    <w:p w14:paraId="36D8A02E" w14:textId="77777777" w:rsidR="006A0996" w:rsidRDefault="00817095">
      <w:r>
        <w:t xml:space="preserve">Figure S3: </w:t>
      </w:r>
      <w:r>
        <w:rPr>
          <w:b/>
        </w:rPr>
        <w:t>Principal Component Analysis</w:t>
      </w:r>
      <w:r>
        <w:t>. A principal component analysis identifying the cell wall fraction of sample 6R as an outlier. Rifampicin treated samples are shown in red and control samples in blue. Cellular debris, cell wall and cytosolic fractions are indicated by dots, triangles and squares respectively. Principal components one and three account for 68.7% and 4.8% of total variation respectively.</w:t>
      </w:r>
    </w:p>
    <w:p w14:paraId="2F85C3BA" w14:textId="77777777" w:rsidR="006A0996" w:rsidRDefault="00817095">
      <w:r>
        <w:rPr>
          <w:noProof/>
        </w:rPr>
        <w:lastRenderedPageBreak/>
        <w:drawing>
          <wp:inline distT="0" distB="0" distL="0" distR="0" wp14:anchorId="2A4D6982" wp14:editId="76D55B44">
            <wp:extent cx="5415915" cy="4694555"/>
            <wp:effectExtent l="0" t="0" r="0" b="0"/>
            <wp:docPr id="4" name="Image9" descr="Figure 10: Principal Component Analysis. A principal component analysis showing strong separation of samples according to cellular fraction. Rifampicin treated samples are shown in red and control samples in blue. Cellular debris, cell wall and cytosolic fractions are indicated by dots, triangles and squares respectively. Principal components one and two account for 68.7% and 11.2% of total variation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 descr="Figure 10: Principal Component Analysis. A principal component analysis showing strong separation of samples according to cellular fraction. Rifampicin treated samples are shown in red and control samples in blue. Cellular debris, cell wall and cytosolic fractions are indicated by dots, triangles and squares respectively. Principal components one and two account for 68.7% and 11.2% of total variation respectively."/>
                    <pic:cNvPicPr>
                      <a:picLocks noChangeAspect="1" noChangeArrowheads="1"/>
                    </pic:cNvPicPr>
                  </pic:nvPicPr>
                  <pic:blipFill>
                    <a:blip r:embed="rId11"/>
                    <a:stretch>
                      <a:fillRect/>
                    </a:stretch>
                  </pic:blipFill>
                  <pic:spPr bwMode="auto">
                    <a:xfrm>
                      <a:off x="0" y="0"/>
                      <a:ext cx="5415915" cy="4694555"/>
                    </a:xfrm>
                    <a:prstGeom prst="rect">
                      <a:avLst/>
                    </a:prstGeom>
                  </pic:spPr>
                </pic:pic>
              </a:graphicData>
            </a:graphic>
          </wp:inline>
        </w:drawing>
      </w:r>
    </w:p>
    <w:p w14:paraId="39B28732" w14:textId="77777777" w:rsidR="006A0996" w:rsidRDefault="00817095">
      <w:r>
        <w:t xml:space="preserve">Figure S4: </w:t>
      </w:r>
      <w:r>
        <w:rPr>
          <w:b/>
        </w:rPr>
        <w:t>Principal Component Analysis</w:t>
      </w:r>
      <w:r>
        <w:t>. A principal component analysis showing strong separation of samples according to cellular fraction. Rifampicin treated samples are shown in red and control samples in blue. Cellular debris, cell wall and cytosolic fractions are indicated by dots, triangles and squares respectively. Principal components one and two account for 68.7% and 11.2% of total variation respectively.</w:t>
      </w:r>
    </w:p>
    <w:p w14:paraId="10F94DBA" w14:textId="77777777" w:rsidR="006A0996" w:rsidRDefault="00817095">
      <w:pPr>
        <w:pStyle w:val="Heading2"/>
        <w:numPr>
          <w:ilvl w:val="0"/>
          <w:numId w:val="0"/>
        </w:numPr>
      </w:pPr>
      <w:r>
        <w:br w:type="page"/>
      </w:r>
    </w:p>
    <w:p w14:paraId="472793C3" w14:textId="77777777" w:rsidR="006A0996" w:rsidRDefault="00817095">
      <w:pPr>
        <w:pStyle w:val="Heading2"/>
      </w:pPr>
      <w:bookmarkStart w:id="4" w:name="ribosomal-proteins"/>
      <w:r>
        <w:lastRenderedPageBreak/>
        <w:t>Ribosomal Proteins</w:t>
      </w:r>
      <w:bookmarkEnd w:id="4"/>
    </w:p>
    <w:p w14:paraId="545C8CB6" w14:textId="77777777" w:rsidR="006A0996" w:rsidRDefault="00817095">
      <w:r>
        <w:rPr>
          <w:noProof/>
        </w:rPr>
        <w:drawing>
          <wp:inline distT="0" distB="0" distL="0" distR="0" wp14:anchorId="721B44FF" wp14:editId="1B32F03D">
            <wp:extent cx="5415915" cy="5415915"/>
            <wp:effectExtent l="0" t="0" r="0" b="0"/>
            <wp:docPr id="5" name="Image10" descr="Figure 11: Expression Profiles for Several Ribosomal Subunit Proteins. Ribosomal proteins were both up- and down regulated with RplQ and RplO up regulated and RpsM and RpmG1 down regulated in at least one fraction each. Points indicate individual replicate values measured, bars indicate mean expression with error bars indicating standard deviation. Control samples shown in blue and rifampicin trea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 descr="Figure 11: Expression Profiles for Several Ribosomal Subunit Proteins. Ribosomal proteins were both up- and down regulated with RplQ and RplO up regulated and RpsM and RpmG1 down regulated in at least one fraction each. Points indicate individual replicate values measured, bars indicate mean expression with error bars indicating standard deviation. Control samples shown in blue and rifampicin treated in red."/>
                    <pic:cNvPicPr>
                      <a:picLocks noChangeAspect="1" noChangeArrowheads="1"/>
                    </pic:cNvPicPr>
                  </pic:nvPicPr>
                  <pic:blipFill>
                    <a:blip r:embed="rId12"/>
                    <a:stretch>
                      <a:fillRect/>
                    </a:stretch>
                  </pic:blipFill>
                  <pic:spPr bwMode="auto">
                    <a:xfrm>
                      <a:off x="0" y="0"/>
                      <a:ext cx="5415915" cy="5415915"/>
                    </a:xfrm>
                    <a:prstGeom prst="rect">
                      <a:avLst/>
                    </a:prstGeom>
                  </pic:spPr>
                </pic:pic>
              </a:graphicData>
            </a:graphic>
          </wp:inline>
        </w:drawing>
      </w:r>
    </w:p>
    <w:p w14:paraId="7D8EF908" w14:textId="77777777" w:rsidR="006A0996" w:rsidRDefault="00817095">
      <w:r>
        <w:t xml:space="preserve">Figure S5: </w:t>
      </w:r>
      <w:r>
        <w:rPr>
          <w:b/>
        </w:rPr>
        <w:t>Expression Profiles for Several Ribosomal Subunit Proteins</w:t>
      </w:r>
      <w:r>
        <w:t xml:space="preserve">. Ribosomal proteins were both up- and downregulated with </w:t>
      </w:r>
      <w:proofErr w:type="spellStart"/>
      <w:r>
        <w:t>RplQ</w:t>
      </w:r>
      <w:proofErr w:type="spellEnd"/>
      <w:r>
        <w:t xml:space="preserve"> and </w:t>
      </w:r>
      <w:proofErr w:type="spellStart"/>
      <w:r>
        <w:t>RplO</w:t>
      </w:r>
      <w:proofErr w:type="spellEnd"/>
      <w:r>
        <w:t xml:space="preserve"> upregulated and </w:t>
      </w:r>
      <w:proofErr w:type="spellStart"/>
      <w:r>
        <w:t>RpsM</w:t>
      </w:r>
      <w:proofErr w:type="spellEnd"/>
      <w:r>
        <w:t xml:space="preserve"> and RpmG1 downregulated in at least one fraction each. Points indicate individual replicate values measured, bars indicate mean expression with error bars indicating standard deviation. Control samples shown in blue and rifampicin treated in red.</w:t>
      </w:r>
    </w:p>
    <w:p w14:paraId="70F49CB8" w14:textId="77777777" w:rsidR="006A0996" w:rsidRDefault="00817095">
      <w:pPr>
        <w:pStyle w:val="Heading2"/>
        <w:numPr>
          <w:ilvl w:val="0"/>
          <w:numId w:val="0"/>
        </w:numPr>
      </w:pPr>
      <w:r>
        <w:br w:type="page"/>
      </w:r>
    </w:p>
    <w:p w14:paraId="732D1F93" w14:textId="77777777" w:rsidR="006A0996" w:rsidRDefault="00817095">
      <w:pPr>
        <w:pStyle w:val="Heading2"/>
      </w:pPr>
      <w:bookmarkStart w:id="5" w:name="iron-and-vitamin-b12-metabolism"/>
      <w:r>
        <w:lastRenderedPageBreak/>
        <w:t>Iron and Vitamin B12 Metabolism</w:t>
      </w:r>
      <w:bookmarkEnd w:id="5"/>
    </w:p>
    <w:p w14:paraId="2521376D" w14:textId="77777777" w:rsidR="006A0996" w:rsidRDefault="00817095">
      <w:r>
        <w:rPr>
          <w:noProof/>
        </w:rPr>
        <w:drawing>
          <wp:inline distT="0" distB="0" distL="0" distR="0" wp14:anchorId="0C37028B" wp14:editId="356952AF">
            <wp:extent cx="6197600" cy="6520180"/>
            <wp:effectExtent l="0" t="0" r="0" b="0"/>
            <wp:docPr id="6" name="Image11" descr="Figure 12: Dysregulation of Porphyrin and Vitamin B12 Synthesis Pathway in Drug Resistant Mutant. Blue and red coloured boxes indicate the relevant protein was respectively down or up regulated in one or more fractions. Green indicates protein was observed to be both up and down regulated in different cellular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 descr="Figure 12: Dysregulation of Porphyrin and Vitamin B12 Synthesis Pathway in Drug Resistant Mutant. Blue and red coloured boxes indicate the relevant protein was respectively down or up regulated in one or more fractions. Green indicates protein was observed to be both up and down regulated in different cellular fractions."/>
                    <pic:cNvPicPr>
                      <a:picLocks noChangeAspect="1" noChangeArrowheads="1"/>
                    </pic:cNvPicPr>
                  </pic:nvPicPr>
                  <pic:blipFill>
                    <a:blip r:embed="rId13"/>
                    <a:stretch>
                      <a:fillRect/>
                    </a:stretch>
                  </pic:blipFill>
                  <pic:spPr bwMode="auto">
                    <a:xfrm>
                      <a:off x="0" y="0"/>
                      <a:ext cx="6197600" cy="6520180"/>
                    </a:xfrm>
                    <a:prstGeom prst="rect">
                      <a:avLst/>
                    </a:prstGeom>
                  </pic:spPr>
                </pic:pic>
              </a:graphicData>
            </a:graphic>
          </wp:inline>
        </w:drawing>
      </w:r>
    </w:p>
    <w:p w14:paraId="06580F2B" w14:textId="77777777" w:rsidR="006A0996" w:rsidRDefault="00817095">
      <w:r>
        <w:t xml:space="preserve">Figure S6: </w:t>
      </w:r>
      <w:r>
        <w:rPr>
          <w:b/>
        </w:rPr>
        <w:t>Dysregulation of Porphyrin and Vitamin B12 Synthesis Pathway in Drug Resistant Mutant</w:t>
      </w:r>
      <w:r>
        <w:t xml:space="preserve">. Blue and red </w:t>
      </w:r>
      <w:proofErr w:type="spellStart"/>
      <w:r>
        <w:t>coloured</w:t>
      </w:r>
      <w:proofErr w:type="spellEnd"/>
      <w:r>
        <w:t xml:space="preserve"> boxes indicate the relevant protein was respectively down- or upregulated in one or more fractions. Green indicates protein was observed to be both up- and downregulated in different cellular fractions.</w:t>
      </w:r>
    </w:p>
    <w:p w14:paraId="7B4A8B6E" w14:textId="77777777" w:rsidR="006A0996" w:rsidRDefault="00817095">
      <w:pPr>
        <w:pStyle w:val="Heading2"/>
        <w:numPr>
          <w:ilvl w:val="0"/>
          <w:numId w:val="0"/>
        </w:numPr>
      </w:pPr>
      <w:r>
        <w:br w:type="page"/>
      </w:r>
    </w:p>
    <w:p w14:paraId="75D3FE9B" w14:textId="77777777" w:rsidR="006A0996" w:rsidRDefault="00817095">
      <w:pPr>
        <w:pStyle w:val="Heading2"/>
      </w:pPr>
      <w:bookmarkStart w:id="6" w:name="go-term-and-kegg-pathway-enrichment"/>
      <w:r>
        <w:lastRenderedPageBreak/>
        <w:t>GO Term and KEGG Pathway Enrichment</w:t>
      </w:r>
      <w:bookmarkEnd w:id="6"/>
    </w:p>
    <w:p w14:paraId="60DB860E" w14:textId="77777777" w:rsidR="006A0996" w:rsidRDefault="00817095">
      <w:r>
        <w:rPr>
          <w:noProof/>
        </w:rPr>
        <w:drawing>
          <wp:inline distT="0" distB="0" distL="0" distR="0" wp14:anchorId="2495C24B" wp14:editId="204B6BFF">
            <wp:extent cx="6197600" cy="6197600"/>
            <wp:effectExtent l="0" t="0" r="0" b="0"/>
            <wp:docPr id="7" name="Image12" descr="Figure 13: GO Term Enrichment of Proteins Dysregulated in Drug Resistant SL Mycobacteria. Top 15 gene ontology terms with p&lt;0.05 after multiple testing correction. Terms ordered by ascending p-value for enrichment (greatest enrichment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 descr="Figure 13: GO Term Enrichment of Proteins Dysregulated in Drug Resistant SL Mycobacteria. Top 15 gene ontology terms with p&lt;0.05 after multiple testing correction. Terms ordered by ascending p-value for enrichment (greatest enrichment at the top)."/>
                    <pic:cNvPicPr>
                      <a:picLocks noChangeAspect="1" noChangeArrowheads="1"/>
                    </pic:cNvPicPr>
                  </pic:nvPicPr>
                  <pic:blipFill>
                    <a:blip r:embed="rId14"/>
                    <a:stretch>
                      <a:fillRect/>
                    </a:stretch>
                  </pic:blipFill>
                  <pic:spPr bwMode="auto">
                    <a:xfrm>
                      <a:off x="0" y="0"/>
                      <a:ext cx="6197600" cy="6197600"/>
                    </a:xfrm>
                    <a:prstGeom prst="rect">
                      <a:avLst/>
                    </a:prstGeom>
                  </pic:spPr>
                </pic:pic>
              </a:graphicData>
            </a:graphic>
          </wp:inline>
        </w:drawing>
      </w:r>
    </w:p>
    <w:p w14:paraId="60B2A9C4" w14:textId="77777777" w:rsidR="006A0996" w:rsidRDefault="00817095">
      <w:r>
        <w:t xml:space="preserve">Figure S7: </w:t>
      </w:r>
      <w:r>
        <w:rPr>
          <w:b/>
        </w:rPr>
        <w:t>GO Term Enrichment of Proteins Dysregulated in Drug Resistant SL Mycobacteria</w:t>
      </w:r>
      <w:r>
        <w:t>. Top 15 gene ontology terms with p&lt;0.05 after multiple testing correction. Terms ordered by ascending p-value for enrichment (greatest enrichment at the top).</w:t>
      </w:r>
    </w:p>
    <w:p w14:paraId="4127A682" w14:textId="77777777" w:rsidR="006A0996" w:rsidRDefault="00817095">
      <w:pPr>
        <w:pStyle w:val="Heading2"/>
        <w:numPr>
          <w:ilvl w:val="0"/>
          <w:numId w:val="0"/>
        </w:numPr>
      </w:pPr>
      <w:r>
        <w:br w:type="page"/>
      </w:r>
    </w:p>
    <w:p w14:paraId="292BAF0E" w14:textId="77777777" w:rsidR="006A0996" w:rsidRDefault="00817095">
      <w:pPr>
        <w:pStyle w:val="Heading2"/>
      </w:pPr>
      <w:bookmarkStart w:id="7" w:name="fatty-acid-metabolism"/>
      <w:r>
        <w:lastRenderedPageBreak/>
        <w:t>Fatty Acid Metabolism</w:t>
      </w:r>
      <w:bookmarkEnd w:id="7"/>
    </w:p>
    <w:p w14:paraId="0BE78029" w14:textId="77777777" w:rsidR="006A0996" w:rsidRDefault="00817095">
      <w:r>
        <w:rPr>
          <w:noProof/>
        </w:rPr>
        <w:drawing>
          <wp:inline distT="0" distB="0" distL="0" distR="0" wp14:anchorId="087AEAAF" wp14:editId="6E89F544">
            <wp:extent cx="4657725" cy="6620510"/>
            <wp:effectExtent l="0" t="0" r="0" b="0"/>
            <wp:docPr id="8" name="Image13" descr="Figure 14: KEGG Pathway for Lipid Metabolism. The combined SL dataset was used to construct this plot. Arrows indicate reactions catalysed by enzymes and circles indicate product intermediates. Red arrows indicate enzymes are increased and blue decreased in samples treated with rifampicin as compared with control samples. Overall we see that both fatty acid biosynthesis and degradation show evidence for being up regulated. Please note that this image represents the generic pathway and some steps have no prokaryotic enzyme mapping, such as the synthesis of Palmitoylcarni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 descr="Figure 14: KEGG Pathway for Lipid Metabolism. The combined SL dataset was used to construct this plot. Arrows indicate reactions catalysed by enzymes and circles indicate product intermediates. Red arrows indicate enzymes are increased and blue decreased in samples treated with rifampicin as compared with control samples. Overall we see that both fatty acid biosynthesis and degradation show evidence for being up regulated. Please note that this image represents the generic pathway and some steps have no prokaryotic enzyme mapping, such as the synthesis of Palmitoylcarnitine."/>
                    <pic:cNvPicPr>
                      <a:picLocks noChangeAspect="1" noChangeArrowheads="1"/>
                    </pic:cNvPicPr>
                  </pic:nvPicPr>
                  <pic:blipFill>
                    <a:blip r:embed="rId15"/>
                    <a:stretch>
                      <a:fillRect/>
                    </a:stretch>
                  </pic:blipFill>
                  <pic:spPr bwMode="auto">
                    <a:xfrm>
                      <a:off x="0" y="0"/>
                      <a:ext cx="4657725" cy="6620510"/>
                    </a:xfrm>
                    <a:prstGeom prst="rect">
                      <a:avLst/>
                    </a:prstGeom>
                  </pic:spPr>
                </pic:pic>
              </a:graphicData>
            </a:graphic>
          </wp:inline>
        </w:drawing>
      </w:r>
    </w:p>
    <w:p w14:paraId="4B2C50BA" w14:textId="77777777" w:rsidR="006A0996" w:rsidRDefault="00817095">
      <w:r>
        <w:t xml:space="preserve">Figure S8: </w:t>
      </w:r>
      <w:r>
        <w:rPr>
          <w:b/>
        </w:rPr>
        <w:t>KEGG Pathway for Lipid Metabolism</w:t>
      </w:r>
      <w:r>
        <w:t xml:space="preserve">. The combined SL dataset was used to construct this plot. Arrows indicate reactions </w:t>
      </w:r>
      <w:proofErr w:type="spellStart"/>
      <w:r>
        <w:t>catalysed</w:t>
      </w:r>
      <w:proofErr w:type="spellEnd"/>
      <w:r>
        <w:t xml:space="preserve"> by enzymes and circles indicate product intermediates. Red arrows indicate enzymes are increased and blue decreased in samples treated with rifampicin as compared with control samples. Overall we see that both fatty acid biosynthesis and degradation show evidence for being upregulated. Please note that this image represents the generic pathway and some steps have no prokaryotic enzyme mapping, such as the synthesis of </w:t>
      </w:r>
      <w:proofErr w:type="spellStart"/>
      <w:r>
        <w:t>Palmitoylcarnitine</w:t>
      </w:r>
      <w:proofErr w:type="spellEnd"/>
      <w:r>
        <w:t>.</w:t>
      </w:r>
    </w:p>
    <w:sectPr w:rsidR="006A0996">
      <w:headerReference w:type="even" r:id="rId16"/>
      <w:headerReference w:type="default" r:id="rId17"/>
      <w:footerReference w:type="even" r:id="rId18"/>
      <w:footerReference w:type="default" r:id="rId19"/>
      <w:headerReference w:type="first" r:id="rId20"/>
      <w:pgSz w:w="12240" w:h="15840"/>
      <w:pgMar w:top="1138" w:right="1181" w:bottom="1138" w:left="1282"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DDACF" w14:textId="77777777" w:rsidR="00170CD5" w:rsidRDefault="00170CD5">
      <w:pPr>
        <w:spacing w:before="0" w:after="0"/>
      </w:pPr>
      <w:r>
        <w:separator/>
      </w:r>
    </w:p>
  </w:endnote>
  <w:endnote w:type="continuationSeparator" w:id="0">
    <w:p w14:paraId="14E551A6" w14:textId="77777777" w:rsidR="00170CD5" w:rsidRDefault="00170C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Lucida Sans">
    <w:panose1 w:val="020B0602030504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A888" w14:textId="77777777" w:rsidR="006A0996" w:rsidRDefault="00817095">
    <w:pPr>
      <w:rPr>
        <w:color w:val="C00000"/>
        <w:szCs w:val="24"/>
      </w:rPr>
    </w:pPr>
    <w:r>
      <w:rPr>
        <w:noProof/>
        <w:color w:val="C00000"/>
        <w:szCs w:val="24"/>
      </w:rPr>
      <mc:AlternateContent>
        <mc:Choice Requires="wps">
          <w:drawing>
            <wp:anchor distT="3175" distB="3175" distL="3175" distR="3175" simplePos="0" relativeHeight="21" behindDoc="1" locked="0" layoutInCell="0" allowOverlap="1" wp14:anchorId="0B981357" wp14:editId="642AB77C">
              <wp:simplePos x="0" y="0"/>
              <wp:positionH relativeFrom="margin">
                <wp:align>right</wp:align>
              </wp:positionH>
              <wp:positionV relativeFrom="bottomMargin">
                <wp:align>top</wp:align>
              </wp:positionV>
              <wp:extent cx="1510665" cy="342265"/>
              <wp:effectExtent l="0" t="0" r="0" b="0"/>
              <wp:wrapNone/>
              <wp:docPr id="10" name="Text Box 1"/>
              <wp:cNvGraphicFramePr/>
              <a:graphic xmlns:a="http://schemas.openxmlformats.org/drawingml/2006/main">
                <a:graphicData uri="http://schemas.microsoft.com/office/word/2010/wordprocessingShape">
                  <wps:wsp>
                    <wps:cNvSpPr/>
                    <wps:spPr>
                      <a:xfrm>
                        <a:off x="0" y="0"/>
                        <a:ext cx="1510200" cy="341640"/>
                      </a:xfrm>
                      <a:prstGeom prst="rect">
                        <a:avLst/>
                      </a:prstGeom>
                      <a:noFill/>
                      <a:ln w="6350">
                        <a:noFill/>
                      </a:ln>
                    </wps:spPr>
                    <wps:style>
                      <a:lnRef idx="0">
                        <a:scrgbClr r="0" g="0" b="0"/>
                      </a:lnRef>
                      <a:fillRef idx="0">
                        <a:scrgbClr r="0" g="0" b="0"/>
                      </a:fillRef>
                      <a:effectRef idx="0">
                        <a:scrgbClr r="0" g="0" b="0"/>
                      </a:effectRef>
                      <a:fontRef idx="minor"/>
                    </wps:style>
                    <wps:txbx>
                      <w:txbxContent>
                        <w:p w14:paraId="0410F938" w14:textId="77777777" w:rsidR="006A0996" w:rsidRDefault="00817095">
                          <w:pPr>
                            <w:pStyle w:val="FrameContents"/>
                            <w:jc w:val="right"/>
                            <w:rPr>
                              <w:color w:val="000000" w:themeColor="text1"/>
                              <w:szCs w:val="40"/>
                            </w:rPr>
                          </w:pPr>
                          <w:r>
                            <w:rPr>
                              <w:color w:val="000000"/>
                              <w:szCs w:val="40"/>
                            </w:rPr>
                            <w:fldChar w:fldCharType="begin"/>
                          </w:r>
                          <w:r>
                            <w:rPr>
                              <w:color w:val="000000"/>
                              <w:szCs w:val="40"/>
                            </w:rPr>
                            <w:instrText>PAGE</w:instrText>
                          </w:r>
                          <w:r>
                            <w:rPr>
                              <w:color w:val="000000"/>
                              <w:szCs w:val="40"/>
                            </w:rPr>
                            <w:fldChar w:fldCharType="separate"/>
                          </w:r>
                          <w:r>
                            <w:rPr>
                              <w:color w:val="000000"/>
                              <w:szCs w:val="40"/>
                            </w:rPr>
                            <w:t>8</w:t>
                          </w:r>
                          <w:r>
                            <w:rPr>
                              <w:color w:val="000000"/>
                              <w:szCs w:val="40"/>
                            </w:rPr>
                            <w:fldChar w:fldCharType="end"/>
                          </w:r>
                        </w:p>
                      </w:txbxContent>
                    </wps:txbx>
                    <wps:bodyPr>
                      <a:prstTxWarp prst="textNoShape">
                        <a:avLst/>
                      </a:prstTxWarp>
                      <a:spAutoFit/>
                    </wps:bodyPr>
                  </wps:wsp>
                </a:graphicData>
              </a:graphic>
            </wp:anchor>
          </w:drawing>
        </mc:Choice>
        <mc:Fallback>
          <w:pict>
            <v:rect id="shape_0" ID="Text Box 1" path="m0,0l-2147483645,0l-2147483645,-2147483646l0,-2147483646xe" stroked="f" style="position:absolute;margin-left:369.9pt;margin-top:0pt;width:118.85pt;height:26.85pt;mso-wrap-style:square;v-text-anchor:top;mso-position-horizontal:right;mso-position-horizontal-relative:margin;mso-position-vertical:top" wp14:anchorId="382EAD14">
              <v:fill o:detectmouseclick="t" on="false"/>
              <v:stroke color="#3465a4" weight="6480" joinstyle="round" endcap="flat"/>
              <v:textbox>
                <w:txbxContent>
                  <w:p>
                    <w:pPr>
                      <w:pStyle w:val="FrameContents"/>
                      <w:spacing w:before="120" w:after="240"/>
                      <w:jc w:val="right"/>
                      <w:rPr>
                        <w:color w:val="000000" w:themeColor="text1"/>
                        <w:szCs w:val="40"/>
                      </w:rPr>
                    </w:pPr>
                    <w:r>
                      <w:rPr>
                        <w:color w:val="000000"/>
                        <w:szCs w:val="40"/>
                      </w:rPr>
                      <w:fldChar w:fldCharType="begin"/>
                    </w:r>
                    <w:r>
                      <w:rPr>
                        <w:szCs w:val="40"/>
                        <w:color w:val="000000"/>
                      </w:rPr>
                      <w:instrText> PAGE </w:instrText>
                    </w:r>
                    <w:r>
                      <w:rPr>
                        <w:szCs w:val="40"/>
                        <w:color w:val="000000"/>
                      </w:rPr>
                      <w:fldChar w:fldCharType="separate"/>
                    </w:r>
                    <w:r>
                      <w:rPr>
                        <w:szCs w:val="40"/>
                        <w:color w:val="000000"/>
                      </w:rPr>
                      <w:t>8</w:t>
                    </w:r>
                    <w:r>
                      <w:rPr>
                        <w:szCs w:val="40"/>
                        <w:color w:val="000000"/>
                      </w:rPr>
                      <w:fldChar w:fldCharType="end"/>
                    </w:r>
                  </w:p>
                </w:txbxContent>
              </v:textbox>
              <w10:wrap type="non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86D2" w14:textId="77777777" w:rsidR="006A0996" w:rsidRDefault="00817095">
    <w:pPr>
      <w:rPr>
        <w:b/>
        <w:sz w:val="20"/>
        <w:szCs w:val="24"/>
      </w:rPr>
    </w:pPr>
    <w:r>
      <w:rPr>
        <w:b/>
        <w:noProof/>
        <w:sz w:val="20"/>
        <w:szCs w:val="24"/>
      </w:rPr>
      <mc:AlternateContent>
        <mc:Choice Requires="wps">
          <w:drawing>
            <wp:anchor distT="3175" distB="3175" distL="3175" distR="3175" simplePos="0" relativeHeight="14" behindDoc="1" locked="0" layoutInCell="0" allowOverlap="1" wp14:anchorId="55CE09CE" wp14:editId="5C5B040B">
              <wp:simplePos x="0" y="0"/>
              <wp:positionH relativeFrom="margin">
                <wp:align>right</wp:align>
              </wp:positionH>
              <wp:positionV relativeFrom="bottomMargin">
                <wp:align>top</wp:align>
              </wp:positionV>
              <wp:extent cx="1510665" cy="342265"/>
              <wp:effectExtent l="0" t="0" r="0" b="0"/>
              <wp:wrapNone/>
              <wp:docPr id="12" name="Text Box 56"/>
              <wp:cNvGraphicFramePr/>
              <a:graphic xmlns:a="http://schemas.openxmlformats.org/drawingml/2006/main">
                <a:graphicData uri="http://schemas.microsoft.com/office/word/2010/wordprocessingShape">
                  <wps:wsp>
                    <wps:cNvSpPr/>
                    <wps:spPr>
                      <a:xfrm>
                        <a:off x="0" y="0"/>
                        <a:ext cx="1510200" cy="341640"/>
                      </a:xfrm>
                      <a:prstGeom prst="rect">
                        <a:avLst/>
                      </a:prstGeom>
                      <a:noFill/>
                      <a:ln w="6350">
                        <a:noFill/>
                      </a:ln>
                    </wps:spPr>
                    <wps:style>
                      <a:lnRef idx="0">
                        <a:scrgbClr r="0" g="0" b="0"/>
                      </a:lnRef>
                      <a:fillRef idx="0">
                        <a:scrgbClr r="0" g="0" b="0"/>
                      </a:fillRef>
                      <a:effectRef idx="0">
                        <a:scrgbClr r="0" g="0" b="0"/>
                      </a:effectRef>
                      <a:fontRef idx="minor"/>
                    </wps:style>
                    <wps:txbx>
                      <w:txbxContent>
                        <w:p w14:paraId="126E1137" w14:textId="77777777" w:rsidR="006A0996" w:rsidRDefault="00817095">
                          <w:pPr>
                            <w:pStyle w:val="FrameContents"/>
                            <w:jc w:val="right"/>
                            <w:rPr>
                              <w:color w:val="000000" w:themeColor="text1"/>
                              <w:szCs w:val="40"/>
                            </w:rPr>
                          </w:pPr>
                          <w:r>
                            <w:rPr>
                              <w:color w:val="000000"/>
                              <w:szCs w:val="40"/>
                            </w:rPr>
                            <w:fldChar w:fldCharType="begin"/>
                          </w:r>
                          <w:r>
                            <w:rPr>
                              <w:color w:val="000000"/>
                              <w:szCs w:val="40"/>
                            </w:rPr>
                            <w:instrText>PAGE</w:instrText>
                          </w:r>
                          <w:r>
                            <w:rPr>
                              <w:color w:val="000000"/>
                              <w:szCs w:val="40"/>
                            </w:rPr>
                            <w:fldChar w:fldCharType="separate"/>
                          </w:r>
                          <w:r>
                            <w:rPr>
                              <w:color w:val="000000"/>
                              <w:szCs w:val="40"/>
                            </w:rPr>
                            <w:t>7</w:t>
                          </w:r>
                          <w:r>
                            <w:rPr>
                              <w:color w:val="000000"/>
                              <w:szCs w:val="40"/>
                            </w:rPr>
                            <w:fldChar w:fldCharType="end"/>
                          </w:r>
                        </w:p>
                      </w:txbxContent>
                    </wps:txbx>
                    <wps:bodyPr>
                      <a:prstTxWarp prst="textNoShape">
                        <a:avLst/>
                      </a:prstTxWarp>
                      <a:spAutoFit/>
                    </wps:bodyPr>
                  </wps:wsp>
                </a:graphicData>
              </a:graphic>
            </wp:anchor>
          </w:drawing>
        </mc:Choice>
        <mc:Fallback>
          <w:pict>
            <v:rect id="shape_0" ID="Text Box 56" path="m0,0l-2147483645,0l-2147483645,-2147483646l0,-2147483646xe" stroked="f" style="position:absolute;margin-left:369.9pt;margin-top:0pt;width:118.85pt;height:26.85pt;mso-wrap-style:square;v-text-anchor:top;mso-position-horizontal:right;mso-position-horizontal-relative:margin;mso-position-vertical:top" wp14:anchorId="70F9F55F">
              <v:fill o:detectmouseclick="t" on="false"/>
              <v:stroke color="#3465a4" weight="6480" joinstyle="round" endcap="flat"/>
              <v:textbox>
                <w:txbxContent>
                  <w:p>
                    <w:pPr>
                      <w:pStyle w:val="FrameContents"/>
                      <w:spacing w:before="120" w:after="240"/>
                      <w:jc w:val="right"/>
                      <w:rPr>
                        <w:color w:val="000000" w:themeColor="text1"/>
                        <w:szCs w:val="40"/>
                      </w:rPr>
                    </w:pPr>
                    <w:r>
                      <w:rPr>
                        <w:color w:val="000000"/>
                        <w:szCs w:val="40"/>
                      </w:rPr>
                      <w:fldChar w:fldCharType="begin"/>
                    </w:r>
                    <w:r>
                      <w:rPr>
                        <w:szCs w:val="40"/>
                        <w:color w:val="000000"/>
                      </w:rPr>
                      <w:instrText> PAGE </w:instrText>
                    </w:r>
                    <w:r>
                      <w:rPr>
                        <w:szCs w:val="40"/>
                        <w:color w:val="000000"/>
                      </w:rPr>
                      <w:fldChar w:fldCharType="separate"/>
                    </w:r>
                    <w:r>
                      <w:rPr>
                        <w:szCs w:val="40"/>
                        <w:color w:val="000000"/>
                      </w:rPr>
                      <w:t>7</w:t>
                    </w:r>
                    <w:r>
                      <w:rPr>
                        <w:szCs w:val="40"/>
                        <w:color w:val="000000"/>
                      </w:rPr>
                      <w:fldChar w:fldCharType="end"/>
                    </w:r>
                  </w:p>
                </w:txbxContent>
              </v:textbox>
              <w10:wrap type="non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75CCE" w14:textId="77777777" w:rsidR="00170CD5" w:rsidRDefault="00170CD5">
      <w:pPr>
        <w:spacing w:before="0" w:after="0"/>
      </w:pPr>
      <w:r>
        <w:separator/>
      </w:r>
    </w:p>
  </w:footnote>
  <w:footnote w:type="continuationSeparator" w:id="0">
    <w:p w14:paraId="54887031" w14:textId="77777777" w:rsidR="00170CD5" w:rsidRDefault="00170C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95C6" w14:textId="77777777" w:rsidR="006A0996" w:rsidRDefault="00817095">
    <w:pPr>
      <w:rPr>
        <w:rFonts w:cs="Times New Roman"/>
      </w:rPr>
    </w:pPr>
    <w:r>
      <w:rPr>
        <w:rFonts w:cs="Times New Roman"/>
      </w:rPr>
      <w:tab/>
    </w:r>
    <w:r>
      <w:rPr>
        <w:rFonts w:cs="Times New Roman"/>
      </w:rPr>
      <w:tab/>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83158" w14:textId="77777777" w:rsidR="006A0996" w:rsidRDefault="006A09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1CDD" w14:textId="77777777" w:rsidR="006A0996" w:rsidRDefault="00817095">
    <w:r>
      <w:rPr>
        <w:noProof/>
      </w:rPr>
      <w:drawing>
        <wp:inline distT="0" distB="0" distL="0" distR="0" wp14:anchorId="2AB6FC87" wp14:editId="49029B69">
          <wp:extent cx="1382395" cy="497205"/>
          <wp:effectExtent l="0" t="0" r="0" b="0"/>
          <wp:docPr id="9"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00EA6"/>
    <w:multiLevelType w:val="multilevel"/>
    <w:tmpl w:val="472859E8"/>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567"/>
        </w:tabs>
        <w:ind w:left="567" w:hanging="567"/>
      </w:pPr>
    </w:lvl>
    <w:lvl w:ilvl="3">
      <w:start w:val="1"/>
      <w:numFmt w:val="decimal"/>
      <w:pStyle w:val="Heading4"/>
      <w:lvlText w:val="%1.%2.%3.%4"/>
      <w:lvlJc w:val="left"/>
      <w:pPr>
        <w:tabs>
          <w:tab w:val="num" w:pos="567"/>
        </w:tabs>
        <w:ind w:left="567" w:hanging="567"/>
      </w:pPr>
    </w:lvl>
    <w:lvl w:ilvl="4">
      <w:start w:val="1"/>
      <w:numFmt w:val="decimal"/>
      <w:pStyle w:val="Heading5"/>
      <w:lvlText w:val="%1.%2.%3.%4.%5"/>
      <w:lvlJc w:val="left"/>
      <w:pPr>
        <w:tabs>
          <w:tab w:val="num" w:pos="567"/>
        </w:tabs>
        <w:ind w:left="567" w:hanging="567"/>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D523985"/>
    <w:multiLevelType w:val="multilevel"/>
    <w:tmpl w:val="E1588E14"/>
    <w:lvl w:ilvl="0">
      <w:start w:val="1"/>
      <w:numFmt w:val="bullet"/>
      <w:pStyle w:val="ListParagraph"/>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996"/>
    <w:rsid w:val="00170CD5"/>
    <w:rsid w:val="0054268C"/>
    <w:rsid w:val="006A0996"/>
    <w:rsid w:val="00817095"/>
    <w:rsid w:val="0084392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4CE8E"/>
  <w15:docId w15:val="{31C8648B-890D-4971-A23C-0E00E194E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
      </w:numPr>
      <w:spacing w:before="240" w:after="12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qFormat/>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qFormat/>
    <w:rsid w:val="00AB6715"/>
    <w:rPr>
      <w:rFonts w:ascii="Times New Roman" w:eastAsia="Cambria" w:hAnsi="Times New Roman" w:cs="Times New Roman"/>
      <w:b/>
      <w:sz w:val="24"/>
      <w:szCs w:val="24"/>
    </w:rPr>
  </w:style>
  <w:style w:type="character" w:customStyle="1" w:styleId="SubtitleChar">
    <w:name w:val="Subtitle Char"/>
    <w:basedOn w:val="DefaultParagraphFont"/>
    <w:link w:val="Subtitle"/>
    <w:uiPriority w:val="99"/>
    <w:qFormat/>
    <w:rsid w:val="00AB6715"/>
    <w:rPr>
      <w:rFonts w:ascii="Times New Roman" w:hAnsi="Times New Roman" w:cs="Times New Roman"/>
      <w:b/>
      <w:sz w:val="24"/>
      <w:szCs w:val="24"/>
    </w:rPr>
  </w:style>
  <w:style w:type="character" w:customStyle="1" w:styleId="BalloonTextChar">
    <w:name w:val="Balloon Text Char"/>
    <w:basedOn w:val="DefaultParagraphFont"/>
    <w:link w:val="BalloonText"/>
    <w:uiPriority w:val="99"/>
    <w:semiHidden/>
    <w:qFormat/>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character" w:styleId="CommentReference">
    <w:name w:val="annotation reference"/>
    <w:basedOn w:val="DefaultParagraphFont"/>
    <w:uiPriority w:val="99"/>
    <w:semiHidden/>
    <w:unhideWhenUsed/>
    <w:qFormat/>
    <w:rsid w:val="00AB6715"/>
    <w:rPr>
      <w:sz w:val="16"/>
      <w:szCs w:val="16"/>
    </w:rPr>
  </w:style>
  <w:style w:type="character" w:customStyle="1" w:styleId="CommentTextChar">
    <w:name w:val="Comment Text Char"/>
    <w:basedOn w:val="DefaultParagraphFont"/>
    <w:link w:val="CommentText"/>
    <w:uiPriority w:val="99"/>
    <w:semiHidden/>
    <w:qFormat/>
    <w:rsid w:val="00AB6715"/>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customStyle="1" w:styleId="EndnoteCharacters">
    <w:name w:val="Endnote Characters"/>
    <w:basedOn w:val="DefaultParagraphFont"/>
    <w:uiPriority w:val="99"/>
    <w:semiHidden/>
    <w:unhideWhenUsed/>
    <w:qFormat/>
    <w:rsid w:val="00AB6715"/>
    <w:rPr>
      <w:vertAlign w:val="superscript"/>
    </w:rPr>
  </w:style>
  <w:style w:type="character" w:customStyle="1" w:styleId="EndnoteAnchor">
    <w:name w:val="Endnote Anchor"/>
    <w:rPr>
      <w:vertAlign w:val="superscript"/>
    </w:rPr>
  </w:style>
  <w:style w:type="character" w:customStyle="1" w:styleId="EndnoteTextChar">
    <w:name w:val="Endnote Text Char"/>
    <w:basedOn w:val="DefaultParagraphFont"/>
    <w:link w:val="EndnoteText"/>
    <w:uiPriority w:val="99"/>
    <w:semiHidden/>
    <w:qFormat/>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character" w:customStyle="1" w:styleId="FooterChar">
    <w:name w:val="Footer Char"/>
    <w:basedOn w:val="DefaultParagraphFont"/>
    <w:link w:val="Footer"/>
    <w:uiPriority w:val="99"/>
    <w:qFormat/>
    <w:rsid w:val="00AB6715"/>
    <w:rPr>
      <w:rFonts w:ascii="Times New Roman" w:hAnsi="Times New Roman"/>
      <w:sz w:val="24"/>
    </w:rPr>
  </w:style>
  <w:style w:type="character" w:customStyle="1" w:styleId="FootnoteCharacters">
    <w:name w:val="Footnote Characters"/>
    <w:basedOn w:val="DefaultParagraphFont"/>
    <w:uiPriority w:val="99"/>
    <w:semiHidden/>
    <w:unhideWhenUsed/>
    <w:qFormat/>
    <w:rsid w:val="00AB6715"/>
    <w:rPr>
      <w:vertAlign w:val="superscript"/>
    </w:rPr>
  </w:style>
  <w:style w:type="character" w:customStyle="1" w:styleId="FootnoteAnchor">
    <w:name w:val="Footnote Anchor"/>
    <w:rPr>
      <w:vertAlign w:val="superscript"/>
    </w:rPr>
  </w:style>
  <w:style w:type="character" w:customStyle="1" w:styleId="FootnoteTextChar">
    <w:name w:val="Footnote Text Char"/>
    <w:basedOn w:val="DefaultParagraphFont"/>
    <w:link w:val="FootnoteText"/>
    <w:uiPriority w:val="99"/>
    <w:semiHidden/>
    <w:qFormat/>
    <w:rsid w:val="00AB6715"/>
    <w:rPr>
      <w:rFonts w:ascii="Times New Roman" w:hAnsi="Times New Roman"/>
      <w:sz w:val="20"/>
      <w:szCs w:val="20"/>
    </w:rPr>
  </w:style>
  <w:style w:type="character" w:customStyle="1" w:styleId="HeaderChar">
    <w:name w:val="Header Char"/>
    <w:basedOn w:val="DefaultParagraphFont"/>
    <w:link w:val="Header"/>
    <w:uiPriority w:val="99"/>
    <w:qFormat/>
    <w:rsid w:val="00AB6715"/>
    <w:rPr>
      <w:rFonts w:ascii="Times New Roman" w:hAnsi="Times New Roman"/>
      <w:b/>
      <w:sz w:val="24"/>
    </w:r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qFormat/>
    <w:rsid w:val="00AB6715"/>
  </w:style>
  <w:style w:type="character" w:customStyle="1" w:styleId="Heading3Char">
    <w:name w:val="Heading 3 Char"/>
    <w:basedOn w:val="DefaultParagraphFont"/>
    <w:link w:val="Heading3"/>
    <w:uiPriority w:val="2"/>
    <w:qFormat/>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qFormat/>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qFormat/>
    <w:rsid w:val="00AB6715"/>
    <w:rPr>
      <w:rFonts w:ascii="Times New Roman" w:eastAsiaTheme="majorEastAsia" w:hAnsi="Times New Roman" w:cstheme="majorBidi"/>
      <w:b/>
      <w:iCs/>
      <w:sz w:val="24"/>
      <w:szCs w:val="24"/>
    </w:rPr>
  </w:style>
  <w:style w:type="character" w:customStyle="1" w:styleId="QuoteChar">
    <w:name w:val="Quote Char"/>
    <w:basedOn w:val="DefaultParagraphFont"/>
    <w:link w:val="Quote"/>
    <w:uiPriority w:val="29"/>
    <w:qFormat/>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character" w:customStyle="1" w:styleId="TitleChar">
    <w:name w:val="Title Char"/>
    <w:basedOn w:val="DefaultParagraphFont"/>
    <w:link w:val="Title"/>
    <w:qFormat/>
    <w:rsid w:val="00AB6715"/>
    <w:rPr>
      <w:rFonts w:ascii="Times New Roman" w:hAnsi="Times New Roman" w:cs="Times New Roman"/>
      <w:b/>
      <w:sz w:val="32"/>
      <w:szCs w:val="32"/>
    </w:rPr>
  </w:style>
  <w:style w:type="paragraph" w:customStyle="1" w:styleId="Heading">
    <w:name w:val="Heading"/>
    <w:basedOn w:val="Normal"/>
    <w:next w:val="BodyText"/>
    <w:qFormat/>
    <w:pPr>
      <w:keepNext/>
      <w:spacing w:before="240" w:after="120"/>
    </w:pPr>
    <w:rPr>
      <w:rFonts w:ascii="Liberation Sans" w:eastAsia="Noto Sans CJK SC" w:hAnsi="Liberation Sans" w:cs="Lucida Sans"/>
      <w:sz w:val="28"/>
      <w:szCs w:val="28"/>
    </w:rPr>
  </w:style>
  <w:style w:type="paragraph" w:styleId="BodyText">
    <w:name w:val="Body Text"/>
    <w:basedOn w:val="Normal"/>
    <w:pPr>
      <w:spacing w:before="0" w:after="140" w:line="276" w:lineRule="auto"/>
    </w:pPr>
  </w:style>
  <w:style w:type="paragraph" w:styleId="List">
    <w:name w:val="List"/>
    <w:basedOn w:val="BodyText"/>
    <w:rPr>
      <w:rFonts w:cs="Lucida Sans"/>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customStyle="1" w:styleId="Index">
    <w:name w:val="Index"/>
    <w:basedOn w:val="Normal"/>
    <w:qFormat/>
    <w:pPr>
      <w:suppressLineNumbers/>
    </w:pPr>
    <w:rPr>
      <w:rFonts w:cs="Lucida Sans"/>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paragraph" w:customStyle="1" w:styleId="AuthorList">
    <w:name w:val="Author List"/>
    <w:basedOn w:val="Subtitle"/>
    <w:next w:val="Normal"/>
    <w:uiPriority w:val="1"/>
    <w:qFormat/>
    <w:rsid w:val="00AB6715"/>
  </w:style>
  <w:style w:type="paragraph" w:styleId="BalloonText">
    <w:name w:val="Balloon Text"/>
    <w:basedOn w:val="Normal"/>
    <w:link w:val="BalloonTextChar"/>
    <w:uiPriority w:val="99"/>
    <w:semiHidden/>
    <w:unhideWhenUsed/>
    <w:qFormat/>
    <w:rsid w:val="00AB6715"/>
    <w:pPr>
      <w:spacing w:after="0"/>
    </w:pPr>
    <w:rPr>
      <w:rFonts w:ascii="Tahoma" w:hAnsi="Tahoma" w:cs="Tahoma"/>
      <w:sz w:val="16"/>
      <w:szCs w:val="16"/>
    </w:rPr>
  </w:style>
  <w:style w:type="paragraph" w:styleId="NoSpacing">
    <w:name w:val="No Spacing"/>
    <w:uiPriority w:val="99"/>
    <w:unhideWhenUsed/>
    <w:qFormat/>
    <w:rsid w:val="00AB6715"/>
    <w:rPr>
      <w:rFonts w:ascii="Times New Roman" w:hAnsi="Times New Roman"/>
      <w:sz w:val="24"/>
    </w:rPr>
  </w:style>
  <w:style w:type="paragraph" w:styleId="CommentText">
    <w:name w:val="annotation text"/>
    <w:basedOn w:val="Normal"/>
    <w:link w:val="CommentTextChar"/>
    <w:uiPriority w:val="99"/>
    <w:semiHidden/>
    <w:unhideWhenUsed/>
    <w:qFormat/>
    <w:rsid w:val="00AB6715"/>
    <w:rPr>
      <w:sz w:val="20"/>
      <w:szCs w:val="20"/>
    </w:rPr>
  </w:style>
  <w:style w:type="paragraph" w:styleId="CommentSubject">
    <w:name w:val="annotation subject"/>
    <w:basedOn w:val="CommentText"/>
    <w:next w:val="CommentText"/>
    <w:link w:val="CommentSubjectChar"/>
    <w:uiPriority w:val="99"/>
    <w:semiHidden/>
    <w:unhideWhenUsed/>
    <w:qFormat/>
    <w:rsid w:val="00AB6715"/>
    <w:rPr>
      <w:b/>
      <w:bCs/>
    </w:rPr>
  </w:style>
  <w:style w:type="paragraph" w:styleId="EndnoteText">
    <w:name w:val="endnote text"/>
    <w:basedOn w:val="Normal"/>
    <w:link w:val="EndnoteTextChar"/>
    <w:uiPriority w:val="99"/>
    <w:semiHidden/>
    <w:unhideWhenUsed/>
    <w:rsid w:val="00AB6715"/>
    <w:pPr>
      <w:spacing w:after="0"/>
    </w:pPr>
    <w:rPr>
      <w:sz w:val="20"/>
      <w:szCs w:val="20"/>
    </w:rPr>
  </w:style>
  <w:style w:type="paragraph" w:customStyle="1" w:styleId="HeaderandFooter">
    <w:name w:val="Header and Footer"/>
    <w:basedOn w:val="Normal"/>
    <w:qFormat/>
  </w:style>
  <w:style w:type="paragraph" w:styleId="Footer">
    <w:name w:val="footer"/>
    <w:basedOn w:val="Normal"/>
    <w:link w:val="FooterChar"/>
    <w:uiPriority w:val="99"/>
    <w:unhideWhenUsed/>
    <w:rsid w:val="00AB6715"/>
    <w:pPr>
      <w:tabs>
        <w:tab w:val="center" w:pos="4844"/>
        <w:tab w:val="right" w:pos="9689"/>
      </w:tabs>
      <w:spacing w:after="0"/>
    </w:pPr>
  </w:style>
  <w:style w:type="paragraph" w:styleId="FootnoteText">
    <w:name w:val="footnote text"/>
    <w:basedOn w:val="Normal"/>
    <w:link w:val="FootnoteTextChar"/>
    <w:uiPriority w:val="99"/>
    <w:semiHidden/>
    <w:unhideWhenUsed/>
    <w:rsid w:val="00AB6715"/>
    <w:pPr>
      <w:spacing w:after="0"/>
    </w:pPr>
    <w:rPr>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paragraph" w:styleId="ListParagraph">
    <w:name w:val="List Paragraph"/>
    <w:basedOn w:val="Normal"/>
    <w:uiPriority w:val="3"/>
    <w:qFormat/>
    <w:rsid w:val="00AB6715"/>
    <w:pPr>
      <w:numPr>
        <w:numId w:val="2"/>
      </w:numPr>
      <w:contextualSpacing/>
    </w:pPr>
    <w:rPr>
      <w:rFonts w:eastAsia="Cambria" w:cs="Times New Roman"/>
      <w:szCs w:val="24"/>
    </w:rPr>
  </w:style>
  <w:style w:type="paragraph" w:styleId="NormalWeb">
    <w:name w:val="Normal (Web)"/>
    <w:basedOn w:val="Normal"/>
    <w:uiPriority w:val="99"/>
    <w:unhideWhenUsed/>
    <w:qFormat/>
    <w:rsid w:val="00AB6715"/>
    <w:pPr>
      <w:spacing w:beforeAutospacing="1"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FrameContents">
    <w:name w:val="Frame Contents"/>
    <w:basedOn w:val="Normal"/>
    <w:qFormat/>
  </w:style>
  <w:style w:type="numbering" w:customStyle="1" w:styleId="Headings">
    <w:name w:val="Headings"/>
    <w:uiPriority w:val="99"/>
    <w:qFormat/>
    <w:rsid w:val="00AB6715"/>
  </w:style>
  <w:style w:type="table" w:styleId="TableGrid">
    <w:name w:val="Table Grid"/>
    <w:basedOn w:val="TableNormal"/>
    <w:uiPriority w:val="59"/>
    <w:rsid w:val="00AB6715"/>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548</Words>
  <Characters>3130</Characters>
  <Application>Microsoft Office Word</Application>
  <DocSecurity>0</DocSecurity>
  <Lines>26</Lines>
  <Paragraphs>7</Paragraphs>
  <ScaleCrop>false</ScaleCrop>
  <Company/>
  <LinksUpToDate>false</LinksUpToDate>
  <CharactersWithSpaces>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dc:description/>
  <cp:lastModifiedBy>Tom Flint</cp:lastModifiedBy>
  <cp:revision>2</cp:revision>
  <cp:lastPrinted>2013-10-03T12:51:00Z</cp:lastPrinted>
  <dcterms:created xsi:type="dcterms:W3CDTF">2021-08-25T09:48:00Z</dcterms:created>
  <dcterms:modified xsi:type="dcterms:W3CDTF">2021-08-25T09:48:00Z</dcterms:modified>
  <dc:language>en-US</dc:language>
</cp:coreProperties>
</file>