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upplementary Material"/>
        <w:rPr>
          <w:b w:val="0"/>
          <w:bCs w:val="0"/>
        </w:rPr>
      </w:pPr>
      <w:r>
        <w:rPr>
          <w:rtl w:val="0"/>
          <w:lang w:val="en-US"/>
        </w:rPr>
        <w:t>Supplementary Material</w:t>
      </w:r>
    </w:p>
    <w:p>
      <w:pPr>
        <w:pStyle w:val="Intestazione"/>
        <w:numPr>
          <w:ilvl w:val="0"/>
          <w:numId w:val="2"/>
        </w:numPr>
      </w:pPr>
      <w:r>
        <w:rPr>
          <w:rtl w:val="0"/>
        </w:rPr>
        <w:t>Nitric Oxide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jc w:val="both"/>
        <w:rPr>
          <w:lang w:val="en-US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jc w:val="both"/>
        <w:rPr>
          <w:lang w:val="en-US"/>
        </w:rPr>
      </w:pPr>
      <w:r>
        <w:rPr>
          <w:rtl w:val="0"/>
          <w:lang w:val="en-US"/>
        </w:rPr>
        <w:t xml:space="preserve">Excessive production of nitric oxide (NO) in sepsis, following the induction of iNOS, is due to the increased circulating cytokine concentration, bacteria and microbial products, acting in strong synergy. </w:t>
      </w:r>
      <w:bookmarkStart w:name="bBIB20" w:id="0"/>
      <w:r>
        <w:rPr>
          <w:rtl w:val="0"/>
          <w:lang w:val="en-US"/>
        </w:rPr>
        <w:t>The conversion of l-arginine to NO by the NO synthases and subsequent degradation of NO into nitrite and nitrate</w:t>
      </w:r>
      <w:bookmarkEnd w:id="0"/>
      <w:bookmarkStart w:name="bBIB17" w:id="1"/>
      <w:r>
        <w:rPr>
          <w:rtl w:val="0"/>
          <w:lang w:val="en-US"/>
        </w:rPr>
        <w:t xml:space="preserve"> is part of the adaptive response of the host defence mechanism, since NO has bactericidal effects</w:t>
      </w:r>
      <w:bookmarkEnd w:id="1"/>
      <w:r>
        <w:rPr>
          <w:rtl w:val="0"/>
          <w:lang w:val="en-US"/>
        </w:rPr>
        <w:t>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jc w:val="both"/>
        <w:rPr>
          <w:lang w:val="en-US"/>
        </w:rPr>
      </w:pPr>
      <w:r>
        <w:rPr>
          <w:rtl w:val="0"/>
          <w:lang w:val="en-US"/>
        </w:rPr>
        <w:t>For this study, NO was determined by a gas phase chemiluminescence reaction of NO with ozone using a Sievers Nitric Oxide Analyzer (NOA, GE Analytical Instruments) as already described elsewhere (Nagababu E, Rifkind JM. Measurement of plasma nitrite by chemiluminescence without interference of S-, N-nitroso and nitrated species. Free Radic Biol Med. 2007;42(8):1146</w:t>
      </w:r>
      <w:r>
        <w:rPr>
          <w:rtl w:val="0"/>
          <w:lang w:val="en-US"/>
        </w:rPr>
        <w:t>–</w:t>
      </w:r>
      <w:r>
        <w:rPr>
          <w:rtl w:val="0"/>
          <w:lang w:val="en-US"/>
        </w:rPr>
        <w:t>1154. doi:10.1016/j.freeradbiomed.2006.12.029).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jc w:val="both"/>
        <w:rPr>
          <w:lang w:val="en-US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jc w:val="both"/>
        <w:rPr>
          <w:b w:val="1"/>
          <w:bCs w:val="1"/>
          <w:sz w:val="24"/>
          <w:szCs w:val="24"/>
          <w:lang w:val="en-US"/>
        </w:rPr>
      </w:pPr>
      <w:r>
        <w:rPr>
          <w:rtl w:val="0"/>
          <w:lang w:val="it-IT"/>
        </w:rPr>
        <w:t xml:space="preserve">2. </w:t>
      </w:r>
      <w:r>
        <w:rPr>
          <w:b w:val="1"/>
          <w:bCs w:val="1"/>
          <w:sz w:val="24"/>
          <w:szCs w:val="24"/>
          <w:rtl w:val="0"/>
          <w:lang w:val="en-US"/>
        </w:rPr>
        <w:t>Endocan</w:t>
      </w:r>
    </w:p>
    <w:p>
      <w:pPr>
        <w:keepNext w:val="0"/>
        <w:keepLines w:val="0"/>
        <w:pageBreakBefore w:val="0"/>
        <w:widowControl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2" w:after="2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2" w:after="2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Endothelial cell specific molecule-1 (endocan) is a proteoglycan mainly expressed by lung endothelial cells, whose secretion in the bloodstream is upregulated by proinflammatory cytokines (IL-1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, TNF-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α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) and bacterial LPS.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jc w:val="both"/>
        <w:rPr>
          <w:lang w:val="en-US"/>
        </w:rPr>
      </w:pPr>
      <w:r>
        <w:rPr>
          <w:rtl w:val="0"/>
          <w:lang w:val="en-US"/>
        </w:rPr>
        <w:t>Endocan concentration can be used as predictor of sepsis severity and outcome (</w:t>
      </w:r>
      <w:r>
        <w:rPr>
          <w:rStyle w:val="Hyperlink.0"/>
          <w:lang w:val="en-US"/>
        </w:rPr>
        <w:fldChar w:fldCharType="begin" w:fldLock="0"/>
      </w:r>
      <w:r>
        <w:rPr>
          <w:rStyle w:val="Hyperlink.0"/>
          <w:lang w:val="en-US"/>
        </w:rPr>
        <w:instrText xml:space="preserve"> HYPERLINK "https://doi.org/10.1016/j.mvr.2014.04.004"</w:instrText>
      </w:r>
      <w:r>
        <w:rPr>
          <w:rStyle w:val="Hyperlink.0"/>
          <w:lang w:val="en-US"/>
        </w:rPr>
        <w:fldChar w:fldCharType="separate" w:fldLock="0"/>
      </w:r>
      <w:r>
        <w:rPr>
          <w:rStyle w:val="Hyperlink.0"/>
          <w:rtl w:val="0"/>
          <w:lang w:val="en-US"/>
        </w:rPr>
        <w:t>https://doi.org/10.1016/j.mvr.2014.04.004</w:t>
      </w:r>
      <w:r>
        <w:rPr>
          <w:lang w:val="en-US"/>
        </w:rPr>
        <w:fldChar w:fldCharType="end" w:fldLock="0"/>
      </w:r>
      <w:r>
        <w:rPr>
          <w:rStyle w:val="Nessuno"/>
          <w:outline w:val="0"/>
          <w:color w:val="0c7dbb"/>
          <w:u w:color="0c7dbb"/>
          <w:rtl w:val="0"/>
          <w:lang w:val="en-US"/>
          <w14:textFill>
            <w14:solidFill>
              <w14:srgbClr w14:val="0C7DBB"/>
            </w14:solidFill>
          </w14:textFill>
        </w:rPr>
        <w:t>)</w:t>
      </w:r>
      <w:r>
        <w:rPr>
          <w:rtl w:val="0"/>
          <w:lang w:val="en-US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2" w:after="2" w:line="360" w:lineRule="auto"/>
        <w:ind w:left="0" w:right="0" w:firstLine="0"/>
        <w:jc w:val="both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In this research, Endocan concentrations were quantified by a commercial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202020"/>
          <w:spacing w:val="0"/>
          <w:kern w:val="0"/>
          <w:position w:val="0"/>
          <w:sz w:val="24"/>
          <w:szCs w:val="24"/>
          <w:u w:val="none" w:color="202020"/>
          <w:shd w:val="clear" w:color="auto" w:fill="ffffff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202020"/>
            </w14:solidFill>
          </w14:textFill>
        </w:rPr>
        <w:t>solid-phase enzyme-linked immunosorbent assay (ELISA)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2" w:after="2" w:line="360" w:lineRule="auto"/>
        <w:ind w:left="0" w:right="0" w:firstLine="0"/>
        <w:jc w:val="both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Intestazione"/>
        <w:rPr>
          <w:rStyle w:val="Nessuno"/>
          <w:outline w:val="0"/>
          <w:color w:val="202020"/>
          <w:u w:color="202020"/>
          <w:shd w:val="clear" w:color="auto" w:fill="ffffff"/>
          <w14:textFill>
            <w14:solidFill>
              <w14:srgbClr w14:val="202020"/>
            </w14:solidFill>
          </w14:textFill>
        </w:rPr>
      </w:pPr>
      <w:r>
        <w:rPr>
          <w:rStyle w:val="Nessuno"/>
          <w:sz w:val="24"/>
          <w:szCs w:val="24"/>
          <w:rtl w:val="0"/>
          <w:lang w:val="it-IT"/>
        </w:rPr>
        <w:t xml:space="preserve">3. </w:t>
      </w:r>
      <w:r>
        <w:rPr>
          <w:rStyle w:val="Nessuno"/>
          <w:outline w:val="0"/>
          <w:color w:val="202020"/>
          <w:u w:color="202020"/>
          <w:shd w:val="clear" w:color="auto" w:fill="ffffff"/>
          <w:rtl w:val="0"/>
          <w14:textFill>
            <w14:solidFill>
              <w14:srgbClr w14:val="202020"/>
            </w14:solidFill>
          </w14:textFill>
        </w:rPr>
        <w:t xml:space="preserve">Pentraxin 3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jc w:val="both"/>
        <w:rPr>
          <w:outline w:val="0"/>
          <w:color w:val="202020"/>
          <w:u w:color="202020"/>
          <w:shd w:val="clear" w:color="auto" w:fill="ffffff"/>
          <w:lang w:val="en-US"/>
          <w14:textFill>
            <w14:solidFill>
              <w14:srgbClr w14:val="202020"/>
            </w14:solidFill>
          </w14:textFill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jc w:val="both"/>
        <w:rPr>
          <w:rStyle w:val="Nessuno"/>
          <w:outline w:val="0"/>
          <w:color w:val="202020"/>
          <w:u w:color="202020"/>
          <w:shd w:val="clear" w:color="auto" w:fill="ffffff"/>
          <w:lang w:val="en-US"/>
          <w14:textFill>
            <w14:solidFill>
              <w14:srgbClr w14:val="202020"/>
            </w14:solidFill>
          </w14:textFill>
        </w:rPr>
      </w:pPr>
      <w:r>
        <w:rPr>
          <w:rStyle w:val="Nessuno"/>
          <w:outline w:val="0"/>
          <w:color w:val="202020"/>
          <w:u w:color="202020"/>
          <w:shd w:val="clear" w:color="auto" w:fill="ffffff"/>
          <w:rtl w:val="0"/>
          <w:lang w:val="en-US"/>
          <w14:textFill>
            <w14:solidFill>
              <w14:srgbClr w14:val="202020"/>
            </w14:solidFill>
          </w14:textFill>
        </w:rPr>
        <w:t xml:space="preserve">PTX3 is an acute-phase protein. PTX3 plasma concentration increases rapidly in sepsis since it plays an important role in the early phase of inflammation, as it activates the classical pathway of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jc w:val="both"/>
        <w:rPr>
          <w:rStyle w:val="Nessuno"/>
          <w:outline w:val="0"/>
          <w:color w:val="202020"/>
          <w:u w:color="202020"/>
          <w:shd w:val="clear" w:color="auto" w:fill="ffffff"/>
          <w:lang w:val="en-US"/>
          <w14:textFill>
            <w14:solidFill>
              <w14:srgbClr w14:val="202020"/>
            </w14:solidFill>
          </w14:textFill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jc w:val="both"/>
        <w:rPr>
          <w:lang w:val="en-US"/>
        </w:rPr>
      </w:pPr>
      <w:r>
        <w:rPr>
          <w:rStyle w:val="Nessuno"/>
          <w:outline w:val="0"/>
          <w:color w:val="202020"/>
          <w:u w:color="202020"/>
          <w:shd w:val="clear" w:color="auto" w:fill="ffffff"/>
          <w:rtl w:val="0"/>
          <w:lang w:val="en-US"/>
          <w14:textFill>
            <w14:solidFill>
              <w14:srgbClr w14:val="202020"/>
            </w14:solidFill>
          </w14:textFill>
        </w:rPr>
        <w:t>complement and contributes to the opsonization and clearance of apoptotic or necrotic cells (</w:t>
      </w:r>
      <w:r>
        <w:rPr>
          <w:rStyle w:val="Hyperlink.1"/>
          <w:lang w:val="en-US"/>
        </w:rPr>
        <w:fldChar w:fldCharType="begin" w:fldLock="0"/>
      </w:r>
      <w:r>
        <w:rPr>
          <w:rStyle w:val="Hyperlink.1"/>
          <w:lang w:val="en-US"/>
        </w:rPr>
        <w:instrText xml:space="preserve"> HYPERLINK "https://doi.org/10.1371/journal.pone.0053661"</w:instrText>
      </w:r>
      <w:r>
        <w:rPr>
          <w:rStyle w:val="Hyperlink.1"/>
          <w:lang w:val="en-US"/>
        </w:rPr>
        <w:fldChar w:fldCharType="separate" w:fldLock="0"/>
      </w:r>
      <w:r>
        <w:rPr>
          <w:rStyle w:val="Hyperlink.1"/>
          <w:rtl w:val="0"/>
          <w:lang w:val="en-US"/>
        </w:rPr>
        <w:t>https://doi.org/10.1371/journal.pone.0053661</w:t>
      </w:r>
      <w:r>
        <w:rPr>
          <w:lang w:val="en-US"/>
        </w:rPr>
        <w:fldChar w:fldCharType="end" w:fldLock="0"/>
      </w:r>
      <w:r>
        <w:rPr>
          <w:rStyle w:val="Nessuno"/>
          <w:outline w:val="0"/>
          <w:color w:val="202020"/>
          <w:u w:color="202020"/>
          <w:shd w:val="clear" w:color="auto" w:fill="ffffff"/>
          <w:rtl w:val="0"/>
          <w:lang w:val="en-US"/>
          <w14:textFill>
            <w14:solidFill>
              <w14:srgbClr w14:val="202020"/>
            </w14:solidFill>
          </w14:textFill>
        </w:rPr>
        <w:t>.)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jc w:val="both"/>
        <w:rPr>
          <w:lang w:val="en-US"/>
        </w:rPr>
      </w:pPr>
      <w:r>
        <w:rPr>
          <w:rStyle w:val="Nessuno"/>
          <w:outline w:val="0"/>
          <w:color w:val="202020"/>
          <w:u w:color="202020"/>
          <w:shd w:val="clear" w:color="auto" w:fill="ffffff"/>
          <w:rtl w:val="0"/>
          <w:lang w:val="en-US"/>
          <w14:textFill>
            <w14:solidFill>
              <w14:srgbClr w14:val="202020"/>
            </w14:solidFill>
          </w14:textFill>
        </w:rPr>
        <w:t>The PTX3 concentration was determined using a commercial solid-phase enzyme-linked immunosorbent assay (ELISA)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jc w:val="both"/>
        <w:rPr>
          <w:lang w:val="en-US"/>
        </w:rPr>
      </w:pPr>
    </w:p>
    <w:p>
      <w:pPr>
        <w:pStyle w:val="Intestazione"/>
        <w:rPr>
          <w:rStyle w:val="Nessuno"/>
        </w:rPr>
      </w:pPr>
      <w:r>
        <w:rPr>
          <w:rtl w:val="0"/>
          <w:lang w:val="it-IT"/>
        </w:rPr>
        <w:t xml:space="preserve">4. </w:t>
      </w:r>
      <w:r>
        <w:rPr>
          <w:rStyle w:val="Nessuno"/>
          <w:rtl w:val="0"/>
        </w:rPr>
        <w:t>Presepsin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jc w:val="both"/>
        <w:rPr>
          <w:lang w:val="en-US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jc w:val="both"/>
        <w:rPr>
          <w:lang w:val="en-US"/>
        </w:rPr>
      </w:pPr>
      <w:r>
        <w:rPr>
          <w:rtl w:val="0"/>
          <w:lang w:val="en-US"/>
        </w:rPr>
        <w:t xml:space="preserve">Among the newest acquisition in the critical care armament, Presepsin </w:t>
      </w:r>
      <w:r>
        <w:rPr>
          <w:rtl w:val="0"/>
          <w:lang w:val="it-IT"/>
        </w:rPr>
        <w:t>(</w:t>
      </w:r>
      <w:r>
        <w:rPr>
          <w:rtl w:val="0"/>
          <w:lang w:val="en-US"/>
        </w:rPr>
        <w:t>Handke J, Piazza O, Larmann J, Tesoro S, De Robertis E. Presepsin as a biomarker in perioperative medicine. Minerva Anestesiol 2020;86:768-76. DOI: 10.23736/S0375-9393.20.14169-5</w:t>
      </w:r>
      <w:r>
        <w:rPr>
          <w:rtl w:val="0"/>
          <w:lang w:val="it-IT"/>
        </w:rPr>
        <w:t xml:space="preserve">) </w:t>
      </w:r>
      <w:r>
        <w:rPr>
          <w:rtl w:val="0"/>
          <w:lang w:val="en-US"/>
        </w:rPr>
        <w:t>is released by monocytes after the recognition of bacterial lipopolysaccharide or other surface bacterial ligands including gram-positive peptidoglycans. Several studies documented the role of Presepsin in the diagnosis of sepsis, where higher levels correlated with severity.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360" w:lineRule="auto"/>
        <w:jc w:val="both"/>
      </w:pPr>
      <w:r>
        <w:rPr>
          <w:rtl w:val="0"/>
          <w:lang w:val="en-US"/>
        </w:rPr>
        <w:t>Presepsin is derived from cleavage of CD14 (cluster-of-differentiation marker protein 14), a glycoprotein present on the membrane of monocytes, macrophages and polymorphic neutrophils</w:t>
      </w:r>
    </w:p>
    <w:sectPr>
      <w:headerReference w:type="default" r:id="rId4"/>
      <w:headerReference w:type="even" r:id="rId5"/>
      <w:headerReference w:type="first" r:id="rId6"/>
      <w:footerReference w:type="default" r:id="rId7"/>
      <w:footerReference w:type="even" r:id="rId8"/>
      <w:footerReference w:type="first" r:id="rId9"/>
      <w:pgSz w:w="12240" w:h="15840" w:orient="portrait"/>
      <w:pgMar w:top="1138" w:right="1181" w:bottom="1138" w:left="1282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"/>
    </w:pPr>
    <w:r/>
  </w:p>
</w:ftr>
</file>

<file path=word/footer3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5513705</wp:posOffset>
              </wp:positionH>
              <wp:positionV relativeFrom="page">
                <wp:posOffset>9372600</wp:posOffset>
              </wp:positionV>
              <wp:extent cx="1508761" cy="395605"/>
              <wp:effectExtent l="0" t="0" r="0" b="0"/>
              <wp:wrapNone/>
              <wp:docPr id="1073741825" name="officeArt object" descr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1" cy="39560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Corpo"/>
                            <w:jc w:val="right"/>
                          </w:pP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434.2pt;margin-top:738.0pt;width:118.8pt;height:31.1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Corpo"/>
                      <w:jc w:val="right"/>
                    </w:pP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1</w:t>
                    </w: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5513705</wp:posOffset>
              </wp:positionH>
              <wp:positionV relativeFrom="page">
                <wp:posOffset>9372600</wp:posOffset>
              </wp:positionV>
              <wp:extent cx="1508761" cy="395605"/>
              <wp:effectExtent l="0" t="0" r="0" b="0"/>
              <wp:wrapNone/>
              <wp:docPr id="1073741826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1" cy="39560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Corpo"/>
                            <w:jc w:val="right"/>
                          </w:pP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434.2pt;margin-top:738.0pt;width:118.8pt;height:31.1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Corpo"/>
                      <w:jc w:val="right"/>
                    </w:pP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1</w:t>
                    </w: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rtl w:val="0"/>
        <w:lang w:val="en-US"/>
      </w:rPr>
      <w:tab/>
      <w:tab/>
      <w:t>Supplementary Material</w:t>
    </w:r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"/>
    </w:pPr>
    <w:r>
      <w:rPr>
        <w:b w:val="1"/>
        <w:bCs w:val="1"/>
        <w:outline w:val="0"/>
        <w:color w:val="a6a6a6"/>
        <w:u w:color="a6a6a6"/>
        <w14:textFill>
          <w14:solidFill>
            <w14:srgbClr w14:val="A6A6A6"/>
          </w14:solidFill>
        </w14:textFill>
      </w:rPr>
      <w:drawing>
        <wp:inline distT="0" distB="0" distL="0" distR="0">
          <wp:extent cx="1382534" cy="497091"/>
          <wp:effectExtent l="0" t="0" r="0" b="0"/>
          <wp:docPr id="1073741827" name="officeArt object" descr="C:\Users\Elaine.Scott\Documents\LaTex\____TEST____Frontiers_LaTeX_Templates_V2.5\Frontiers LaTeX (Science, Health and Engineering) V2.5 - with Supplementary material (V1.2)\logo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C:\Users\Elaine.Scott\Documents\LaTex\____TEST____Frontiers_LaTeX_Templates_V2.5\Frontiers LaTeX (Science, Health and Engineering) V2.5 - with Supplementary material (V1.2)\logo1.jpg" descr="C:\Users\Elaine.Scott\Documents\LaTex\____TEST____Frontiers_LaTeX_Templates_V2.5\Frontiers LaTeX (Science, Health and Engineering) V2.5 - with Supplementary material (V1.2)\logo1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534" cy="49709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b w:val="1"/>
        <w:bCs w:val="1"/>
      </w:rPr>
      <w:tab/>
    </w:r>
    <w:r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Headings"/>
  </w:abstractNum>
  <w:abstractNum w:abstractNumId="1">
    <w:multiLevelType w:val="hybridMultilevel"/>
    <w:styleLink w:val="Headings"/>
    <w:lvl w:ilvl="0">
      <w:start w:val="1"/>
      <w:numFmt w:val="decimal"/>
      <w:suff w:val="tab"/>
      <w:lvlText w:val="%1."/>
      <w:lvlJc w:val="left"/>
      <w:pPr>
        <w:tabs>
          <w:tab w:val="clear" w:pos="567"/>
        </w:tabs>
        <w:ind w:left="567" w:hanging="56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clear" w:pos="567"/>
        </w:tabs>
        <w:ind w:left="567" w:hanging="56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tabs>
          <w:tab w:val="clear" w:pos="567"/>
        </w:tabs>
        <w:ind w:left="567" w:hanging="56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567" w:hanging="56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567" w:hanging="56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1.%2.%3.%4.%5.%6."/>
      <w:lvlJc w:val="left"/>
      <w:pPr>
        <w:ind w:left="687" w:hanging="68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567" w:hanging="56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1.%2.%3.%4.%5.%6.%7.%8."/>
      <w:lvlJc w:val="left"/>
      <w:pPr>
        <w:ind w:left="567" w:hanging="56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1.%2.%3.%4.%5.%6.%7.%8.%9."/>
      <w:lvlJc w:val="left"/>
      <w:pPr>
        <w:ind w:left="687" w:hanging="68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24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upplementary Material">
    <w:name w:val="Supplementary Material"/>
    <w:next w:val="Supplementary Materi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40" w:after="12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Intestazione">
    <w:name w:val="Intestazione"/>
    <w:next w:val="Corpo"/>
    <w:pPr>
      <w:keepNext w:val="0"/>
      <w:keepLines w:val="0"/>
      <w:pageBreakBefore w:val="0"/>
      <w:widowControl w:val="1"/>
      <w:shd w:val="clear" w:color="auto" w:fill="auto"/>
      <w:tabs>
        <w:tab w:val="left" w:pos="567"/>
      </w:tabs>
      <w:suppressAutoHyphens w:val="0"/>
      <w:bidi w:val="0"/>
      <w:spacing w:before="240" w:after="24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Headings">
    <w:name w:val="Headings"/>
    <w:pPr>
      <w:numPr>
        <w:numId w:val="1"/>
      </w:numPr>
    </w:p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Nessuno"/>
    <w:next w:val="Hyperlink.1"/>
    <w:rPr>
      <w:outline w:val="0"/>
      <w:color w:val="0000ff"/>
      <w:u w:val="single" w:color="0000ff"/>
      <w:shd w:val="clear" w:color="auto" w:fill="ffff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theme" Target="theme/theme1.xml"/></Relationships>
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