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BA6D" w14:textId="3F5DAB8C" w:rsidR="00B722B2" w:rsidRPr="00D81BA5" w:rsidRDefault="00B722B2" w:rsidP="00B722B2">
      <w:pPr>
        <w:pStyle w:val="AuthorList"/>
        <w:rPr>
          <w:bCs/>
          <w:sz w:val="32"/>
          <w:szCs w:val="32"/>
          <w:lang w:val="en-CA"/>
        </w:rPr>
      </w:pPr>
      <w:r w:rsidRPr="000A6963">
        <w:rPr>
          <w:sz w:val="16"/>
          <w:szCs w:val="16"/>
        </w:rPr>
        <w:softHyphen/>
      </w:r>
      <w:r>
        <w:rPr>
          <w:sz w:val="32"/>
          <w:szCs w:val="32"/>
        </w:rPr>
        <w:t>Supplementary Material</w:t>
      </w:r>
    </w:p>
    <w:p w14:paraId="26345CF8" w14:textId="0E63267B" w:rsidR="00B722B2" w:rsidRPr="000737EA" w:rsidRDefault="00B722B2" w:rsidP="00B722B2">
      <w:pPr>
        <w:jc w:val="both"/>
        <w:rPr>
          <w:rFonts w:cs="Times New Roman"/>
          <w:szCs w:val="24"/>
        </w:rPr>
      </w:pPr>
      <w:r w:rsidRPr="000737EA">
        <w:rPr>
          <w:rFonts w:cs="Times New Roman"/>
          <w:szCs w:val="24"/>
        </w:rPr>
        <w:t xml:space="preserve">Supplementary Table 1. Adversity Score: For </w:t>
      </w:r>
      <w:proofErr w:type="gramStart"/>
      <w:r w:rsidRPr="000737EA">
        <w:rPr>
          <w:rFonts w:cs="Times New Roman"/>
          <w:szCs w:val="24"/>
        </w:rPr>
        <w:t>each individual</w:t>
      </w:r>
      <w:proofErr w:type="gramEnd"/>
      <w:r w:rsidRPr="000737EA">
        <w:rPr>
          <w:rFonts w:cs="Times New Roman"/>
          <w:szCs w:val="24"/>
        </w:rPr>
        <w:t xml:space="preserve"> in the MAVAN cohort, a</w:t>
      </w:r>
      <w:r w:rsidR="009131E4">
        <w:rPr>
          <w:rFonts w:cs="Times New Roman"/>
          <w:szCs w:val="24"/>
        </w:rPr>
        <w:t xml:space="preserve">n </w:t>
      </w:r>
      <w:r w:rsidRPr="000737EA">
        <w:rPr>
          <w:rFonts w:cs="Times New Roman"/>
          <w:szCs w:val="24"/>
        </w:rPr>
        <w:t xml:space="preserve">adversity score is calculated. </w:t>
      </w:r>
      <w:r w:rsidRPr="000737EA">
        <w:rPr>
          <w:rFonts w:cs="Times New Roman"/>
          <w:szCs w:val="24"/>
          <w:bdr w:val="none" w:sz="0" w:space="0" w:color="auto" w:frame="1"/>
        </w:rPr>
        <w:t>Each item</w:t>
      </w:r>
      <w:r w:rsidR="00771579">
        <w:rPr>
          <w:rFonts w:cs="Times New Roman"/>
          <w:szCs w:val="24"/>
          <w:bdr w:val="none" w:sz="0" w:space="0" w:color="auto" w:frame="1"/>
        </w:rPr>
        <w:t>, except birth size</w:t>
      </w:r>
      <w:r w:rsidR="001E1EB4">
        <w:rPr>
          <w:rFonts w:cs="Times New Roman"/>
          <w:szCs w:val="24"/>
          <w:bdr w:val="none" w:sz="0" w:space="0" w:color="auto" w:frame="1"/>
        </w:rPr>
        <w:t>,</w:t>
      </w:r>
      <w:r w:rsidRPr="000737EA">
        <w:rPr>
          <w:rFonts w:cs="Times New Roman"/>
          <w:szCs w:val="24"/>
          <w:bdr w:val="none" w:sz="0" w:space="0" w:color="auto" w:frame="1"/>
        </w:rPr>
        <w:t xml:space="preserve"> was binarized using either 15</w:t>
      </w:r>
      <w:r w:rsidRPr="000737EA">
        <w:rPr>
          <w:rFonts w:cs="Times New Roman"/>
          <w:szCs w:val="24"/>
          <w:bdr w:val="none" w:sz="0" w:space="0" w:color="auto" w:frame="1"/>
          <w:vertAlign w:val="superscript"/>
        </w:rPr>
        <w:t>th</w:t>
      </w:r>
      <w:r w:rsidRPr="000737EA">
        <w:rPr>
          <w:rFonts w:cs="Times New Roman"/>
          <w:szCs w:val="24"/>
          <w:bdr w:val="none" w:sz="0" w:space="0" w:color="auto" w:frame="1"/>
        </w:rPr>
        <w:t> or 85</w:t>
      </w:r>
      <w:r w:rsidRPr="000737EA">
        <w:rPr>
          <w:rFonts w:cs="Times New Roman"/>
          <w:szCs w:val="24"/>
          <w:bdr w:val="none" w:sz="0" w:space="0" w:color="auto" w:frame="1"/>
          <w:vertAlign w:val="superscript"/>
        </w:rPr>
        <w:t>th</w:t>
      </w:r>
      <w:r w:rsidRPr="000737EA">
        <w:rPr>
          <w:rFonts w:cs="Times New Roman"/>
          <w:szCs w:val="24"/>
          <w:bdr w:val="none" w:sz="0" w:space="0" w:color="auto" w:frame="1"/>
        </w:rPr>
        <w:t> percentile as the cut-off. Depending on the scoring system of the item, values below 15</w:t>
      </w:r>
      <w:r w:rsidRPr="000737EA">
        <w:rPr>
          <w:rFonts w:cs="Times New Roman"/>
          <w:szCs w:val="24"/>
          <w:bdr w:val="none" w:sz="0" w:space="0" w:color="auto" w:frame="1"/>
          <w:vertAlign w:val="superscript"/>
        </w:rPr>
        <w:t>th</w:t>
      </w:r>
      <w:r w:rsidRPr="000737EA">
        <w:rPr>
          <w:rFonts w:cs="Times New Roman"/>
          <w:szCs w:val="24"/>
          <w:bdr w:val="none" w:sz="0" w:space="0" w:color="auto" w:frame="1"/>
        </w:rPr>
        <w:t> or values higher than 85</w:t>
      </w:r>
      <w:r w:rsidRPr="000737EA">
        <w:rPr>
          <w:rFonts w:cs="Times New Roman"/>
          <w:szCs w:val="24"/>
          <w:bdr w:val="none" w:sz="0" w:space="0" w:color="auto" w:frame="1"/>
          <w:vertAlign w:val="superscript"/>
        </w:rPr>
        <w:t>th</w:t>
      </w:r>
      <w:r w:rsidRPr="000737EA">
        <w:rPr>
          <w:rFonts w:cs="Times New Roman"/>
          <w:szCs w:val="24"/>
          <w:bdr w:val="none" w:sz="0" w:space="0" w:color="auto" w:frame="1"/>
        </w:rPr>
        <w:t> percentile were considered as adversity, other values were considered as no adversity. The only item that includes both below 1</w:t>
      </w:r>
      <w:r w:rsidR="001E1EB4">
        <w:rPr>
          <w:rFonts w:cs="Times New Roman"/>
          <w:szCs w:val="24"/>
          <w:bdr w:val="none" w:sz="0" w:space="0" w:color="auto" w:frame="1"/>
        </w:rPr>
        <w:t>0</w:t>
      </w:r>
      <w:r w:rsidRPr="000737EA">
        <w:rPr>
          <w:rFonts w:cs="Times New Roman"/>
          <w:szCs w:val="24"/>
          <w:bdr w:val="none" w:sz="0" w:space="0" w:color="auto" w:frame="1"/>
          <w:vertAlign w:val="superscript"/>
        </w:rPr>
        <w:t>th</w:t>
      </w:r>
      <w:r w:rsidRPr="000737EA">
        <w:rPr>
          <w:rFonts w:cs="Times New Roman"/>
          <w:szCs w:val="24"/>
          <w:bdr w:val="none" w:sz="0" w:space="0" w:color="auto" w:frame="1"/>
        </w:rPr>
        <w:t xml:space="preserve"> as well as above </w:t>
      </w:r>
      <w:r w:rsidR="001E1EB4">
        <w:rPr>
          <w:rFonts w:cs="Times New Roman"/>
          <w:szCs w:val="24"/>
          <w:bdr w:val="none" w:sz="0" w:space="0" w:color="auto" w:frame="1"/>
        </w:rPr>
        <w:t>90</w:t>
      </w:r>
      <w:r w:rsidRPr="000737EA">
        <w:rPr>
          <w:rFonts w:cs="Times New Roman"/>
          <w:szCs w:val="24"/>
          <w:bdr w:val="none" w:sz="0" w:space="0" w:color="auto" w:frame="1"/>
          <w:vertAlign w:val="superscript"/>
        </w:rPr>
        <w:t>th</w:t>
      </w:r>
      <w:r w:rsidRPr="000737EA">
        <w:rPr>
          <w:rFonts w:cs="Times New Roman"/>
          <w:szCs w:val="24"/>
          <w:bdr w:val="none" w:sz="0" w:space="0" w:color="auto" w:frame="1"/>
        </w:rPr>
        <w:t xml:space="preserve"> percentiles as adversity is birth </w:t>
      </w:r>
      <w:r w:rsidR="009131E4">
        <w:rPr>
          <w:rFonts w:cs="Times New Roman"/>
          <w:szCs w:val="24"/>
          <w:bdr w:val="none" w:sz="0" w:space="0" w:color="auto" w:frame="1"/>
        </w:rPr>
        <w:t>size</w:t>
      </w:r>
      <w:r w:rsidRPr="000737EA">
        <w:rPr>
          <w:rFonts w:cs="Times New Roman"/>
          <w:szCs w:val="24"/>
          <w:bdr w:val="none" w:sz="0" w:space="0" w:color="auto" w:frame="1"/>
        </w:rPr>
        <w:t xml:space="preserve"> (in other words, both low and high birth </w:t>
      </w:r>
      <w:r w:rsidR="009131E4">
        <w:rPr>
          <w:rFonts w:cs="Times New Roman"/>
          <w:szCs w:val="24"/>
          <w:bdr w:val="none" w:sz="0" w:space="0" w:color="auto" w:frame="1"/>
        </w:rPr>
        <w:t>size</w:t>
      </w:r>
      <w:r w:rsidRPr="000737EA">
        <w:rPr>
          <w:rFonts w:cs="Times New Roman"/>
          <w:szCs w:val="24"/>
          <w:bdr w:val="none" w:sz="0" w:space="0" w:color="auto" w:frame="1"/>
        </w:rPr>
        <w:t xml:space="preserve"> were considered adversity). </w:t>
      </w:r>
      <w:r w:rsidRPr="000737EA">
        <w:rPr>
          <w:rFonts w:cs="Times New Roman"/>
          <w:szCs w:val="24"/>
        </w:rPr>
        <w:t xml:space="preserve">Presence of each component yields one </w:t>
      </w:r>
      <w:proofErr w:type="gramStart"/>
      <w:r w:rsidRPr="000737EA">
        <w:rPr>
          <w:rFonts w:cs="Times New Roman"/>
          <w:szCs w:val="24"/>
        </w:rPr>
        <w:t>point</w:t>
      </w:r>
      <w:proofErr w:type="gramEnd"/>
      <w:r w:rsidRPr="000737EA">
        <w:rPr>
          <w:rFonts w:cs="Times New Roman"/>
          <w:szCs w:val="24"/>
        </w:rPr>
        <w:t xml:space="preserve"> and the final postnatal score represents the summation of the points where the higher the score, the more adversity has been experienced by the individual.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7"/>
      </w:tblGrid>
      <w:tr w:rsidR="00B722B2" w:rsidRPr="003A000A" w14:paraId="31C22D6C" w14:textId="77777777" w:rsidTr="008D40C1">
        <w:trPr>
          <w:trHeight w:val="20"/>
        </w:trPr>
        <w:tc>
          <w:tcPr>
            <w:tcW w:w="0" w:type="auto"/>
          </w:tcPr>
          <w:p w14:paraId="41DF6212" w14:textId="500D8C68" w:rsidR="00B722B2" w:rsidRPr="003A000A" w:rsidRDefault="00B722B2" w:rsidP="008D40C1">
            <w:pPr>
              <w:pStyle w:val="NoSpacing"/>
              <w:rPr>
                <w:b/>
                <w:bCs/>
              </w:rPr>
            </w:pPr>
            <w:r w:rsidRPr="003A000A">
              <w:rPr>
                <w:b/>
                <w:bCs/>
              </w:rPr>
              <w:t>Adversity Cumulative Score</w:t>
            </w:r>
          </w:p>
        </w:tc>
      </w:tr>
      <w:tr w:rsidR="00B722B2" w:rsidRPr="000737EA" w14:paraId="42D42DC2" w14:textId="77777777" w:rsidTr="008D40C1">
        <w:trPr>
          <w:trHeight w:val="20"/>
        </w:trPr>
        <w:tc>
          <w:tcPr>
            <w:tcW w:w="0" w:type="auto"/>
          </w:tcPr>
          <w:p w14:paraId="01555CC2" w14:textId="77777777" w:rsidR="00B722B2" w:rsidRPr="000737EA" w:rsidRDefault="00B722B2" w:rsidP="008D40C1">
            <w:pPr>
              <w:pStyle w:val="NoSpacing"/>
            </w:pPr>
            <w:r w:rsidRPr="000737EA">
              <w:t>Hospitalizations in the first 6 months of life</w:t>
            </w:r>
          </w:p>
        </w:tc>
      </w:tr>
      <w:tr w:rsidR="00B722B2" w:rsidRPr="000737EA" w14:paraId="60F5CB0A" w14:textId="77777777" w:rsidTr="008D40C1">
        <w:trPr>
          <w:trHeight w:val="20"/>
        </w:trPr>
        <w:tc>
          <w:tcPr>
            <w:tcW w:w="0" w:type="auto"/>
          </w:tcPr>
          <w:p w14:paraId="60EC368E" w14:textId="62CA63D9" w:rsidR="00B722B2" w:rsidRPr="000737EA" w:rsidRDefault="00B722B2" w:rsidP="008D40C1">
            <w:pPr>
              <w:pStyle w:val="NoSpacing"/>
            </w:pPr>
            <w:r w:rsidRPr="000737EA">
              <w:t xml:space="preserve">Birth </w:t>
            </w:r>
            <w:r w:rsidR="009131E4">
              <w:t>Size</w:t>
            </w:r>
          </w:p>
        </w:tc>
      </w:tr>
      <w:tr w:rsidR="00B722B2" w:rsidRPr="000737EA" w14:paraId="1D106F83" w14:textId="77777777" w:rsidTr="008D40C1">
        <w:trPr>
          <w:trHeight w:val="20"/>
        </w:trPr>
        <w:tc>
          <w:tcPr>
            <w:tcW w:w="0" w:type="auto"/>
          </w:tcPr>
          <w:p w14:paraId="507B1639" w14:textId="77777777" w:rsidR="00B722B2" w:rsidRPr="000737EA" w:rsidRDefault="00B722B2" w:rsidP="008D40C1">
            <w:pPr>
              <w:pStyle w:val="NoSpacing"/>
            </w:pPr>
            <w:r w:rsidRPr="000737EA">
              <w:t>Gestational age below or equal to 37 weeks</w:t>
            </w:r>
          </w:p>
        </w:tc>
      </w:tr>
      <w:tr w:rsidR="00B722B2" w:rsidRPr="000737EA" w14:paraId="087CD7E2" w14:textId="77777777" w:rsidTr="008D40C1">
        <w:trPr>
          <w:trHeight w:val="20"/>
        </w:trPr>
        <w:tc>
          <w:tcPr>
            <w:tcW w:w="0" w:type="auto"/>
          </w:tcPr>
          <w:p w14:paraId="1A92B029" w14:textId="77777777" w:rsidR="00B722B2" w:rsidRPr="000737EA" w:rsidRDefault="00B722B2" w:rsidP="008D40C1">
            <w:pPr>
              <w:pStyle w:val="NoSpacing"/>
            </w:pPr>
            <w:r w:rsidRPr="000737EA">
              <w:t>Maternal mental health (BDI, EPDS, STAI)</w:t>
            </w:r>
          </w:p>
        </w:tc>
      </w:tr>
      <w:tr w:rsidR="00B722B2" w:rsidRPr="000737EA" w14:paraId="248CA1D5" w14:textId="77777777" w:rsidTr="008D40C1">
        <w:trPr>
          <w:trHeight w:val="20"/>
        </w:trPr>
        <w:tc>
          <w:tcPr>
            <w:tcW w:w="0" w:type="auto"/>
          </w:tcPr>
          <w:p w14:paraId="3872BB6A" w14:textId="77777777" w:rsidR="00B722B2" w:rsidRPr="000737EA" w:rsidRDefault="00B722B2" w:rsidP="008D40C1">
            <w:pPr>
              <w:pStyle w:val="NoSpacing"/>
            </w:pPr>
            <w:r w:rsidRPr="000737EA">
              <w:t>Household total gross income</w:t>
            </w:r>
          </w:p>
        </w:tc>
      </w:tr>
      <w:tr w:rsidR="00B722B2" w:rsidRPr="000737EA" w14:paraId="424042A4" w14:textId="77777777" w:rsidTr="008D40C1">
        <w:trPr>
          <w:trHeight w:val="20"/>
        </w:trPr>
        <w:tc>
          <w:tcPr>
            <w:tcW w:w="0" w:type="auto"/>
          </w:tcPr>
          <w:p w14:paraId="4229376E" w14:textId="77777777" w:rsidR="00B722B2" w:rsidRPr="000737EA" w:rsidRDefault="00B722B2" w:rsidP="008D40C1">
            <w:pPr>
              <w:pStyle w:val="NoSpacing"/>
            </w:pPr>
            <w:r w:rsidRPr="000737EA">
              <w:t>Lack of money score</w:t>
            </w:r>
          </w:p>
        </w:tc>
      </w:tr>
      <w:tr w:rsidR="00B722B2" w:rsidRPr="000737EA" w14:paraId="35F2297F" w14:textId="77777777" w:rsidTr="008D40C1">
        <w:trPr>
          <w:trHeight w:val="20"/>
        </w:trPr>
        <w:tc>
          <w:tcPr>
            <w:tcW w:w="0" w:type="auto"/>
          </w:tcPr>
          <w:p w14:paraId="36495297" w14:textId="77777777" w:rsidR="00B722B2" w:rsidRPr="000737EA" w:rsidRDefault="00B722B2" w:rsidP="008D40C1">
            <w:pPr>
              <w:pStyle w:val="NoSpacing"/>
            </w:pPr>
            <w:r w:rsidRPr="000737EA">
              <w:t>Disorganized attachment</w:t>
            </w:r>
          </w:p>
        </w:tc>
      </w:tr>
      <w:tr w:rsidR="00B722B2" w:rsidRPr="000737EA" w14:paraId="6AB9C052" w14:textId="77777777" w:rsidTr="008D40C1">
        <w:trPr>
          <w:trHeight w:val="20"/>
        </w:trPr>
        <w:tc>
          <w:tcPr>
            <w:tcW w:w="0" w:type="auto"/>
          </w:tcPr>
          <w:p w14:paraId="262EC148" w14:textId="77777777" w:rsidR="00B722B2" w:rsidRPr="000737EA" w:rsidRDefault="00B722B2" w:rsidP="008D40C1">
            <w:pPr>
              <w:pStyle w:val="NoSpacing"/>
            </w:pPr>
            <w:r w:rsidRPr="000737EA">
              <w:t>Poor family function (FAD)</w:t>
            </w:r>
          </w:p>
        </w:tc>
      </w:tr>
      <w:tr w:rsidR="00B722B2" w:rsidRPr="000737EA" w14:paraId="5DF09F12" w14:textId="77777777" w:rsidTr="008D40C1">
        <w:trPr>
          <w:trHeight w:val="20"/>
        </w:trPr>
        <w:tc>
          <w:tcPr>
            <w:tcW w:w="0" w:type="auto"/>
          </w:tcPr>
          <w:p w14:paraId="7313E978" w14:textId="77777777" w:rsidR="00B722B2" w:rsidRPr="000737EA" w:rsidRDefault="00B722B2" w:rsidP="008D40C1">
            <w:pPr>
              <w:pStyle w:val="NoSpacing"/>
            </w:pPr>
            <w:r w:rsidRPr="000737EA">
              <w:t>Presence of domestic violence or sexual abuse</w:t>
            </w:r>
          </w:p>
        </w:tc>
      </w:tr>
      <w:tr w:rsidR="00B722B2" w:rsidRPr="000737EA" w14:paraId="4A59E58F" w14:textId="77777777" w:rsidTr="008D40C1">
        <w:trPr>
          <w:trHeight w:val="20"/>
        </w:trPr>
        <w:tc>
          <w:tcPr>
            <w:tcW w:w="0" w:type="auto"/>
          </w:tcPr>
          <w:p w14:paraId="731366C1" w14:textId="77777777" w:rsidR="00B722B2" w:rsidRPr="000737EA" w:rsidRDefault="00B722B2" w:rsidP="008D40C1">
            <w:pPr>
              <w:pStyle w:val="NoSpacing"/>
            </w:pPr>
            <w:r w:rsidRPr="000737EA">
              <w:t>Presence of marital strain</w:t>
            </w:r>
          </w:p>
        </w:tc>
      </w:tr>
      <w:tr w:rsidR="00B722B2" w:rsidRPr="000737EA" w14:paraId="298C0F80" w14:textId="77777777" w:rsidTr="008D40C1">
        <w:trPr>
          <w:trHeight w:val="20"/>
        </w:trPr>
        <w:tc>
          <w:tcPr>
            <w:tcW w:w="0" w:type="auto"/>
          </w:tcPr>
          <w:p w14:paraId="75C88B11" w14:textId="77777777" w:rsidR="00B722B2" w:rsidRPr="000737EA" w:rsidRDefault="00B722B2" w:rsidP="008D40C1">
            <w:pPr>
              <w:pStyle w:val="NoSpacing"/>
            </w:pPr>
            <w:r w:rsidRPr="000737EA">
              <w:t>Smoking during pregnancy</w:t>
            </w:r>
          </w:p>
        </w:tc>
      </w:tr>
      <w:tr w:rsidR="00B722B2" w:rsidRPr="000737EA" w14:paraId="6CB598C2" w14:textId="77777777" w:rsidTr="008D40C1">
        <w:trPr>
          <w:trHeight w:val="20"/>
        </w:trPr>
        <w:tc>
          <w:tcPr>
            <w:tcW w:w="0" w:type="auto"/>
          </w:tcPr>
          <w:p w14:paraId="7D3B72F2" w14:textId="77777777" w:rsidR="00B722B2" w:rsidRPr="000737EA" w:rsidRDefault="00B722B2" w:rsidP="008D40C1">
            <w:pPr>
              <w:pStyle w:val="NoSpacing"/>
            </w:pPr>
            <w:r w:rsidRPr="000737EA">
              <w:t>Pregnancy anxiety</w:t>
            </w:r>
          </w:p>
        </w:tc>
      </w:tr>
    </w:tbl>
    <w:p w14:paraId="478E1AFC" w14:textId="77777777" w:rsidR="00D800BF" w:rsidRDefault="00D800BF"/>
    <w:sectPr w:rsidR="00D800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BE2B" w14:textId="77777777" w:rsidR="00C17541" w:rsidRDefault="00C17541" w:rsidP="00B722B2">
      <w:pPr>
        <w:spacing w:before="0" w:after="0"/>
      </w:pPr>
      <w:r>
        <w:separator/>
      </w:r>
    </w:p>
  </w:endnote>
  <w:endnote w:type="continuationSeparator" w:id="0">
    <w:p w14:paraId="73AF68D3" w14:textId="77777777" w:rsidR="00C17541" w:rsidRDefault="00C17541" w:rsidP="00B722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01F6" w14:textId="77777777" w:rsidR="00C17541" w:rsidRDefault="00C17541" w:rsidP="00B722B2">
      <w:pPr>
        <w:spacing w:before="0" w:after="0"/>
      </w:pPr>
      <w:r>
        <w:separator/>
      </w:r>
    </w:p>
  </w:footnote>
  <w:footnote w:type="continuationSeparator" w:id="0">
    <w:p w14:paraId="77F18DA6" w14:textId="77777777" w:rsidR="00C17541" w:rsidRDefault="00C17541" w:rsidP="00B722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4B67" w14:textId="45408A43" w:rsidR="00B722B2" w:rsidRDefault="00B722B2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80501D5" wp14:editId="53242BE2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B2"/>
    <w:rsid w:val="000331B6"/>
    <w:rsid w:val="000711C1"/>
    <w:rsid w:val="00097E47"/>
    <w:rsid w:val="000D32D4"/>
    <w:rsid w:val="00123004"/>
    <w:rsid w:val="001C10B4"/>
    <w:rsid w:val="001E1EB4"/>
    <w:rsid w:val="00324347"/>
    <w:rsid w:val="00337E2E"/>
    <w:rsid w:val="00365EC2"/>
    <w:rsid w:val="0039202B"/>
    <w:rsid w:val="003A6154"/>
    <w:rsid w:val="003A6C7F"/>
    <w:rsid w:val="004021DD"/>
    <w:rsid w:val="004635AB"/>
    <w:rsid w:val="00474AE4"/>
    <w:rsid w:val="004B5517"/>
    <w:rsid w:val="004F6C36"/>
    <w:rsid w:val="006674CC"/>
    <w:rsid w:val="007344B9"/>
    <w:rsid w:val="00771579"/>
    <w:rsid w:val="00776776"/>
    <w:rsid w:val="0082048D"/>
    <w:rsid w:val="008455F2"/>
    <w:rsid w:val="008806AF"/>
    <w:rsid w:val="00882D4E"/>
    <w:rsid w:val="008B163C"/>
    <w:rsid w:val="009131E4"/>
    <w:rsid w:val="00997646"/>
    <w:rsid w:val="009A6E9A"/>
    <w:rsid w:val="00A2197B"/>
    <w:rsid w:val="00AE5282"/>
    <w:rsid w:val="00B722B2"/>
    <w:rsid w:val="00BB7A59"/>
    <w:rsid w:val="00BE6A38"/>
    <w:rsid w:val="00C063F9"/>
    <w:rsid w:val="00C17541"/>
    <w:rsid w:val="00C2150A"/>
    <w:rsid w:val="00CC414D"/>
    <w:rsid w:val="00CC600F"/>
    <w:rsid w:val="00D800BF"/>
    <w:rsid w:val="00D9369F"/>
    <w:rsid w:val="00DF45CD"/>
    <w:rsid w:val="00E468C5"/>
    <w:rsid w:val="00EA024C"/>
    <w:rsid w:val="00EB7209"/>
    <w:rsid w:val="00F81225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08DB3"/>
  <w15:chartTrackingRefBased/>
  <w15:docId w15:val="{31FDC67E-854A-CC4F-AF23-61E3F926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2B2"/>
    <w:pPr>
      <w:spacing w:before="120" w:after="240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2B2"/>
    <w:pPr>
      <w:tabs>
        <w:tab w:val="center" w:pos="4680"/>
        <w:tab w:val="right" w:pos="9360"/>
      </w:tabs>
      <w:spacing w:before="0" w:after="0"/>
    </w:pPr>
    <w:rPr>
      <w:rFonts w:asciiTheme="minorHAnsi" w:hAnsi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22B2"/>
  </w:style>
  <w:style w:type="paragraph" w:styleId="Footer">
    <w:name w:val="footer"/>
    <w:basedOn w:val="Normal"/>
    <w:link w:val="FooterChar"/>
    <w:uiPriority w:val="99"/>
    <w:unhideWhenUsed/>
    <w:rsid w:val="00B722B2"/>
    <w:pPr>
      <w:tabs>
        <w:tab w:val="center" w:pos="4680"/>
        <w:tab w:val="right" w:pos="9360"/>
      </w:tabs>
      <w:spacing w:before="0" w:after="0"/>
    </w:pPr>
    <w:rPr>
      <w:rFonts w:asciiTheme="minorHAnsi" w:hAnsi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722B2"/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B722B2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2B2"/>
    <w:pPr>
      <w:numPr>
        <w:ilvl w:val="1"/>
      </w:numPr>
      <w:spacing w:before="0"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722B2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uiPriority w:val="59"/>
    <w:rsid w:val="00B722B2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unhideWhenUsed/>
    <w:qFormat/>
    <w:rsid w:val="00B722B2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Aashita Batra</dc:creator>
  <cp:keywords/>
  <dc:description/>
  <cp:lastModifiedBy>Aashita Batra</cp:lastModifiedBy>
  <cp:revision>3</cp:revision>
  <dcterms:created xsi:type="dcterms:W3CDTF">2021-06-27T03:55:00Z</dcterms:created>
  <dcterms:modified xsi:type="dcterms:W3CDTF">2021-08-09T16:32:00Z</dcterms:modified>
</cp:coreProperties>
</file>