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CB77C" w14:textId="5CF9677F" w:rsidR="008C2FEE" w:rsidRDefault="00854C82" w:rsidP="00854C82">
      <w:pPr>
        <w:jc w:val="center"/>
        <w:rPr>
          <w:b/>
          <w:bCs/>
        </w:rPr>
      </w:pPr>
      <w:r w:rsidRPr="00854C82">
        <w:rPr>
          <w:b/>
          <w:bCs/>
        </w:rPr>
        <w:t>Supplementary materials</w:t>
      </w:r>
    </w:p>
    <w:p w14:paraId="67045B5C" w14:textId="50750B0A" w:rsidR="00854C82" w:rsidRDefault="00854C82" w:rsidP="00854C82">
      <w:pPr>
        <w:rPr>
          <w:b/>
          <w:bCs/>
        </w:rPr>
      </w:pPr>
      <w:r>
        <w:rPr>
          <w:b/>
          <w:bCs/>
        </w:rPr>
        <w:t>Control analysis on sleep disturbances</w:t>
      </w:r>
    </w:p>
    <w:p w14:paraId="1FF294C1" w14:textId="58BBA566" w:rsidR="00854C82" w:rsidRDefault="00854C82" w:rsidP="00854C82">
      <w:pPr>
        <w:rPr>
          <w:color w:val="000000"/>
          <w:lang w:eastAsia="it-IT"/>
        </w:rPr>
      </w:pPr>
      <w:r>
        <w:t xml:space="preserve">Considering that the </w:t>
      </w:r>
      <w:r w:rsidR="00BF342C">
        <w:t>narcoleptic patients type 1 (</w:t>
      </w:r>
      <w:r>
        <w:t>NT1</w:t>
      </w:r>
      <w:r w:rsidR="00BF342C">
        <w:t>)</w:t>
      </w:r>
      <w:r>
        <w:t xml:space="preserve"> were on pharmacological treatment, we performed a control analysis to check whether the pharmacotherapy could impact self-reported sleep disturbances among patients. Firstly, we divided the NT1 groups in patients treated with </w:t>
      </w:r>
      <w:r w:rsidRPr="00C74C06">
        <w:rPr>
          <w:color w:val="000000"/>
          <w:lang w:eastAsia="it-IT"/>
        </w:rPr>
        <w:t xml:space="preserve">Sodium </w:t>
      </w:r>
      <w:proofErr w:type="spellStart"/>
      <w:r w:rsidRPr="00C74C06">
        <w:rPr>
          <w:color w:val="000000"/>
          <w:lang w:eastAsia="it-IT"/>
        </w:rPr>
        <w:t>oxybate</w:t>
      </w:r>
      <w:proofErr w:type="spellEnd"/>
      <w:r>
        <w:rPr>
          <w:color w:val="000000"/>
          <w:lang w:eastAsia="it-IT"/>
        </w:rPr>
        <w:t xml:space="preserve"> (</w:t>
      </w:r>
      <w:r w:rsidR="008A3EB3">
        <w:rPr>
          <w:color w:val="000000"/>
          <w:lang w:eastAsia="it-IT"/>
        </w:rPr>
        <w:t>28</w:t>
      </w:r>
      <w:r>
        <w:rPr>
          <w:color w:val="000000"/>
          <w:lang w:eastAsia="it-IT"/>
        </w:rPr>
        <w:t xml:space="preserve"> subjects) and patients treated with other medications </w:t>
      </w:r>
      <w:r w:rsidR="008A3EB3">
        <w:rPr>
          <w:color w:val="000000"/>
          <w:lang w:eastAsia="it-IT"/>
        </w:rPr>
        <w:t>(15</w:t>
      </w:r>
      <w:r>
        <w:rPr>
          <w:color w:val="000000"/>
          <w:lang w:eastAsia="it-IT"/>
        </w:rPr>
        <w:t xml:space="preserve"> subjects). </w:t>
      </w:r>
    </w:p>
    <w:p w14:paraId="335DA780" w14:textId="01EFCAB8" w:rsidR="00854C82" w:rsidRDefault="005C5D97" w:rsidP="00854C82">
      <w:pPr>
        <w:rPr>
          <w:color w:val="000000"/>
          <w:lang w:eastAsia="it-IT"/>
        </w:rPr>
      </w:pPr>
      <w:r w:rsidRPr="005C5D97">
        <w:rPr>
          <w:color w:val="000000"/>
          <w:lang w:eastAsia="it-IT"/>
        </w:rPr>
        <w:t xml:space="preserve">The Mann-Whitney U tests were then used to compare differences concerning “sleep disturbances” (from MOS-SS) between each NT1 subgroup and their matched-control group. </w:t>
      </w:r>
      <w:r w:rsidR="008A3EB3">
        <w:rPr>
          <w:color w:val="000000"/>
          <w:lang w:eastAsia="it-IT"/>
        </w:rPr>
        <w:t xml:space="preserve">The following tables </w:t>
      </w:r>
      <w:r w:rsidR="00113549">
        <w:rPr>
          <w:color w:val="000000"/>
          <w:lang w:eastAsia="it-IT"/>
        </w:rPr>
        <w:t xml:space="preserve">S1 and S2 </w:t>
      </w:r>
      <w:r w:rsidR="008A3EB3">
        <w:rPr>
          <w:color w:val="000000"/>
          <w:lang w:eastAsia="it-IT"/>
        </w:rPr>
        <w:t>summarize the results (</w:t>
      </w:r>
      <w:r w:rsidR="008A3EB3" w:rsidRPr="000B11D3">
        <w:rPr>
          <w:i/>
          <w:iCs/>
          <w:color w:val="000000"/>
          <w:lang w:eastAsia="it-IT"/>
        </w:rPr>
        <w:t>controls vs. NT1 subgroup</w:t>
      </w:r>
      <w:r w:rsidR="008A3EB3">
        <w:rPr>
          <w:color w:val="000000"/>
          <w:lang w:eastAsia="it-IT"/>
        </w:rPr>
        <w:t>).</w:t>
      </w:r>
    </w:p>
    <w:p w14:paraId="21BB1585" w14:textId="77BB8315" w:rsidR="00854C82" w:rsidRDefault="00854C82" w:rsidP="00854C82">
      <w:pPr>
        <w:rPr>
          <w:color w:val="000000"/>
          <w:lang w:eastAsia="it-IT"/>
        </w:rPr>
      </w:pPr>
    </w:p>
    <w:p w14:paraId="6FA0B4F6" w14:textId="0C74855B" w:rsidR="00113549" w:rsidRPr="00113549" w:rsidRDefault="00113549" w:rsidP="00854C82">
      <w:pPr>
        <w:rPr>
          <w:b/>
          <w:bCs/>
          <w:color w:val="000000"/>
          <w:lang w:eastAsia="it-IT"/>
        </w:rPr>
      </w:pPr>
      <w:r w:rsidRPr="00113549">
        <w:rPr>
          <w:b/>
          <w:bCs/>
          <w:color w:val="000000"/>
          <w:lang w:eastAsia="it-IT"/>
        </w:rPr>
        <w:t>Table S1. Controls vs. NT1 subgroup (other medication)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0"/>
        <w:gridCol w:w="1796"/>
        <w:gridCol w:w="1709"/>
        <w:gridCol w:w="1703"/>
        <w:gridCol w:w="1669"/>
      </w:tblGrid>
      <w:tr w:rsidR="008A3EB3" w:rsidRPr="008A3EB3" w14:paraId="13D4E658" w14:textId="391A1F04" w:rsidTr="008A3EB3">
        <w:trPr>
          <w:trHeight w:val="550"/>
        </w:trPr>
        <w:tc>
          <w:tcPr>
            <w:tcW w:w="1880" w:type="dxa"/>
          </w:tcPr>
          <w:p w14:paraId="181BFF96" w14:textId="77777777" w:rsidR="008A3EB3" w:rsidRPr="008A3EB3" w:rsidRDefault="008A3EB3" w:rsidP="008A3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6" w:type="dxa"/>
          </w:tcPr>
          <w:p w14:paraId="0528D910" w14:textId="32D597F1" w:rsidR="008A3EB3" w:rsidRPr="008A3EB3" w:rsidRDefault="008A3EB3" w:rsidP="008A3EB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A3EB3">
              <w:rPr>
                <w:b/>
                <w:bCs/>
                <w:i/>
                <w:iCs/>
                <w:color w:val="000000"/>
                <w:sz w:val="20"/>
                <w:szCs w:val="20"/>
              </w:rPr>
              <w:t>Mean Rank</w:t>
            </w:r>
          </w:p>
        </w:tc>
        <w:tc>
          <w:tcPr>
            <w:tcW w:w="1709" w:type="dxa"/>
          </w:tcPr>
          <w:p w14:paraId="0B1BFDCD" w14:textId="044DD18A" w:rsidR="008A3EB3" w:rsidRPr="008A3EB3" w:rsidRDefault="008A3EB3" w:rsidP="008A3EB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A3EB3">
              <w:rPr>
                <w:b/>
                <w:bCs/>
                <w:i/>
                <w:iCs/>
                <w:color w:val="000000"/>
                <w:sz w:val="20"/>
                <w:szCs w:val="20"/>
              </w:rPr>
              <w:t>U</w:t>
            </w:r>
          </w:p>
        </w:tc>
        <w:tc>
          <w:tcPr>
            <w:tcW w:w="1703" w:type="dxa"/>
          </w:tcPr>
          <w:p w14:paraId="4BE463C9" w14:textId="2BDD21B1" w:rsidR="008A3EB3" w:rsidRPr="008A3EB3" w:rsidRDefault="008A3EB3" w:rsidP="008A3EB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A3EB3">
              <w:rPr>
                <w:b/>
                <w:bCs/>
                <w:i/>
                <w:iCs/>
                <w:color w:val="000000"/>
                <w:sz w:val="20"/>
                <w:szCs w:val="20"/>
              </w:rPr>
              <w:t>Z</w:t>
            </w:r>
          </w:p>
        </w:tc>
        <w:tc>
          <w:tcPr>
            <w:tcW w:w="1669" w:type="dxa"/>
          </w:tcPr>
          <w:p w14:paraId="3A24B7F1" w14:textId="33A471C2" w:rsidR="008A3EB3" w:rsidRPr="008A3EB3" w:rsidRDefault="008A3EB3" w:rsidP="008A3EB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A3EB3">
              <w:rPr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</w:tr>
      <w:tr w:rsidR="008A3EB3" w:rsidRPr="008A3EB3" w14:paraId="3BA0E611" w14:textId="2DB16A13" w:rsidTr="008A3EB3">
        <w:trPr>
          <w:trHeight w:val="1202"/>
        </w:trPr>
        <w:tc>
          <w:tcPr>
            <w:tcW w:w="1880" w:type="dxa"/>
          </w:tcPr>
          <w:p w14:paraId="68643AEC" w14:textId="0E5A4C24" w:rsidR="00113549" w:rsidRPr="008A3EB3" w:rsidRDefault="00113549" w:rsidP="001135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3EB3">
              <w:rPr>
                <w:b/>
                <w:bCs/>
                <w:color w:val="000000"/>
                <w:sz w:val="20"/>
                <w:szCs w:val="20"/>
              </w:rPr>
              <w:t>Matched</w:t>
            </w:r>
            <w:r w:rsidR="0065588F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8A3EB3">
              <w:rPr>
                <w:b/>
                <w:bCs/>
                <w:color w:val="000000"/>
                <w:sz w:val="20"/>
                <w:szCs w:val="20"/>
              </w:rPr>
              <w:t>control group</w:t>
            </w:r>
          </w:p>
          <w:p w14:paraId="41517846" w14:textId="715079C6" w:rsidR="008A3EB3" w:rsidRPr="008A3EB3" w:rsidRDefault="00113549" w:rsidP="00227B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3EB3">
              <w:rPr>
                <w:b/>
                <w:bCs/>
                <w:color w:val="000000"/>
                <w:sz w:val="20"/>
                <w:szCs w:val="20"/>
              </w:rPr>
              <w:t>N=</w:t>
            </w: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96" w:type="dxa"/>
          </w:tcPr>
          <w:p w14:paraId="6D7FE5C0" w14:textId="2ED41951" w:rsidR="008A3EB3" w:rsidRPr="008A3EB3" w:rsidRDefault="00113549" w:rsidP="008A3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24.58</w:t>
            </w:r>
          </w:p>
        </w:tc>
        <w:tc>
          <w:tcPr>
            <w:tcW w:w="1709" w:type="dxa"/>
            <w:vMerge w:val="restart"/>
          </w:tcPr>
          <w:p w14:paraId="5E9DEC29" w14:textId="4A0FFA8F" w:rsidR="008A3EB3" w:rsidRPr="008A3EB3" w:rsidRDefault="001E7814" w:rsidP="008A3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177.5</w:t>
            </w:r>
          </w:p>
        </w:tc>
        <w:tc>
          <w:tcPr>
            <w:tcW w:w="1703" w:type="dxa"/>
            <w:vMerge w:val="restart"/>
          </w:tcPr>
          <w:p w14:paraId="6B79D302" w14:textId="67E35504" w:rsidR="008A3EB3" w:rsidRPr="008A3EB3" w:rsidRDefault="001E7814" w:rsidP="008A3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-1.147</w:t>
            </w:r>
          </w:p>
        </w:tc>
        <w:tc>
          <w:tcPr>
            <w:tcW w:w="1669" w:type="dxa"/>
            <w:vMerge w:val="restart"/>
          </w:tcPr>
          <w:p w14:paraId="0A3F265C" w14:textId="66D3E55C" w:rsidR="008A3EB3" w:rsidRPr="008A3EB3" w:rsidRDefault="001E7814" w:rsidP="008A3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0.251</w:t>
            </w:r>
          </w:p>
        </w:tc>
      </w:tr>
      <w:tr w:rsidR="008A3EB3" w:rsidRPr="008A3EB3" w14:paraId="39A2C555" w14:textId="33AF4787" w:rsidTr="008A3EB3">
        <w:trPr>
          <w:trHeight w:val="1202"/>
        </w:trPr>
        <w:tc>
          <w:tcPr>
            <w:tcW w:w="1880" w:type="dxa"/>
          </w:tcPr>
          <w:p w14:paraId="0BD9DFBE" w14:textId="4DD52E90" w:rsidR="00113549" w:rsidRPr="008A3EB3" w:rsidRDefault="00113549" w:rsidP="001135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3EB3">
              <w:rPr>
                <w:b/>
                <w:bCs/>
                <w:color w:val="000000"/>
                <w:sz w:val="20"/>
                <w:szCs w:val="20"/>
              </w:rPr>
              <w:t>NT1 – other medication group</w:t>
            </w:r>
          </w:p>
          <w:p w14:paraId="26A6FB36" w14:textId="40692DDA" w:rsidR="008A3EB3" w:rsidRPr="008A3EB3" w:rsidRDefault="00113549" w:rsidP="001135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3EB3">
              <w:rPr>
                <w:b/>
                <w:bCs/>
                <w:color w:val="000000"/>
                <w:sz w:val="20"/>
                <w:szCs w:val="20"/>
              </w:rPr>
              <w:t>N=15</w:t>
            </w:r>
          </w:p>
        </w:tc>
        <w:tc>
          <w:tcPr>
            <w:tcW w:w="1796" w:type="dxa"/>
          </w:tcPr>
          <w:p w14:paraId="6F0002B5" w14:textId="19DC0574" w:rsidR="008A3EB3" w:rsidRPr="008A3EB3" w:rsidRDefault="00113549" w:rsidP="008A3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19.83</w:t>
            </w:r>
          </w:p>
        </w:tc>
        <w:tc>
          <w:tcPr>
            <w:tcW w:w="1709" w:type="dxa"/>
            <w:vMerge/>
          </w:tcPr>
          <w:p w14:paraId="6E74CD84" w14:textId="77777777" w:rsidR="008A3EB3" w:rsidRPr="008A3EB3" w:rsidRDefault="008A3EB3" w:rsidP="008A3E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11FD3339" w14:textId="77777777" w:rsidR="008A3EB3" w:rsidRPr="008A3EB3" w:rsidRDefault="008A3EB3" w:rsidP="008A3E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14:paraId="6657D10B" w14:textId="77777777" w:rsidR="008A3EB3" w:rsidRPr="008A3EB3" w:rsidRDefault="008A3EB3" w:rsidP="008A3E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7C0A9263" w14:textId="2A44D7C2" w:rsidR="00854C82" w:rsidRDefault="00854C82" w:rsidP="008A3EB3">
      <w:pPr>
        <w:jc w:val="center"/>
        <w:rPr>
          <w:color w:val="000000"/>
          <w:sz w:val="20"/>
          <w:szCs w:val="20"/>
        </w:rPr>
      </w:pPr>
    </w:p>
    <w:p w14:paraId="597626F1" w14:textId="15F7AB1A" w:rsidR="00113549" w:rsidRPr="00113549" w:rsidRDefault="00113549" w:rsidP="00113549">
      <w:pPr>
        <w:rPr>
          <w:b/>
          <w:bCs/>
          <w:color w:val="000000"/>
          <w:lang w:eastAsia="it-IT"/>
        </w:rPr>
      </w:pPr>
      <w:r w:rsidRPr="00113549">
        <w:rPr>
          <w:b/>
          <w:bCs/>
          <w:color w:val="000000"/>
          <w:lang w:eastAsia="it-IT"/>
        </w:rPr>
        <w:t>Table S</w:t>
      </w:r>
      <w:r>
        <w:rPr>
          <w:b/>
          <w:bCs/>
          <w:color w:val="000000"/>
          <w:lang w:eastAsia="it-IT"/>
        </w:rPr>
        <w:t>2</w:t>
      </w:r>
      <w:r w:rsidRPr="00113549">
        <w:rPr>
          <w:b/>
          <w:bCs/>
          <w:color w:val="000000"/>
          <w:lang w:eastAsia="it-IT"/>
        </w:rPr>
        <w:t>. Controls vs. NT1 subgroup (</w:t>
      </w:r>
      <w:r>
        <w:rPr>
          <w:b/>
          <w:bCs/>
          <w:color w:val="000000"/>
          <w:lang w:eastAsia="it-IT"/>
        </w:rPr>
        <w:t xml:space="preserve">sodium </w:t>
      </w:r>
      <w:proofErr w:type="spellStart"/>
      <w:r>
        <w:rPr>
          <w:b/>
          <w:bCs/>
          <w:color w:val="000000"/>
          <w:lang w:eastAsia="it-IT"/>
        </w:rPr>
        <w:t>oxybate</w:t>
      </w:r>
      <w:proofErr w:type="spellEnd"/>
      <w:r w:rsidRPr="00113549">
        <w:rPr>
          <w:b/>
          <w:bCs/>
          <w:color w:val="000000"/>
          <w:lang w:eastAsia="it-IT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9"/>
        <w:gridCol w:w="1804"/>
        <w:gridCol w:w="1707"/>
        <w:gridCol w:w="1701"/>
        <w:gridCol w:w="1666"/>
      </w:tblGrid>
      <w:tr w:rsidR="008A3EB3" w:rsidRPr="008A3EB3" w14:paraId="7A677939" w14:textId="4B3A389A" w:rsidTr="008A3EB3">
        <w:trPr>
          <w:trHeight w:val="346"/>
        </w:trPr>
        <w:tc>
          <w:tcPr>
            <w:tcW w:w="1939" w:type="dxa"/>
          </w:tcPr>
          <w:p w14:paraId="2E6B0C4F" w14:textId="77777777" w:rsidR="008A3EB3" w:rsidRPr="008A3EB3" w:rsidRDefault="008A3EB3" w:rsidP="008A3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</w:tcPr>
          <w:p w14:paraId="5BC3FA67" w14:textId="7AD9A12B" w:rsidR="008A3EB3" w:rsidRPr="008A3EB3" w:rsidRDefault="008A3EB3" w:rsidP="008A3EB3">
            <w:pPr>
              <w:jc w:val="center"/>
              <w:rPr>
                <w:color w:val="000000"/>
                <w:sz w:val="20"/>
                <w:szCs w:val="20"/>
              </w:rPr>
            </w:pPr>
            <w:r w:rsidRPr="008A3EB3">
              <w:rPr>
                <w:b/>
                <w:bCs/>
                <w:i/>
                <w:iCs/>
                <w:color w:val="000000"/>
                <w:sz w:val="20"/>
                <w:szCs w:val="20"/>
              </w:rPr>
              <w:t>Mean Rank</w:t>
            </w:r>
          </w:p>
        </w:tc>
        <w:tc>
          <w:tcPr>
            <w:tcW w:w="1707" w:type="dxa"/>
          </w:tcPr>
          <w:p w14:paraId="086A3B1B" w14:textId="0A08D55A" w:rsidR="008A3EB3" w:rsidRPr="008A3EB3" w:rsidRDefault="008A3EB3" w:rsidP="008A3EB3">
            <w:pPr>
              <w:jc w:val="center"/>
              <w:rPr>
                <w:color w:val="000000"/>
                <w:sz w:val="20"/>
                <w:szCs w:val="20"/>
              </w:rPr>
            </w:pPr>
            <w:r w:rsidRPr="008A3EB3">
              <w:rPr>
                <w:b/>
                <w:bCs/>
                <w:i/>
                <w:iCs/>
                <w:color w:val="000000"/>
                <w:sz w:val="20"/>
                <w:szCs w:val="20"/>
              </w:rPr>
              <w:t>U</w:t>
            </w:r>
          </w:p>
        </w:tc>
        <w:tc>
          <w:tcPr>
            <w:tcW w:w="1701" w:type="dxa"/>
          </w:tcPr>
          <w:p w14:paraId="6E6A2DAF" w14:textId="0FED9260" w:rsidR="008A3EB3" w:rsidRPr="008A3EB3" w:rsidRDefault="008A3EB3" w:rsidP="008A3EB3">
            <w:pPr>
              <w:jc w:val="center"/>
              <w:rPr>
                <w:color w:val="000000"/>
                <w:sz w:val="20"/>
                <w:szCs w:val="20"/>
              </w:rPr>
            </w:pPr>
            <w:r w:rsidRPr="008A3EB3">
              <w:rPr>
                <w:b/>
                <w:bCs/>
                <w:i/>
                <w:iCs/>
                <w:color w:val="000000"/>
                <w:sz w:val="20"/>
                <w:szCs w:val="20"/>
              </w:rPr>
              <w:t>Z</w:t>
            </w:r>
          </w:p>
        </w:tc>
        <w:tc>
          <w:tcPr>
            <w:tcW w:w="1666" w:type="dxa"/>
          </w:tcPr>
          <w:p w14:paraId="139A4197" w14:textId="7C609037" w:rsidR="008A3EB3" w:rsidRPr="008A3EB3" w:rsidRDefault="008A3EB3" w:rsidP="008A3EB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A3EB3">
              <w:rPr>
                <w:b/>
                <w:bCs/>
                <w:i/>
                <w:iCs/>
                <w:color w:val="000000"/>
                <w:sz w:val="20"/>
                <w:szCs w:val="20"/>
              </w:rPr>
              <w:t>p</w:t>
            </w:r>
          </w:p>
        </w:tc>
      </w:tr>
      <w:tr w:rsidR="008A3EB3" w:rsidRPr="008A3EB3" w14:paraId="5F6FD9A3" w14:textId="1FD308F0" w:rsidTr="008A3EB3">
        <w:trPr>
          <w:trHeight w:val="777"/>
        </w:trPr>
        <w:tc>
          <w:tcPr>
            <w:tcW w:w="1939" w:type="dxa"/>
          </w:tcPr>
          <w:p w14:paraId="484C855E" w14:textId="655070CE" w:rsidR="00113549" w:rsidRPr="008A3EB3" w:rsidRDefault="00113549" w:rsidP="001135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3EB3">
              <w:rPr>
                <w:b/>
                <w:bCs/>
                <w:color w:val="000000"/>
                <w:sz w:val="20"/>
                <w:szCs w:val="20"/>
              </w:rPr>
              <w:t>Matched</w:t>
            </w:r>
            <w:r w:rsidR="0065588F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8A3EB3">
              <w:rPr>
                <w:b/>
                <w:bCs/>
                <w:color w:val="000000"/>
                <w:sz w:val="20"/>
                <w:szCs w:val="20"/>
              </w:rPr>
              <w:t>control group</w:t>
            </w:r>
          </w:p>
          <w:p w14:paraId="6133508B" w14:textId="6917ADA7" w:rsidR="008A3EB3" w:rsidRPr="008A3EB3" w:rsidRDefault="00113549" w:rsidP="00227B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3EB3">
              <w:rPr>
                <w:b/>
                <w:bCs/>
                <w:color w:val="000000"/>
                <w:sz w:val="20"/>
                <w:szCs w:val="20"/>
              </w:rPr>
              <w:t>N=56</w:t>
            </w:r>
          </w:p>
        </w:tc>
        <w:tc>
          <w:tcPr>
            <w:tcW w:w="1804" w:type="dxa"/>
          </w:tcPr>
          <w:p w14:paraId="08A5D857" w14:textId="48FA745D" w:rsidR="008A3EB3" w:rsidRPr="008A3EB3" w:rsidRDefault="00113549" w:rsidP="008A3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48.80</w:t>
            </w:r>
          </w:p>
        </w:tc>
        <w:tc>
          <w:tcPr>
            <w:tcW w:w="1707" w:type="dxa"/>
            <w:vMerge w:val="restart"/>
          </w:tcPr>
          <w:p w14:paraId="5D692E09" w14:textId="52A66314" w:rsidR="008A3EB3" w:rsidRPr="008A3EB3" w:rsidRDefault="008A3EB3" w:rsidP="008A3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1701" w:type="dxa"/>
            <w:vMerge w:val="restart"/>
          </w:tcPr>
          <w:p w14:paraId="27180476" w14:textId="60470935" w:rsidR="008A3EB3" w:rsidRPr="008A3EB3" w:rsidRDefault="008A3EB3" w:rsidP="008A3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-3.368</w:t>
            </w:r>
          </w:p>
        </w:tc>
        <w:tc>
          <w:tcPr>
            <w:tcW w:w="1666" w:type="dxa"/>
            <w:vMerge w:val="restart"/>
          </w:tcPr>
          <w:p w14:paraId="7E0A92CF" w14:textId="30499E23" w:rsidR="008A3EB3" w:rsidRPr="008A3EB3" w:rsidRDefault="008A3EB3" w:rsidP="008A3E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3EB3">
              <w:rPr>
                <w:b/>
                <w:bCs/>
                <w:color w:val="000000"/>
                <w:sz w:val="20"/>
                <w:szCs w:val="20"/>
              </w:rPr>
              <w:t>0.001</w:t>
            </w:r>
          </w:p>
        </w:tc>
      </w:tr>
      <w:tr w:rsidR="008A3EB3" w:rsidRPr="008A3EB3" w14:paraId="7F325D81" w14:textId="76AF152B" w:rsidTr="008A3EB3">
        <w:trPr>
          <w:trHeight w:val="58"/>
        </w:trPr>
        <w:tc>
          <w:tcPr>
            <w:tcW w:w="1939" w:type="dxa"/>
          </w:tcPr>
          <w:p w14:paraId="28A8AE26" w14:textId="77777777" w:rsidR="00113549" w:rsidRPr="008A3EB3" w:rsidRDefault="00113549" w:rsidP="001135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3EB3">
              <w:rPr>
                <w:b/>
                <w:bCs/>
                <w:color w:val="000000"/>
                <w:sz w:val="20"/>
                <w:szCs w:val="20"/>
              </w:rPr>
              <w:t xml:space="preserve">NT1 –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sodium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oxybate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A3EB3">
              <w:rPr>
                <w:b/>
                <w:bCs/>
                <w:color w:val="000000"/>
                <w:sz w:val="20"/>
                <w:szCs w:val="20"/>
              </w:rPr>
              <w:t>group</w:t>
            </w:r>
          </w:p>
          <w:p w14:paraId="6DA50327" w14:textId="6A2DAE3C" w:rsidR="008A3EB3" w:rsidRPr="008A3EB3" w:rsidRDefault="00113549" w:rsidP="001135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3EB3">
              <w:rPr>
                <w:b/>
                <w:bCs/>
                <w:color w:val="000000"/>
                <w:sz w:val="20"/>
                <w:szCs w:val="20"/>
              </w:rPr>
              <w:t>N=28</w:t>
            </w:r>
          </w:p>
        </w:tc>
        <w:tc>
          <w:tcPr>
            <w:tcW w:w="1804" w:type="dxa"/>
          </w:tcPr>
          <w:p w14:paraId="6E76F43D" w14:textId="4B4EFF88" w:rsidR="008A3EB3" w:rsidRPr="008A3EB3" w:rsidRDefault="00113549" w:rsidP="008A3E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29.89</w:t>
            </w:r>
          </w:p>
        </w:tc>
        <w:tc>
          <w:tcPr>
            <w:tcW w:w="1707" w:type="dxa"/>
            <w:vMerge/>
          </w:tcPr>
          <w:p w14:paraId="6484B8C7" w14:textId="77777777" w:rsidR="008A3EB3" w:rsidRPr="008A3EB3" w:rsidRDefault="008A3EB3" w:rsidP="008A3E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2B1846E" w14:textId="77777777" w:rsidR="008A3EB3" w:rsidRPr="008A3EB3" w:rsidRDefault="008A3EB3" w:rsidP="008A3E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14:paraId="35CC0A22" w14:textId="77777777" w:rsidR="008A3EB3" w:rsidRPr="008A3EB3" w:rsidRDefault="008A3EB3" w:rsidP="008A3EB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268DAF99" w14:textId="77777777" w:rsidR="008A3EB3" w:rsidRDefault="008A3EB3" w:rsidP="00854C82">
      <w:pPr>
        <w:rPr>
          <w:color w:val="000000"/>
        </w:rPr>
      </w:pPr>
    </w:p>
    <w:p w14:paraId="7AB143A5" w14:textId="0DE9F1BE" w:rsidR="00854C82" w:rsidRDefault="001165DE" w:rsidP="00854C82">
      <w:r>
        <w:lastRenderedPageBreak/>
        <w:t xml:space="preserve">This supplementary analysis showed that sleep disturbances between controls and NT1 subjects are maintained only when patients were treated with Sodium </w:t>
      </w:r>
      <w:proofErr w:type="spellStart"/>
      <w:r>
        <w:t>oxybate</w:t>
      </w:r>
      <w:proofErr w:type="spellEnd"/>
      <w:r>
        <w:t xml:space="preserve"> (p=0.001), a pharmacological treatment promoting sleep continuity and deep sleep (</w:t>
      </w:r>
      <w:proofErr w:type="spellStart"/>
      <w:r>
        <w:t>Franceschini</w:t>
      </w:r>
      <w:proofErr w:type="spellEnd"/>
      <w:r>
        <w:t xml:space="preserve"> et al., 2020). Conversely, the difference on sleep disturbances disappears comparing controls with NT1 patients treated with other type of medications (p=0.251).</w:t>
      </w:r>
    </w:p>
    <w:p w14:paraId="62EBBC6B" w14:textId="3FE70070" w:rsidR="001165DE" w:rsidRPr="000B11D3" w:rsidRDefault="001165DE" w:rsidP="00854C82">
      <w:pPr>
        <w:rPr>
          <w:b/>
          <w:bCs/>
          <w:lang w:val="it-IT"/>
        </w:rPr>
      </w:pPr>
      <w:r w:rsidRPr="000B11D3">
        <w:rPr>
          <w:b/>
          <w:bCs/>
          <w:lang w:val="it-IT"/>
        </w:rPr>
        <w:t>References</w:t>
      </w:r>
    </w:p>
    <w:p w14:paraId="2A64E1DC" w14:textId="039CC53C" w:rsidR="001165DE" w:rsidRPr="00854C82" w:rsidRDefault="001165DE" w:rsidP="00854C82">
      <w:r w:rsidRPr="001165DE">
        <w:rPr>
          <w:lang w:val="it-IT"/>
        </w:rPr>
        <w:t>Franceschini, C., Pizza, F., Antelmi, E. et al.</w:t>
      </w:r>
      <w:r>
        <w:rPr>
          <w:lang w:val="it-IT"/>
        </w:rPr>
        <w:t xml:space="preserve"> </w:t>
      </w:r>
      <w:r w:rsidRPr="001165DE">
        <w:t>Narcolepsy treatment: pharmacological and behavioral strategies in adults and children.</w:t>
      </w:r>
      <w:r>
        <w:t xml:space="preserve"> </w:t>
      </w:r>
      <w:r w:rsidRPr="001165DE">
        <w:t>Sleep Breath</w:t>
      </w:r>
      <w:r>
        <w:t xml:space="preserve"> </w:t>
      </w:r>
      <w:r w:rsidRPr="001165DE">
        <w:t>24,</w:t>
      </w:r>
      <w:r>
        <w:t xml:space="preserve"> </w:t>
      </w:r>
      <w:r w:rsidRPr="001165DE">
        <w:t>615–627 (2020). https://doi.org/10.1007/s11325-019-01894-4</w:t>
      </w:r>
    </w:p>
    <w:sectPr w:rsidR="001165DE" w:rsidRPr="00854C82" w:rsidSect="00956E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45755" w14:textId="77777777" w:rsidR="00513CE3" w:rsidRDefault="00513CE3" w:rsidP="00117666">
      <w:pPr>
        <w:spacing w:after="0"/>
      </w:pPr>
      <w:r>
        <w:separator/>
      </w:r>
    </w:p>
  </w:endnote>
  <w:endnote w:type="continuationSeparator" w:id="0">
    <w:p w14:paraId="4CDDBA5E" w14:textId="77777777" w:rsidR="00513CE3" w:rsidRDefault="00513CE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Yu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D07A" w14:textId="77777777" w:rsidR="0079564D" w:rsidRPr="00577C4C" w:rsidRDefault="0079564D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  <w:lang w:val="it-IT" w:eastAsia="it-IT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01097BD" wp14:editId="6799E614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05" cy="504190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05" cy="504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940733" w14:textId="755FE9FE" w:rsidR="0079564D" w:rsidRPr="00E9561B" w:rsidRDefault="0079564D">
                          <w:pPr>
                            <w:rPr>
                              <w:color w:val="C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1097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39.7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" stroked="f">
              <v:textbox style="mso-fit-shape-to-text:t">
                <w:txbxContent>
                  <w:p w14:paraId="5C940733" w14:textId="755FE9FE" w:rsidR="0079564D" w:rsidRPr="00E9561B" w:rsidRDefault="0079564D">
                    <w:pPr>
                      <w:rPr>
                        <w:color w:val="C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61C84DB" wp14:editId="5F217523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3464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346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259C225" w14:textId="77777777" w:rsidR="0079564D" w:rsidRPr="00577C4C" w:rsidRDefault="0079564D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196D2C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6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1C84DB" id="Text Box 1" o:spid="_x0000_s1027" type="#_x0000_t202" style="position:absolute;margin-left:67.6pt;margin-top:0;width:118.8pt;height:26.3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" filled="f" stroked="f" strokeweight=".5pt">
              <v:textbox style="mso-fit-shape-to-text:t">
                <w:txbxContent>
                  <w:p w14:paraId="3259C225" w14:textId="77777777" w:rsidR="0079564D" w:rsidRPr="00577C4C" w:rsidRDefault="0079564D">
                    <w:pPr>
                      <w:pStyle w:val="Pidipagina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196D2C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6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FEB3A" w14:textId="77777777" w:rsidR="0079564D" w:rsidRPr="00577C4C" w:rsidRDefault="0079564D">
    <w:pPr>
      <w:pStyle w:val="Footer"/>
      <w:rPr>
        <w:b/>
        <w:sz w:val="20"/>
        <w:szCs w:val="24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197A6AB" wp14:editId="51E1B7A0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3464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346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3D13D5A" w14:textId="77777777" w:rsidR="0079564D" w:rsidRPr="00577C4C" w:rsidRDefault="0079564D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196D2C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7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7A6AB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26.3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" filled="f" stroked="f" strokeweight=".5pt">
              <v:textbox style="mso-fit-shape-to-text:t">
                <w:txbxContent>
                  <w:p w14:paraId="33D13D5A" w14:textId="77777777" w:rsidR="0079564D" w:rsidRPr="00577C4C" w:rsidRDefault="0079564D">
                    <w:pPr>
                      <w:pStyle w:val="Pidipagina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196D2C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7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B44BB" w14:textId="77777777" w:rsidR="00513CE3" w:rsidRDefault="00513CE3" w:rsidP="00117666">
      <w:pPr>
        <w:spacing w:after="0"/>
      </w:pPr>
      <w:r>
        <w:separator/>
      </w:r>
    </w:p>
  </w:footnote>
  <w:footnote w:type="continuationSeparator" w:id="0">
    <w:p w14:paraId="367F1D90" w14:textId="77777777" w:rsidR="00513CE3" w:rsidRDefault="00513CE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D643E" w14:textId="77777777" w:rsidR="0079564D" w:rsidRPr="007E3148" w:rsidRDefault="0079564D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>
      <w:t>Dreaming in narcolepsy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CCEA6" w14:textId="77777777" w:rsidR="0079564D" w:rsidRPr="00D25F87" w:rsidRDefault="0079564D" w:rsidP="0052393A">
    <w:pPr>
      <w:pStyle w:val="Header"/>
      <w:jc w:val="right"/>
    </w:pPr>
    <w:r>
      <w:t>Dreaming in narcolepsy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16FDB" w14:textId="77777777" w:rsidR="0079564D" w:rsidRDefault="0079564D" w:rsidP="00A53000">
    <w:pPr>
      <w:pStyle w:val="Header"/>
    </w:pPr>
    <w:r w:rsidRPr="005A1D84">
      <w:rPr>
        <w:noProof/>
        <w:color w:val="A6A6A6" w:themeColor="background1" w:themeShade="A6"/>
        <w:lang w:val="it-IT" w:eastAsia="it-IT"/>
      </w:rPr>
      <w:drawing>
        <wp:inline distT="0" distB="0" distL="0" distR="0" wp14:anchorId="5B4E563B" wp14:editId="674EFEDB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multilevel"/>
    <w:tmpl w:val="6EC4E44C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27646090"/>
    <w:multiLevelType w:val="hybridMultilevel"/>
    <w:tmpl w:val="60061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A25A0"/>
    <w:multiLevelType w:val="hybridMultilevel"/>
    <w:tmpl w:val="71542898"/>
    <w:lvl w:ilvl="0" w:tplc="DA3843A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02A7CAC"/>
    <w:multiLevelType w:val="multilevel"/>
    <w:tmpl w:val="C6A8CCEA"/>
    <w:numStyleLink w:val="Headings"/>
  </w:abstractNum>
  <w:abstractNum w:abstractNumId="8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927ED"/>
    <w:multiLevelType w:val="multilevel"/>
    <w:tmpl w:val="B1D838B2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lang w:val="it-I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63F49"/>
    <w:multiLevelType w:val="hybridMultilevel"/>
    <w:tmpl w:val="293E9812"/>
    <w:lvl w:ilvl="0" w:tplc="463E1E50">
      <w:start w:val="1"/>
      <w:numFmt w:val="decimal"/>
      <w:lvlText w:val="%1."/>
      <w:lvlJc w:val="left"/>
      <w:pPr>
        <w:ind w:left="1080" w:hanging="360"/>
      </w:pPr>
      <w:rPr>
        <w:rFonts w:ascii="TimesNewRomanPSMT" w:eastAsia="TimesNewRomanPSMT" w:hAnsi="Times New Roman" w:cs="TimesNewRomanPSMT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C6F29"/>
    <w:multiLevelType w:val="multilevel"/>
    <w:tmpl w:val="C6A8CCEA"/>
    <w:numStyleLink w:val="Headings"/>
  </w:abstractNum>
  <w:abstractNum w:abstractNumId="21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1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21"/>
  </w:num>
  <w:num w:numId="13">
    <w:abstractNumId w:val="15"/>
  </w:num>
  <w:num w:numId="14">
    <w:abstractNumId w:val="4"/>
  </w:num>
  <w:num w:numId="15">
    <w:abstractNumId w:val="13"/>
  </w:num>
  <w:num w:numId="16">
    <w:abstractNumId w:val="18"/>
  </w:num>
  <w:num w:numId="17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0"/>
  </w:num>
  <w:num w:numId="21">
    <w:abstractNumId w:val="3"/>
  </w:num>
  <w:num w:numId="22">
    <w:abstractNumId w:val="3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17"/>
  </w:num>
  <w:num w:numId="24">
    <w:abstractNumId w:val="14"/>
  </w:num>
  <w:num w:numId="25">
    <w:abstractNumId w:val="3"/>
    <w:lvlOverride w:ilvl="0">
      <w:startOverride w:val="2"/>
      <w:lvl w:ilvl="0">
        <w:start w:val="2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startOverride w:val="2"/>
      <w:lvl w:ilvl="1">
        <w:start w:val="2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6">
    <w:abstractNumId w:val="6"/>
  </w:num>
  <w:num w:numId="27">
    <w:abstractNumId w:val="3"/>
    <w:lvlOverride w:ilvl="0">
      <w:lvl w:ilvl="0">
        <w:start w:val="3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3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21"/>
    <w:rsid w:val="0002236F"/>
    <w:rsid w:val="00030BCC"/>
    <w:rsid w:val="00032AB1"/>
    <w:rsid w:val="00034304"/>
    <w:rsid w:val="00035434"/>
    <w:rsid w:val="00045678"/>
    <w:rsid w:val="000458E4"/>
    <w:rsid w:val="00063D84"/>
    <w:rsid w:val="000643D9"/>
    <w:rsid w:val="0006636D"/>
    <w:rsid w:val="00077D53"/>
    <w:rsid w:val="00081394"/>
    <w:rsid w:val="00092097"/>
    <w:rsid w:val="00093172"/>
    <w:rsid w:val="00093B7A"/>
    <w:rsid w:val="00097921"/>
    <w:rsid w:val="000A2848"/>
    <w:rsid w:val="000B11D3"/>
    <w:rsid w:val="000B2CB2"/>
    <w:rsid w:val="000B34BD"/>
    <w:rsid w:val="000C0D31"/>
    <w:rsid w:val="000C1658"/>
    <w:rsid w:val="000C1C6D"/>
    <w:rsid w:val="000C5AC8"/>
    <w:rsid w:val="000C7E2A"/>
    <w:rsid w:val="000E0F66"/>
    <w:rsid w:val="000E5BE4"/>
    <w:rsid w:val="000F0570"/>
    <w:rsid w:val="000F22E3"/>
    <w:rsid w:val="000F4CFB"/>
    <w:rsid w:val="001074CA"/>
    <w:rsid w:val="00113549"/>
    <w:rsid w:val="00114D85"/>
    <w:rsid w:val="00116179"/>
    <w:rsid w:val="001165DE"/>
    <w:rsid w:val="00117666"/>
    <w:rsid w:val="001223A7"/>
    <w:rsid w:val="00126FFF"/>
    <w:rsid w:val="00134256"/>
    <w:rsid w:val="00137218"/>
    <w:rsid w:val="00141C1C"/>
    <w:rsid w:val="00145124"/>
    <w:rsid w:val="00147395"/>
    <w:rsid w:val="001552C9"/>
    <w:rsid w:val="00167873"/>
    <w:rsid w:val="00170C43"/>
    <w:rsid w:val="00174DF5"/>
    <w:rsid w:val="00176CAF"/>
    <w:rsid w:val="00177D84"/>
    <w:rsid w:val="00180213"/>
    <w:rsid w:val="00190591"/>
    <w:rsid w:val="001964EF"/>
    <w:rsid w:val="00196651"/>
    <w:rsid w:val="00196D2C"/>
    <w:rsid w:val="001B1A2C"/>
    <w:rsid w:val="001B4D9B"/>
    <w:rsid w:val="001B54AA"/>
    <w:rsid w:val="001C776E"/>
    <w:rsid w:val="001D4C42"/>
    <w:rsid w:val="001D5C23"/>
    <w:rsid w:val="001D741E"/>
    <w:rsid w:val="001E362F"/>
    <w:rsid w:val="001E7814"/>
    <w:rsid w:val="001E7A30"/>
    <w:rsid w:val="001F0AB4"/>
    <w:rsid w:val="001F373D"/>
    <w:rsid w:val="001F3D54"/>
    <w:rsid w:val="001F4C07"/>
    <w:rsid w:val="001F5187"/>
    <w:rsid w:val="00203DE5"/>
    <w:rsid w:val="00205C12"/>
    <w:rsid w:val="002155EA"/>
    <w:rsid w:val="0021636B"/>
    <w:rsid w:val="00220AEA"/>
    <w:rsid w:val="00222AED"/>
    <w:rsid w:val="00226954"/>
    <w:rsid w:val="00227B24"/>
    <w:rsid w:val="00227D60"/>
    <w:rsid w:val="00243BC2"/>
    <w:rsid w:val="00244365"/>
    <w:rsid w:val="002533D2"/>
    <w:rsid w:val="002629A3"/>
    <w:rsid w:val="002635CA"/>
    <w:rsid w:val="00265020"/>
    <w:rsid w:val="00265660"/>
    <w:rsid w:val="002660BD"/>
    <w:rsid w:val="00267D18"/>
    <w:rsid w:val="0027004F"/>
    <w:rsid w:val="002757C3"/>
    <w:rsid w:val="00281670"/>
    <w:rsid w:val="00283E21"/>
    <w:rsid w:val="002868E2"/>
    <w:rsid w:val="002869C3"/>
    <w:rsid w:val="00292000"/>
    <w:rsid w:val="00292DAE"/>
    <w:rsid w:val="002936E4"/>
    <w:rsid w:val="00295DE1"/>
    <w:rsid w:val="00296B88"/>
    <w:rsid w:val="002A01F8"/>
    <w:rsid w:val="002A04B0"/>
    <w:rsid w:val="002A3F4F"/>
    <w:rsid w:val="002A4F9C"/>
    <w:rsid w:val="002A53B9"/>
    <w:rsid w:val="002B18F7"/>
    <w:rsid w:val="002B4C57"/>
    <w:rsid w:val="002B69D3"/>
    <w:rsid w:val="002C0DA7"/>
    <w:rsid w:val="002C74CA"/>
    <w:rsid w:val="002D58E9"/>
    <w:rsid w:val="002D6428"/>
    <w:rsid w:val="002D7AEC"/>
    <w:rsid w:val="002E60FE"/>
    <w:rsid w:val="002F3ED6"/>
    <w:rsid w:val="002F744D"/>
    <w:rsid w:val="00300627"/>
    <w:rsid w:val="00303400"/>
    <w:rsid w:val="00303DE6"/>
    <w:rsid w:val="00310124"/>
    <w:rsid w:val="00310A32"/>
    <w:rsid w:val="0031786E"/>
    <w:rsid w:val="00350370"/>
    <w:rsid w:val="00351CED"/>
    <w:rsid w:val="003544FB"/>
    <w:rsid w:val="0036376E"/>
    <w:rsid w:val="00365D63"/>
    <w:rsid w:val="0036793B"/>
    <w:rsid w:val="00372682"/>
    <w:rsid w:val="00376CC5"/>
    <w:rsid w:val="003820EB"/>
    <w:rsid w:val="0039693B"/>
    <w:rsid w:val="003971D8"/>
    <w:rsid w:val="003B1791"/>
    <w:rsid w:val="003B2D5D"/>
    <w:rsid w:val="003B5551"/>
    <w:rsid w:val="003D2F2D"/>
    <w:rsid w:val="003E70EF"/>
    <w:rsid w:val="003F1D16"/>
    <w:rsid w:val="003F458B"/>
    <w:rsid w:val="00401590"/>
    <w:rsid w:val="004021F2"/>
    <w:rsid w:val="00403013"/>
    <w:rsid w:val="0040411A"/>
    <w:rsid w:val="00405CA8"/>
    <w:rsid w:val="004112BD"/>
    <w:rsid w:val="00422C94"/>
    <w:rsid w:val="00423D95"/>
    <w:rsid w:val="00423EE3"/>
    <w:rsid w:val="00440D32"/>
    <w:rsid w:val="00453D3D"/>
    <w:rsid w:val="00463E3D"/>
    <w:rsid w:val="004645AE"/>
    <w:rsid w:val="00494326"/>
    <w:rsid w:val="004B770B"/>
    <w:rsid w:val="004B78ED"/>
    <w:rsid w:val="004D03C5"/>
    <w:rsid w:val="004D3E33"/>
    <w:rsid w:val="004E215C"/>
    <w:rsid w:val="004E2CB9"/>
    <w:rsid w:val="004E5A12"/>
    <w:rsid w:val="004E5A7C"/>
    <w:rsid w:val="004E5F7B"/>
    <w:rsid w:val="004E7F70"/>
    <w:rsid w:val="00501C80"/>
    <w:rsid w:val="00513CE3"/>
    <w:rsid w:val="0051400B"/>
    <w:rsid w:val="0051449F"/>
    <w:rsid w:val="00516F2D"/>
    <w:rsid w:val="0052393A"/>
    <w:rsid w:val="00524306"/>
    <w:rsid w:val="005250F2"/>
    <w:rsid w:val="00527F55"/>
    <w:rsid w:val="005367F3"/>
    <w:rsid w:val="00536E40"/>
    <w:rsid w:val="00537293"/>
    <w:rsid w:val="00540967"/>
    <w:rsid w:val="00540E73"/>
    <w:rsid w:val="005410EA"/>
    <w:rsid w:val="005448FB"/>
    <w:rsid w:val="005710A5"/>
    <w:rsid w:val="00575CCD"/>
    <w:rsid w:val="00576BCA"/>
    <w:rsid w:val="005828C9"/>
    <w:rsid w:val="005834F2"/>
    <w:rsid w:val="00583D99"/>
    <w:rsid w:val="005868A6"/>
    <w:rsid w:val="00596A13"/>
    <w:rsid w:val="00597EBE"/>
    <w:rsid w:val="005A1D84"/>
    <w:rsid w:val="005A70EA"/>
    <w:rsid w:val="005C3963"/>
    <w:rsid w:val="005C5D97"/>
    <w:rsid w:val="005C6812"/>
    <w:rsid w:val="005D1840"/>
    <w:rsid w:val="005D35E4"/>
    <w:rsid w:val="005D4AC8"/>
    <w:rsid w:val="005D6AE3"/>
    <w:rsid w:val="005D7910"/>
    <w:rsid w:val="005E5A81"/>
    <w:rsid w:val="005F1566"/>
    <w:rsid w:val="005F16D1"/>
    <w:rsid w:val="00602B4D"/>
    <w:rsid w:val="0062154F"/>
    <w:rsid w:val="00631A8C"/>
    <w:rsid w:val="00646B03"/>
    <w:rsid w:val="00651CA2"/>
    <w:rsid w:val="006538F7"/>
    <w:rsid w:val="00653D60"/>
    <w:rsid w:val="0065588F"/>
    <w:rsid w:val="00656410"/>
    <w:rsid w:val="00656F6F"/>
    <w:rsid w:val="00660D05"/>
    <w:rsid w:val="00671A8B"/>
    <w:rsid w:val="00671D9A"/>
    <w:rsid w:val="00673952"/>
    <w:rsid w:val="00675154"/>
    <w:rsid w:val="00681821"/>
    <w:rsid w:val="006825D3"/>
    <w:rsid w:val="00686C9D"/>
    <w:rsid w:val="00691DCA"/>
    <w:rsid w:val="006A2C0E"/>
    <w:rsid w:val="006B2D5B"/>
    <w:rsid w:val="006B7D14"/>
    <w:rsid w:val="006D2869"/>
    <w:rsid w:val="006D5B93"/>
    <w:rsid w:val="006E2E88"/>
    <w:rsid w:val="006F3BCE"/>
    <w:rsid w:val="00700562"/>
    <w:rsid w:val="00701E61"/>
    <w:rsid w:val="00713E16"/>
    <w:rsid w:val="007207B6"/>
    <w:rsid w:val="00725A7D"/>
    <w:rsid w:val="0073085C"/>
    <w:rsid w:val="00730CAF"/>
    <w:rsid w:val="00733784"/>
    <w:rsid w:val="00735F96"/>
    <w:rsid w:val="00743E6D"/>
    <w:rsid w:val="0074597C"/>
    <w:rsid w:val="00746505"/>
    <w:rsid w:val="00750645"/>
    <w:rsid w:val="007512C2"/>
    <w:rsid w:val="00766BAB"/>
    <w:rsid w:val="007704AA"/>
    <w:rsid w:val="007813AC"/>
    <w:rsid w:val="00783609"/>
    <w:rsid w:val="00783FD9"/>
    <w:rsid w:val="00790BB3"/>
    <w:rsid w:val="00792043"/>
    <w:rsid w:val="0079341D"/>
    <w:rsid w:val="007949AB"/>
    <w:rsid w:val="0079564D"/>
    <w:rsid w:val="00797EDD"/>
    <w:rsid w:val="007B0322"/>
    <w:rsid w:val="007B0964"/>
    <w:rsid w:val="007B37C8"/>
    <w:rsid w:val="007C0E3F"/>
    <w:rsid w:val="007C206C"/>
    <w:rsid w:val="007C5729"/>
    <w:rsid w:val="0080250F"/>
    <w:rsid w:val="008072C7"/>
    <w:rsid w:val="008111E4"/>
    <w:rsid w:val="0081301C"/>
    <w:rsid w:val="00817DD6"/>
    <w:rsid w:val="008211EA"/>
    <w:rsid w:val="00824FF8"/>
    <w:rsid w:val="00854C82"/>
    <w:rsid w:val="00860B64"/>
    <w:rsid w:val="00860F78"/>
    <w:rsid w:val="00861DBF"/>
    <w:rsid w:val="008629A9"/>
    <w:rsid w:val="0086440E"/>
    <w:rsid w:val="00865125"/>
    <w:rsid w:val="00872C79"/>
    <w:rsid w:val="00876755"/>
    <w:rsid w:val="008768A4"/>
    <w:rsid w:val="00884A1D"/>
    <w:rsid w:val="0088513A"/>
    <w:rsid w:val="0089371F"/>
    <w:rsid w:val="00893C19"/>
    <w:rsid w:val="008A3EB3"/>
    <w:rsid w:val="008C2FEE"/>
    <w:rsid w:val="008C3A14"/>
    <w:rsid w:val="008C3E92"/>
    <w:rsid w:val="008D4187"/>
    <w:rsid w:val="008D6C8D"/>
    <w:rsid w:val="008E2B54"/>
    <w:rsid w:val="008E4404"/>
    <w:rsid w:val="008E58C7"/>
    <w:rsid w:val="008F5021"/>
    <w:rsid w:val="008F6463"/>
    <w:rsid w:val="00902CCB"/>
    <w:rsid w:val="00905AF6"/>
    <w:rsid w:val="00905FD0"/>
    <w:rsid w:val="0091234B"/>
    <w:rsid w:val="0092051A"/>
    <w:rsid w:val="00924123"/>
    <w:rsid w:val="00933732"/>
    <w:rsid w:val="00942B89"/>
    <w:rsid w:val="00943573"/>
    <w:rsid w:val="00944201"/>
    <w:rsid w:val="009469F8"/>
    <w:rsid w:val="00947751"/>
    <w:rsid w:val="00954729"/>
    <w:rsid w:val="00956E36"/>
    <w:rsid w:val="00971B61"/>
    <w:rsid w:val="00980C31"/>
    <w:rsid w:val="00981FC0"/>
    <w:rsid w:val="0098602F"/>
    <w:rsid w:val="00990545"/>
    <w:rsid w:val="009955FF"/>
    <w:rsid w:val="009A255A"/>
    <w:rsid w:val="009A7928"/>
    <w:rsid w:val="009D259D"/>
    <w:rsid w:val="009E762C"/>
    <w:rsid w:val="009F793A"/>
    <w:rsid w:val="00A07C50"/>
    <w:rsid w:val="00A20FEA"/>
    <w:rsid w:val="00A301A8"/>
    <w:rsid w:val="00A33B84"/>
    <w:rsid w:val="00A36EBD"/>
    <w:rsid w:val="00A435D1"/>
    <w:rsid w:val="00A46CDB"/>
    <w:rsid w:val="00A507B0"/>
    <w:rsid w:val="00A50D9D"/>
    <w:rsid w:val="00A53000"/>
    <w:rsid w:val="00A545C6"/>
    <w:rsid w:val="00A5639C"/>
    <w:rsid w:val="00A652D0"/>
    <w:rsid w:val="00A67FB3"/>
    <w:rsid w:val="00A75F87"/>
    <w:rsid w:val="00A76466"/>
    <w:rsid w:val="00A931A1"/>
    <w:rsid w:val="00A95D8B"/>
    <w:rsid w:val="00AA0D68"/>
    <w:rsid w:val="00AA20BD"/>
    <w:rsid w:val="00AB6F30"/>
    <w:rsid w:val="00AC0270"/>
    <w:rsid w:val="00AC17E0"/>
    <w:rsid w:val="00AC3EA3"/>
    <w:rsid w:val="00AC687A"/>
    <w:rsid w:val="00AC792D"/>
    <w:rsid w:val="00AD206C"/>
    <w:rsid w:val="00AD7E35"/>
    <w:rsid w:val="00AF368C"/>
    <w:rsid w:val="00B03603"/>
    <w:rsid w:val="00B05989"/>
    <w:rsid w:val="00B1703F"/>
    <w:rsid w:val="00B214D3"/>
    <w:rsid w:val="00B2737D"/>
    <w:rsid w:val="00B27FA0"/>
    <w:rsid w:val="00B37C73"/>
    <w:rsid w:val="00B53DF5"/>
    <w:rsid w:val="00B566DF"/>
    <w:rsid w:val="00B60E9A"/>
    <w:rsid w:val="00B620B0"/>
    <w:rsid w:val="00B657B8"/>
    <w:rsid w:val="00B7164C"/>
    <w:rsid w:val="00B71A99"/>
    <w:rsid w:val="00B76400"/>
    <w:rsid w:val="00B77DE5"/>
    <w:rsid w:val="00B814E5"/>
    <w:rsid w:val="00B84920"/>
    <w:rsid w:val="00B8525D"/>
    <w:rsid w:val="00B8556A"/>
    <w:rsid w:val="00BA47A3"/>
    <w:rsid w:val="00BB0727"/>
    <w:rsid w:val="00BB1F47"/>
    <w:rsid w:val="00BC3C78"/>
    <w:rsid w:val="00BD403C"/>
    <w:rsid w:val="00BD449A"/>
    <w:rsid w:val="00BD73FB"/>
    <w:rsid w:val="00BE2398"/>
    <w:rsid w:val="00BF21B4"/>
    <w:rsid w:val="00BF342C"/>
    <w:rsid w:val="00BF4CFE"/>
    <w:rsid w:val="00C012A3"/>
    <w:rsid w:val="00C16F19"/>
    <w:rsid w:val="00C340BE"/>
    <w:rsid w:val="00C52A7B"/>
    <w:rsid w:val="00C6324C"/>
    <w:rsid w:val="00C664DD"/>
    <w:rsid w:val="00C67587"/>
    <w:rsid w:val="00C679AA"/>
    <w:rsid w:val="00C720D4"/>
    <w:rsid w:val="00C724CF"/>
    <w:rsid w:val="00C75050"/>
    <w:rsid w:val="00C75972"/>
    <w:rsid w:val="00C82792"/>
    <w:rsid w:val="00C87645"/>
    <w:rsid w:val="00C948FD"/>
    <w:rsid w:val="00CB43D5"/>
    <w:rsid w:val="00CB57A5"/>
    <w:rsid w:val="00CB79C1"/>
    <w:rsid w:val="00CC76F9"/>
    <w:rsid w:val="00CD066B"/>
    <w:rsid w:val="00CD46E2"/>
    <w:rsid w:val="00CD68E5"/>
    <w:rsid w:val="00CD7856"/>
    <w:rsid w:val="00CE52C1"/>
    <w:rsid w:val="00CE65B1"/>
    <w:rsid w:val="00CE7D02"/>
    <w:rsid w:val="00CF0317"/>
    <w:rsid w:val="00CF7052"/>
    <w:rsid w:val="00D00D0B"/>
    <w:rsid w:val="00D04600"/>
    <w:rsid w:val="00D04B69"/>
    <w:rsid w:val="00D13BAE"/>
    <w:rsid w:val="00D14DE6"/>
    <w:rsid w:val="00D15552"/>
    <w:rsid w:val="00D25F87"/>
    <w:rsid w:val="00D3340F"/>
    <w:rsid w:val="00D42C65"/>
    <w:rsid w:val="00D461EE"/>
    <w:rsid w:val="00D464DD"/>
    <w:rsid w:val="00D523F4"/>
    <w:rsid w:val="00D537FA"/>
    <w:rsid w:val="00D54203"/>
    <w:rsid w:val="00D5547D"/>
    <w:rsid w:val="00D61DF7"/>
    <w:rsid w:val="00D80D99"/>
    <w:rsid w:val="00D820BD"/>
    <w:rsid w:val="00D8230E"/>
    <w:rsid w:val="00D85AC2"/>
    <w:rsid w:val="00D86479"/>
    <w:rsid w:val="00D90EC8"/>
    <w:rsid w:val="00D9503C"/>
    <w:rsid w:val="00DA3F37"/>
    <w:rsid w:val="00DA4F7A"/>
    <w:rsid w:val="00DB2B39"/>
    <w:rsid w:val="00DB7F7A"/>
    <w:rsid w:val="00DD0293"/>
    <w:rsid w:val="00DD3191"/>
    <w:rsid w:val="00DD73EF"/>
    <w:rsid w:val="00DD76A1"/>
    <w:rsid w:val="00DE2041"/>
    <w:rsid w:val="00DE23E8"/>
    <w:rsid w:val="00DF7147"/>
    <w:rsid w:val="00E0128B"/>
    <w:rsid w:val="00E175BE"/>
    <w:rsid w:val="00E20407"/>
    <w:rsid w:val="00E32026"/>
    <w:rsid w:val="00E369D1"/>
    <w:rsid w:val="00E45DF3"/>
    <w:rsid w:val="00E54B4A"/>
    <w:rsid w:val="00E55954"/>
    <w:rsid w:val="00E64E17"/>
    <w:rsid w:val="00E67172"/>
    <w:rsid w:val="00E71839"/>
    <w:rsid w:val="00E728CF"/>
    <w:rsid w:val="00E87E66"/>
    <w:rsid w:val="00EA0CE0"/>
    <w:rsid w:val="00EA3D3C"/>
    <w:rsid w:val="00EA4696"/>
    <w:rsid w:val="00EB1B4F"/>
    <w:rsid w:val="00EB252D"/>
    <w:rsid w:val="00EB2823"/>
    <w:rsid w:val="00EB407F"/>
    <w:rsid w:val="00EB4BFE"/>
    <w:rsid w:val="00EC7CC3"/>
    <w:rsid w:val="00ED3BC2"/>
    <w:rsid w:val="00EF60FD"/>
    <w:rsid w:val="00EF670D"/>
    <w:rsid w:val="00F308CB"/>
    <w:rsid w:val="00F37E45"/>
    <w:rsid w:val="00F419E6"/>
    <w:rsid w:val="00F46494"/>
    <w:rsid w:val="00F4780F"/>
    <w:rsid w:val="00F5210A"/>
    <w:rsid w:val="00F53787"/>
    <w:rsid w:val="00F558AB"/>
    <w:rsid w:val="00F55D39"/>
    <w:rsid w:val="00F574CE"/>
    <w:rsid w:val="00F578C3"/>
    <w:rsid w:val="00F600B8"/>
    <w:rsid w:val="00F61D89"/>
    <w:rsid w:val="00F7215C"/>
    <w:rsid w:val="00F760BE"/>
    <w:rsid w:val="00F7654B"/>
    <w:rsid w:val="00F86ABB"/>
    <w:rsid w:val="00F90EF6"/>
    <w:rsid w:val="00F93830"/>
    <w:rsid w:val="00F972C2"/>
    <w:rsid w:val="00FB4CF9"/>
    <w:rsid w:val="00FB726F"/>
    <w:rsid w:val="00FC3741"/>
    <w:rsid w:val="00FD07C8"/>
    <w:rsid w:val="00FD531A"/>
    <w:rsid w:val="00FD7648"/>
    <w:rsid w:val="00FE11B4"/>
    <w:rsid w:val="00FE1EDA"/>
    <w:rsid w:val="00FE4C6A"/>
    <w:rsid w:val="00FF03D6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D2DCBD"/>
  <w15:docId w15:val="{77CCF1D5-BE4C-4A54-B28E-E57576F9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A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qFormat/>
    <w:rsid w:val="00310124"/>
    <w:pPr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51449F"/>
    <w:pPr>
      <w:autoSpaceDE w:val="0"/>
      <w:autoSpaceDN w:val="0"/>
      <w:adjustRightInd w:val="0"/>
      <w:spacing w:after="0" w:line="240" w:lineRule="auto"/>
    </w:pPr>
    <w:rPr>
      <w:rFonts w:ascii="HelveticaNeue LT 55 Roman" w:eastAsia="Times New Roman" w:hAnsi="HelveticaNeue LT 55 Roman" w:cs="HelveticaNeue LT 55 Roman"/>
      <w:color w:val="000000"/>
      <w:sz w:val="24"/>
      <w:szCs w:val="24"/>
      <w:lang w:val="it-IT" w:eastAsia="it-IT"/>
    </w:rPr>
  </w:style>
  <w:style w:type="paragraph" w:customStyle="1" w:styleId="Pa5">
    <w:name w:val="Pa5"/>
    <w:basedOn w:val="Default"/>
    <w:next w:val="Default"/>
    <w:uiPriority w:val="99"/>
    <w:rsid w:val="00D04600"/>
    <w:pPr>
      <w:spacing w:line="181" w:lineRule="atLeast"/>
    </w:pPr>
    <w:rPr>
      <w:rFonts w:eastAsiaTheme="minorHAnsi" w:cstheme="minorBidi"/>
      <w:color w:val="auto"/>
      <w:lang w:eastAsia="en-US"/>
    </w:rPr>
  </w:style>
  <w:style w:type="character" w:customStyle="1" w:styleId="ref-title">
    <w:name w:val="ref-title"/>
    <w:basedOn w:val="DefaultParagraphFont"/>
    <w:rsid w:val="00947751"/>
  </w:style>
  <w:style w:type="character" w:customStyle="1" w:styleId="ref-vol">
    <w:name w:val="ref-vol"/>
    <w:basedOn w:val="DefaultParagraphFont"/>
    <w:rsid w:val="00947751"/>
  </w:style>
  <w:style w:type="character" w:customStyle="1" w:styleId="ref-iss">
    <w:name w:val="ref-iss"/>
    <w:basedOn w:val="DefaultParagraphFont"/>
    <w:rsid w:val="00947751"/>
  </w:style>
  <w:style w:type="character" w:customStyle="1" w:styleId="ref-journal">
    <w:name w:val="ref-journal"/>
    <w:basedOn w:val="DefaultParagraphFont"/>
    <w:rsid w:val="001B4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DB74455-4EBB-1D45-A3D2-C4859AB2B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notariello</dc:creator>
  <cp:keywords/>
  <dc:description/>
  <cp:lastModifiedBy>Rachael Durham</cp:lastModifiedBy>
  <cp:revision>10</cp:revision>
  <cp:lastPrinted>2013-10-03T12:51:00Z</cp:lastPrinted>
  <dcterms:created xsi:type="dcterms:W3CDTF">2021-03-11T09:40:00Z</dcterms:created>
  <dcterms:modified xsi:type="dcterms:W3CDTF">2021-04-30T12:53:00Z</dcterms:modified>
</cp:coreProperties>
</file>