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007" w:rsidRPr="00302EA3" w:rsidRDefault="00DA7007" w:rsidP="00DA7007">
      <w:pPr>
        <w:suppressLineNumbers/>
        <w:spacing w:before="240" w:after="120"/>
        <w:jc w:val="center"/>
        <w:rPr>
          <w:rFonts w:cs="Times New Roman"/>
          <w:i/>
          <w:sz w:val="32"/>
          <w:szCs w:val="32"/>
        </w:rPr>
      </w:pPr>
      <w:r w:rsidRPr="00302EA3">
        <w:rPr>
          <w:rFonts w:cs="Times New Roman"/>
          <w:b/>
          <w:i/>
          <w:sz w:val="32"/>
          <w:szCs w:val="32"/>
        </w:rPr>
        <w:t>Supplementary Material</w:t>
      </w:r>
    </w:p>
    <w:p w:rsidR="00DA7007" w:rsidRPr="00302EA3" w:rsidRDefault="00DA7007" w:rsidP="00DA7007">
      <w:pPr>
        <w:numPr>
          <w:ilvl w:val="0"/>
          <w:numId w:val="1"/>
        </w:numPr>
        <w:tabs>
          <w:tab w:val="num" w:pos="567"/>
        </w:tabs>
        <w:spacing w:before="240"/>
        <w:outlineLvl w:val="0"/>
        <w:rPr>
          <w:rFonts w:eastAsia="Cambria" w:cs="Times New Roman"/>
          <w:b/>
          <w:szCs w:val="24"/>
        </w:rPr>
      </w:pPr>
      <w:r w:rsidRPr="00302EA3">
        <w:rPr>
          <w:rFonts w:eastAsia="Cambria" w:cs="Times New Roman"/>
          <w:b/>
          <w:szCs w:val="24"/>
        </w:rPr>
        <w:t xml:space="preserve">Supplementary Table </w:t>
      </w:r>
    </w:p>
    <w:tbl>
      <w:tblPr>
        <w:tblStyle w:val="11"/>
        <w:tblW w:w="9923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3827"/>
        <w:gridCol w:w="1418"/>
      </w:tblGrid>
      <w:tr w:rsidR="00DA7007" w:rsidRPr="000F2DEE" w:rsidTr="00C3687D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bookmarkStart w:id="0" w:name="_Hlk72240288"/>
            <w:r w:rsidRPr="000F2DEE">
              <w:rPr>
                <w:rFonts w:ascii="Arial" w:eastAsia="SimSun" w:hAnsi="Arial" w:cs="Arial" w:hint="eastAsia"/>
                <w:sz w:val="22"/>
              </w:rPr>
              <w:t>S</w:t>
            </w:r>
            <w:r w:rsidRPr="000F2DEE">
              <w:rPr>
                <w:rFonts w:ascii="Arial" w:eastAsia="SimSun" w:hAnsi="Arial" w:cs="Arial"/>
                <w:sz w:val="22"/>
              </w:rPr>
              <w:t>tudies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 w:hint="eastAsia"/>
                <w:sz w:val="22"/>
              </w:rPr>
              <w:t>M</w:t>
            </w:r>
            <w:r w:rsidRPr="000F2DEE">
              <w:rPr>
                <w:rFonts w:ascii="Arial" w:eastAsia="SimSun" w:hAnsi="Arial" w:cs="Arial"/>
                <w:sz w:val="22"/>
              </w:rPr>
              <w:t>ethods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 w:hint="eastAsia"/>
                <w:sz w:val="22"/>
              </w:rPr>
              <w:t>R</w:t>
            </w:r>
            <w:r w:rsidRPr="000F2DEE">
              <w:rPr>
                <w:rFonts w:ascii="Arial" w:eastAsia="SimSun" w:hAnsi="Arial" w:cs="Arial"/>
                <w:sz w:val="22"/>
              </w:rPr>
              <w:t>eagents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 w:hint="eastAsia"/>
                <w:sz w:val="22"/>
              </w:rPr>
              <w:t>P</w:t>
            </w:r>
            <w:r w:rsidRPr="000F2DEE">
              <w:rPr>
                <w:rFonts w:ascii="Arial" w:eastAsia="SimSun" w:hAnsi="Arial" w:cs="Arial"/>
                <w:sz w:val="22"/>
              </w:rPr>
              <w:t>ubMed ID</w:t>
            </w:r>
          </w:p>
        </w:tc>
      </w:tr>
      <w:tr w:rsidR="00DA7007" w:rsidRPr="000F2DEE" w:rsidTr="00C3687D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Cs w:val="24"/>
              </w:rPr>
            </w:pPr>
            <w:r w:rsidRPr="000F2DEE">
              <w:rPr>
                <w:rFonts w:ascii="Arial" w:eastAsia="SimSun" w:hAnsi="Arial" w:cs="Arial"/>
                <w:sz w:val="22"/>
              </w:rPr>
              <w:t>Tan et al.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007" w:rsidRPr="000F2DEE" w:rsidRDefault="00DA7007" w:rsidP="00C3687D">
            <w:pPr>
              <w:spacing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Western blotting;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Immunoprecipitation;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HPLC-MS/MS and MS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007" w:rsidRPr="000F2DEE" w:rsidRDefault="00DA7007" w:rsidP="00C3687D">
            <w:pPr>
              <w:spacing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Anti-</w:t>
            </w: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Kglu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 xml:space="preserve"> antibody; Anti-SIRT5 antibody; MS grade water; Acetonitrile; Recombinant HDACs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24703693</w:t>
            </w:r>
          </w:p>
        </w:tc>
      </w:tr>
      <w:tr w:rsidR="00DA7007" w:rsidRPr="000F2DEE" w:rsidTr="00C3687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Xie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 xml:space="preserve"> et al.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LC-MS/MS Analysis;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Affinity Enrichment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Glutaryl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>-lysine antibody; Serum antibody; Trypsin NETN buffer; Trifluoroacetic acid (TFA)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26903315</w:t>
            </w:r>
          </w:p>
        </w:tc>
      </w:tr>
      <w:tr w:rsidR="00DA7007" w:rsidRPr="000F2DEE" w:rsidTr="00C3687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Zhou et al.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Western blot;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Immunohistochemistry (IHC) analysis;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Immunoprecipitation;</w:t>
            </w:r>
            <w:r w:rsidRPr="000F2DEE">
              <w:rPr>
                <w:rFonts w:ascii="Arial" w:eastAsia="SimSun" w:hAnsi="Arial" w:cs="Arial" w:hint="eastAsia"/>
                <w:sz w:val="22"/>
              </w:rPr>
              <w:t xml:space="preserve"> </w:t>
            </w:r>
            <w:r w:rsidRPr="000F2DEE">
              <w:rPr>
                <w:rFonts w:ascii="Arial" w:eastAsia="SimSun" w:hAnsi="Arial" w:cs="Arial"/>
                <w:sz w:val="22"/>
              </w:rPr>
              <w:t>quantitative real-time PCR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Anti-SIRT5; Anti-PARP; Anti-caspase-3; Anti-pan-</w:t>
            </w: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glutaryl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 xml:space="preserve">-lysine (PTM-1151); H2O2; Paraquat; </w:t>
            </w: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AntiFlag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 xml:space="preserve"> M2 affinity resin; Fluorescent dye 20,70-dichlorofluorescein diacetate (H2DCF-DA)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27113762</w:t>
            </w:r>
          </w:p>
        </w:tc>
      </w:tr>
      <w:tr w:rsidR="00DA7007" w:rsidRPr="000F2DEE" w:rsidTr="00C3687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Schmiesing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 xml:space="preserve"> et al.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Immunoprecipitation;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Liquid Chromatography-MS;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Measurements;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MS Data Analysis;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IEF Gel Electrophoresis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Anti-</w:t>
            </w: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Kglu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 xml:space="preserve"> antibody; Anti-GDH; Purified bovine glutamate dehydrogenase (GDH) </w:t>
            </w: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RecombinantDLST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 xml:space="preserve">; Electron transfer flavoprotein subunit B (ETFB); </w:t>
            </w: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Glutaryl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>-CoA dehydrogenase (GCDH) Recombinant murine carbonic anhydrase 5B (Ca5b); Human carbonic anhydrase 4 (CA4)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30208319</w:t>
            </w:r>
          </w:p>
        </w:tc>
      </w:tr>
      <w:tr w:rsidR="00DA7007" w:rsidRPr="000F2DEE" w:rsidTr="00C3687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Cheng et al.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Immunoblotting assay;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Indirect immunofluorescence assay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line="320" w:lineRule="atLeast"/>
              <w:jc w:val="both"/>
              <w:rPr>
                <w:rFonts w:ascii="SimSun" w:eastAsia="SimSun" w:hAnsi="SimSun" w:cs="SimSun"/>
                <w:szCs w:val="24"/>
              </w:rPr>
            </w:pPr>
            <w:r w:rsidRPr="000F2DEE">
              <w:rPr>
                <w:rFonts w:ascii="Arial" w:eastAsia="SimSun" w:hAnsi="Arial" w:cs="Arial"/>
                <w:sz w:val="22"/>
              </w:rPr>
              <w:t>Pan-anti-</w:t>
            </w: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glutaryllysine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 xml:space="preserve"> antibody (PTM-1151); Anti-P300 antibody (ab10485); Anti-</w:t>
            </w: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glutaryl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 xml:space="preserve">-CoA dehydrogenase (GCDH) antibody (ab112998); Anti-Sirtuin5 (SIRT5) antibody (15122-1-AP); Nicotinamide </w:t>
            </w:r>
            <w:r w:rsidRPr="000F2DEE">
              <w:rPr>
                <w:rFonts w:ascii="Arial" w:eastAsia="SimSun" w:hAnsi="Arial" w:cs="Arial"/>
                <w:sz w:val="22"/>
              </w:rPr>
              <w:lastRenderedPageBreak/>
              <w:t>(NAM, purity: &gt;98.0%); Human serum albumin solution (100 mg/mL, 10 064)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31194865</w:t>
            </w:r>
          </w:p>
        </w:tc>
      </w:tr>
      <w:tr w:rsidR="00DA7007" w:rsidRPr="000F2DEE" w:rsidTr="00C3687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Bao et al.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Immunofluorescence;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Mass Spectrometry;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RNA sequencing analysis;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ChIP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 xml:space="preserve"> sequencing analysis;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Flow Cytometry;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Immunoprecipitation;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Non-Fluorophore-Labeled</w:t>
            </w:r>
            <w:r w:rsidRPr="000F2DEE">
              <w:rPr>
                <w:rFonts w:ascii="Arial" w:eastAsia="SimSun" w:hAnsi="Arial" w:cs="Arial" w:hint="eastAsia"/>
                <w:sz w:val="22"/>
              </w:rPr>
              <w:t xml:space="preserve"> </w:t>
            </w:r>
            <w:r w:rsidRPr="000F2DEE">
              <w:rPr>
                <w:rFonts w:ascii="Arial" w:eastAsia="SimSun" w:hAnsi="Arial" w:cs="Arial"/>
                <w:sz w:val="22"/>
              </w:rPr>
              <w:t>Nucleosome Reconstitution and Electrophoretic Mobility Gel Shift Assay (EMSA)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line="320" w:lineRule="atLeast"/>
              <w:jc w:val="both"/>
              <w:rPr>
                <w:rFonts w:ascii="SimSun" w:eastAsia="SimSun" w:hAnsi="SimSun" w:cs="SimSun"/>
                <w:b/>
                <w:bCs/>
                <w:szCs w:val="24"/>
              </w:rPr>
            </w:pPr>
            <w:r w:rsidRPr="000F2DEE">
              <w:rPr>
                <w:rFonts w:ascii="Arial" w:eastAsia="SimSun" w:hAnsi="Arial" w:cs="Arial"/>
                <w:sz w:val="22"/>
              </w:rPr>
              <w:t xml:space="preserve">Antibodies specific to CPS1, H4K91glu, H3, H4, Sirt7, KAT2A and Sirt5.; </w:t>
            </w: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Dynabead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 xml:space="preserve"> Protein A for Immunoprecipitation; Methyl </w:t>
            </w: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methanesulfonate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 xml:space="preserve"> (MMS); RNase A; Proteinase K.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31542297</w:t>
            </w:r>
          </w:p>
        </w:tc>
      </w:tr>
      <w:tr w:rsidR="00DA7007" w:rsidRPr="000F2DEE" w:rsidTr="00C3687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Zhou et al.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Immunoprecipitation;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MS Identification;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Affinity Enrichment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Anti–Sirt5 antibody (15122-1-AP); Anti-</w:t>
            </w: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glutaryllysine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 xml:space="preserve"> antibody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31532912</w:t>
            </w:r>
          </w:p>
        </w:tc>
      </w:tr>
      <w:tr w:rsidR="00DA7007" w:rsidRPr="000F2DEE" w:rsidTr="00C3687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Wang et al.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Quantitative real-time PCR (qPCR);</w:t>
            </w:r>
          </w:p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Western blot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both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line="320" w:lineRule="atLeast"/>
              <w:jc w:val="both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HRP-conjugated goat anti-rabbit or anti-mouse IgG; Radio immunoprecipitation assay buffer</w:t>
            </w:r>
            <w:r w:rsidRPr="000F2DEE">
              <w:rPr>
                <w:rFonts w:ascii="Arial" w:eastAsia="SimSun" w:hAnsi="Arial" w:cs="Arial" w:hint="eastAsia"/>
                <w:sz w:val="22"/>
              </w:rPr>
              <w:t xml:space="preserve"> </w:t>
            </w:r>
            <w:r w:rsidRPr="000F2DEE">
              <w:rPr>
                <w:rFonts w:ascii="Arial" w:eastAsia="SimSun" w:hAnsi="Arial" w:cs="Arial"/>
                <w:sz w:val="22"/>
              </w:rPr>
              <w:t xml:space="preserve">Protease inhibitor cocktail; Phosphatase inhibitor cocktail; </w:t>
            </w:r>
            <w:proofErr w:type="spellStart"/>
            <w:r w:rsidRPr="000F2DEE">
              <w:rPr>
                <w:rFonts w:ascii="Arial" w:eastAsia="SimSun" w:hAnsi="Arial" w:cs="Arial"/>
                <w:sz w:val="22"/>
              </w:rPr>
              <w:t>Trichostatin</w:t>
            </w:r>
            <w:proofErr w:type="spellEnd"/>
            <w:r w:rsidRPr="000F2DEE">
              <w:rPr>
                <w:rFonts w:ascii="Arial" w:eastAsia="SimSun" w:hAnsi="Arial" w:cs="Arial"/>
                <w:sz w:val="22"/>
              </w:rPr>
              <w:t xml:space="preserve"> A; Nicotinamide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007" w:rsidRPr="000F2DEE" w:rsidRDefault="00DA7007" w:rsidP="00C3687D">
            <w:pPr>
              <w:spacing w:before="0"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</w:p>
          <w:p w:rsidR="00DA7007" w:rsidRPr="000F2DEE" w:rsidRDefault="00DA7007" w:rsidP="00C3687D">
            <w:pPr>
              <w:spacing w:after="0" w:line="320" w:lineRule="atLeast"/>
              <w:jc w:val="center"/>
              <w:rPr>
                <w:rFonts w:ascii="Arial" w:eastAsia="SimSun" w:hAnsi="Arial" w:cs="Arial"/>
                <w:sz w:val="22"/>
              </w:rPr>
            </w:pPr>
            <w:r w:rsidRPr="000F2DEE">
              <w:rPr>
                <w:rFonts w:ascii="Arial" w:eastAsia="SimSun" w:hAnsi="Arial" w:cs="Arial"/>
                <w:sz w:val="22"/>
              </w:rPr>
              <w:t>32980686</w:t>
            </w:r>
          </w:p>
        </w:tc>
      </w:tr>
      <w:bookmarkEnd w:id="0"/>
    </w:tbl>
    <w:p w:rsidR="00DA7007" w:rsidRDefault="00DA7007" w:rsidP="00DA7007">
      <w:pPr>
        <w:rPr>
          <w:rFonts w:cs="Times New Roman"/>
          <w:b/>
          <w:szCs w:val="24"/>
        </w:rPr>
      </w:pPr>
    </w:p>
    <w:p w:rsidR="00DA7007" w:rsidRPr="00302EA3" w:rsidRDefault="00DA7007" w:rsidP="00DA7007">
      <w:pPr>
        <w:rPr>
          <w:rFonts w:cs="Times New Roman"/>
          <w:szCs w:val="24"/>
        </w:rPr>
      </w:pPr>
      <w:r w:rsidRPr="00302EA3">
        <w:rPr>
          <w:rFonts w:cs="Times New Roman"/>
          <w:b/>
          <w:szCs w:val="24"/>
        </w:rPr>
        <w:t xml:space="preserve">Supplementary Table </w:t>
      </w:r>
      <w:r w:rsidRPr="00302EA3">
        <w:rPr>
          <w:rFonts w:cs="Times New Roman"/>
          <w:b/>
          <w:szCs w:val="24"/>
        </w:rPr>
        <w:fldChar w:fldCharType="begin"/>
      </w:r>
      <w:r w:rsidRPr="00302EA3">
        <w:rPr>
          <w:rFonts w:cs="Times New Roman"/>
          <w:b/>
          <w:szCs w:val="24"/>
        </w:rPr>
        <w:instrText xml:space="preserve"> SEQ Figure \* ARABIC </w:instrText>
      </w:r>
      <w:r w:rsidRPr="00302EA3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302EA3">
        <w:rPr>
          <w:rFonts w:cs="Times New Roman"/>
          <w:b/>
          <w:szCs w:val="24"/>
        </w:rPr>
        <w:fldChar w:fldCharType="end"/>
      </w:r>
      <w:r w:rsidRPr="00302EA3">
        <w:rPr>
          <w:rFonts w:cs="Times New Roman"/>
          <w:b/>
          <w:szCs w:val="24"/>
        </w:rPr>
        <w:t>.</w:t>
      </w:r>
      <w:r w:rsidRPr="00302EA3">
        <w:rPr>
          <w:rFonts w:cs="Times New Roman"/>
          <w:szCs w:val="24"/>
        </w:rPr>
        <w:t xml:space="preserve"> The main methods and reagents </w:t>
      </w:r>
      <w:bookmarkStart w:id="1" w:name="_Hlk72074399"/>
      <w:r>
        <w:rPr>
          <w:rFonts w:cs="Times New Roman"/>
          <w:szCs w:val="24"/>
        </w:rPr>
        <w:t>used in previous researches</w:t>
      </w:r>
      <w:r w:rsidRPr="00302EA3">
        <w:rPr>
          <w:rFonts w:cs="Times New Roman"/>
          <w:szCs w:val="24"/>
        </w:rPr>
        <w:t>.</w:t>
      </w:r>
      <w:bookmarkEnd w:id="1"/>
    </w:p>
    <w:p w:rsidR="00464738" w:rsidRDefault="00464738">
      <w:bookmarkStart w:id="2" w:name="_GoBack"/>
      <w:bookmarkEnd w:id="2"/>
    </w:p>
    <w:sectPr w:rsidR="00464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07"/>
    <w:rsid w:val="00464738"/>
    <w:rsid w:val="00D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57788-CD42-4639-8C3B-303B3436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007"/>
    <w:pPr>
      <w:spacing w:before="120" w:after="240" w:line="240" w:lineRule="auto"/>
    </w:pPr>
    <w:rPr>
      <w:rFonts w:ascii="Times New Roman" w:eastAsiaTheme="minorEastAsia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1">
    <w:name w:val="网格型11"/>
    <w:basedOn w:val="TableNormal"/>
    <w:uiPriority w:val="59"/>
    <w:rsid w:val="00DA700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Kumar AS</dc:creator>
  <cp:keywords/>
  <dc:description/>
  <cp:lastModifiedBy>Arjun Kumar AS</cp:lastModifiedBy>
  <cp:revision>1</cp:revision>
  <dcterms:created xsi:type="dcterms:W3CDTF">2021-06-02T12:04:00Z</dcterms:created>
  <dcterms:modified xsi:type="dcterms:W3CDTF">2021-06-02T12:04:00Z</dcterms:modified>
</cp:coreProperties>
</file>