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FC" w:rsidRDefault="00A56C46" w:rsidP="00810DFC">
      <w:pPr>
        <w:jc w:val="both"/>
      </w:pPr>
      <w:r>
        <w:rPr>
          <w:b/>
          <w:bCs/>
        </w:rPr>
        <w:t xml:space="preserve">Supplementary </w:t>
      </w:r>
      <w:r w:rsidR="00810DFC" w:rsidRPr="005B53FC">
        <w:rPr>
          <w:b/>
          <w:bCs/>
        </w:rPr>
        <w:t xml:space="preserve">Table 1: </w:t>
      </w:r>
      <w:r w:rsidR="00810DFC" w:rsidRPr="00A65E15">
        <w:t xml:space="preserve">A summary </w:t>
      </w:r>
      <w:r w:rsidR="00810DFC">
        <w:t xml:space="preserve">ofzebrafish </w:t>
      </w:r>
      <w:r w:rsidR="00810DFC" w:rsidRPr="00A65E15">
        <w:t>cancer predisposition syndrome</w:t>
      </w:r>
      <w:r w:rsidR="00810DFC">
        <w:t xml:space="preserve"> model</w:t>
      </w:r>
      <w:r w:rsidR="00810DFC" w:rsidRPr="00A65E15">
        <w:t xml:space="preserve">s, </w:t>
      </w:r>
      <w:r w:rsidR="00810DFC">
        <w:t xml:space="preserve">specifying </w:t>
      </w:r>
      <w:r w:rsidR="00810DFC" w:rsidRPr="00A65E15">
        <w:t xml:space="preserve">CPGs involved, zebrafish </w:t>
      </w:r>
      <w:r w:rsidR="00810DFC">
        <w:t>strain</w:t>
      </w:r>
      <w:r w:rsidR="00810DFC" w:rsidRPr="00A65E15">
        <w:t>s</w:t>
      </w:r>
      <w:r w:rsidR="00810DFC">
        <w:t>,</w:t>
      </w:r>
      <w:r w:rsidR="00810DFC" w:rsidRPr="00A65E15">
        <w:t xml:space="preserve"> and associated phenotypes.</w:t>
      </w:r>
      <w:r w:rsidR="00810DFC">
        <w:t xml:space="preserve"> dpf = days post-fertilization.</w:t>
      </w:r>
    </w:p>
    <w:p w:rsidR="00810DFC" w:rsidRDefault="00810DFC" w:rsidP="00810DFC">
      <w:pPr>
        <w:jc w:val="both"/>
      </w:pPr>
    </w:p>
    <w:tbl>
      <w:tblPr>
        <w:tblStyle w:val="TableGrid"/>
        <w:tblW w:w="10681" w:type="dxa"/>
        <w:jc w:val="center"/>
        <w:tblLayout w:type="fixed"/>
        <w:tblLook w:val="04A0"/>
      </w:tblPr>
      <w:tblGrid>
        <w:gridCol w:w="1513"/>
        <w:gridCol w:w="1074"/>
        <w:gridCol w:w="1440"/>
        <w:gridCol w:w="1800"/>
        <w:gridCol w:w="2474"/>
        <w:gridCol w:w="1190"/>
        <w:gridCol w:w="1190"/>
      </w:tblGrid>
      <w:tr w:rsidR="004E16D1" w:rsidTr="00F97801">
        <w:trPr>
          <w:trHeight w:val="689"/>
          <w:jc w:val="center"/>
        </w:trPr>
        <w:tc>
          <w:tcPr>
            <w:tcW w:w="1513" w:type="dxa"/>
            <w:tcBorders>
              <w:top w:val="single" w:sz="18" w:space="0" w:color="auto"/>
              <w:left w:val="single" w:sz="18" w:space="0" w:color="auto"/>
              <w:bottom w:val="single" w:sz="18" w:space="0" w:color="auto"/>
              <w:right w:val="single" w:sz="4" w:space="0" w:color="auto"/>
            </w:tcBorders>
            <w:vAlign w:val="center"/>
          </w:tcPr>
          <w:p w:rsidR="004E16D1" w:rsidRPr="004A350A" w:rsidRDefault="004E16D1" w:rsidP="004E16D1">
            <w:pPr>
              <w:jc w:val="center"/>
              <w:rPr>
                <w:b/>
                <w:bCs/>
                <w:sz w:val="20"/>
                <w:szCs w:val="20"/>
              </w:rPr>
            </w:pPr>
            <w:r w:rsidRPr="004A350A">
              <w:rPr>
                <w:b/>
                <w:bCs/>
                <w:sz w:val="20"/>
                <w:szCs w:val="20"/>
              </w:rPr>
              <w:t>Cancer Predisposition Syndrome</w:t>
            </w:r>
          </w:p>
        </w:tc>
        <w:tc>
          <w:tcPr>
            <w:tcW w:w="1074" w:type="dxa"/>
            <w:tcBorders>
              <w:top w:val="single" w:sz="18" w:space="0" w:color="auto"/>
              <w:left w:val="single" w:sz="4" w:space="0" w:color="auto"/>
              <w:bottom w:val="single" w:sz="18" w:space="0" w:color="auto"/>
              <w:right w:val="single" w:sz="4" w:space="0" w:color="auto"/>
            </w:tcBorders>
            <w:vAlign w:val="center"/>
          </w:tcPr>
          <w:p w:rsidR="004E16D1" w:rsidRPr="004A350A" w:rsidRDefault="004E16D1" w:rsidP="001D37BF">
            <w:pPr>
              <w:jc w:val="center"/>
              <w:rPr>
                <w:b/>
                <w:bCs/>
                <w:sz w:val="20"/>
                <w:szCs w:val="20"/>
              </w:rPr>
            </w:pPr>
            <w:r w:rsidRPr="004A350A">
              <w:rPr>
                <w:b/>
                <w:bCs/>
                <w:sz w:val="20"/>
                <w:szCs w:val="20"/>
              </w:rPr>
              <w:t>CPG</w:t>
            </w:r>
          </w:p>
        </w:tc>
        <w:tc>
          <w:tcPr>
            <w:tcW w:w="1440" w:type="dxa"/>
            <w:tcBorders>
              <w:top w:val="single" w:sz="18" w:space="0" w:color="auto"/>
              <w:left w:val="single" w:sz="4" w:space="0" w:color="auto"/>
              <w:bottom w:val="single" w:sz="18" w:space="0" w:color="auto"/>
              <w:right w:val="single" w:sz="4" w:space="0" w:color="auto"/>
            </w:tcBorders>
            <w:vAlign w:val="center"/>
          </w:tcPr>
          <w:p w:rsidR="004E16D1" w:rsidRPr="004A350A" w:rsidRDefault="004E16D1" w:rsidP="001D37BF">
            <w:pPr>
              <w:jc w:val="center"/>
              <w:rPr>
                <w:b/>
                <w:bCs/>
                <w:sz w:val="20"/>
                <w:szCs w:val="20"/>
              </w:rPr>
            </w:pPr>
            <w:r w:rsidRPr="004A350A">
              <w:rPr>
                <w:b/>
                <w:bCs/>
                <w:sz w:val="20"/>
                <w:szCs w:val="20"/>
              </w:rPr>
              <w:t xml:space="preserve">Zebrafish </w:t>
            </w:r>
            <w:r>
              <w:rPr>
                <w:b/>
                <w:bCs/>
                <w:sz w:val="20"/>
                <w:szCs w:val="20"/>
              </w:rPr>
              <w:t>Model</w:t>
            </w:r>
          </w:p>
        </w:tc>
        <w:tc>
          <w:tcPr>
            <w:tcW w:w="1800" w:type="dxa"/>
            <w:tcBorders>
              <w:top w:val="single" w:sz="18" w:space="0" w:color="auto"/>
              <w:left w:val="single" w:sz="4" w:space="0" w:color="auto"/>
              <w:bottom w:val="single" w:sz="18" w:space="0" w:color="auto"/>
              <w:right w:val="single" w:sz="4" w:space="0" w:color="auto"/>
            </w:tcBorders>
            <w:vAlign w:val="center"/>
          </w:tcPr>
          <w:p w:rsidR="004E16D1" w:rsidRPr="004A350A" w:rsidRDefault="004E16D1" w:rsidP="001E0F4F">
            <w:pPr>
              <w:jc w:val="center"/>
              <w:rPr>
                <w:b/>
                <w:bCs/>
                <w:sz w:val="20"/>
                <w:szCs w:val="20"/>
              </w:rPr>
            </w:pPr>
            <w:r w:rsidRPr="004A350A">
              <w:rPr>
                <w:b/>
                <w:bCs/>
                <w:sz w:val="20"/>
                <w:szCs w:val="20"/>
              </w:rPr>
              <w:t>Tumor Types</w:t>
            </w:r>
          </w:p>
        </w:tc>
        <w:tc>
          <w:tcPr>
            <w:tcW w:w="2474" w:type="dxa"/>
            <w:tcBorders>
              <w:top w:val="single" w:sz="18" w:space="0" w:color="auto"/>
              <w:left w:val="single" w:sz="4" w:space="0" w:color="auto"/>
              <w:bottom w:val="single" w:sz="18" w:space="0" w:color="auto"/>
              <w:right w:val="single" w:sz="4" w:space="0" w:color="auto"/>
            </w:tcBorders>
            <w:vAlign w:val="center"/>
          </w:tcPr>
          <w:p w:rsidR="004E16D1" w:rsidRPr="004A350A" w:rsidRDefault="004E16D1" w:rsidP="00F854A2">
            <w:pPr>
              <w:jc w:val="center"/>
              <w:rPr>
                <w:b/>
                <w:bCs/>
                <w:sz w:val="20"/>
                <w:szCs w:val="20"/>
              </w:rPr>
            </w:pPr>
            <w:r w:rsidRPr="004A350A">
              <w:rPr>
                <w:b/>
                <w:bCs/>
                <w:sz w:val="20"/>
                <w:szCs w:val="20"/>
              </w:rPr>
              <w:t>Associated Phenotypes</w:t>
            </w:r>
          </w:p>
        </w:tc>
        <w:tc>
          <w:tcPr>
            <w:tcW w:w="1190" w:type="dxa"/>
            <w:tcBorders>
              <w:top w:val="single" w:sz="18" w:space="0" w:color="auto"/>
              <w:left w:val="single" w:sz="4" w:space="0" w:color="auto"/>
              <w:bottom w:val="single" w:sz="18" w:space="0" w:color="auto"/>
              <w:right w:val="single" w:sz="4" w:space="0" w:color="auto"/>
            </w:tcBorders>
            <w:vAlign w:val="center"/>
          </w:tcPr>
          <w:p w:rsidR="004E16D1" w:rsidRPr="004A350A" w:rsidRDefault="004E16D1" w:rsidP="00F97801">
            <w:pPr>
              <w:jc w:val="center"/>
              <w:rPr>
                <w:b/>
                <w:bCs/>
                <w:sz w:val="20"/>
                <w:szCs w:val="20"/>
              </w:rPr>
            </w:pPr>
            <w:r>
              <w:rPr>
                <w:b/>
                <w:bCs/>
                <w:sz w:val="20"/>
                <w:szCs w:val="20"/>
              </w:rPr>
              <w:t>Method</w:t>
            </w:r>
          </w:p>
        </w:tc>
        <w:tc>
          <w:tcPr>
            <w:tcW w:w="1190" w:type="dxa"/>
            <w:tcBorders>
              <w:top w:val="single" w:sz="18" w:space="0" w:color="auto"/>
              <w:left w:val="single" w:sz="4" w:space="0" w:color="auto"/>
              <w:bottom w:val="single" w:sz="18" w:space="0" w:color="auto"/>
              <w:right w:val="single" w:sz="18" w:space="0" w:color="auto"/>
            </w:tcBorders>
            <w:vAlign w:val="center"/>
          </w:tcPr>
          <w:p w:rsidR="004E16D1" w:rsidRPr="004A350A" w:rsidRDefault="004E16D1" w:rsidP="00810DFC">
            <w:pPr>
              <w:jc w:val="center"/>
              <w:rPr>
                <w:b/>
                <w:bCs/>
                <w:sz w:val="20"/>
                <w:szCs w:val="20"/>
              </w:rPr>
            </w:pPr>
            <w:r w:rsidRPr="004A350A">
              <w:rPr>
                <w:b/>
                <w:bCs/>
                <w:sz w:val="20"/>
                <w:szCs w:val="20"/>
              </w:rPr>
              <w:t>References</w:t>
            </w:r>
          </w:p>
        </w:tc>
      </w:tr>
      <w:tr w:rsidR="004E16D1" w:rsidTr="00F97801">
        <w:trPr>
          <w:trHeight w:val="460"/>
          <w:jc w:val="center"/>
        </w:trPr>
        <w:tc>
          <w:tcPr>
            <w:tcW w:w="1513" w:type="dxa"/>
            <w:vMerge w:val="restart"/>
            <w:tcBorders>
              <w:top w:val="single" w:sz="18" w:space="0" w:color="auto"/>
              <w:left w:val="single" w:sz="18" w:space="0" w:color="auto"/>
            </w:tcBorders>
            <w:vAlign w:val="center"/>
          </w:tcPr>
          <w:p w:rsidR="004E16D1" w:rsidRPr="004A350A" w:rsidRDefault="004E16D1" w:rsidP="00810DFC">
            <w:pPr>
              <w:jc w:val="center"/>
              <w:rPr>
                <w:sz w:val="20"/>
                <w:szCs w:val="20"/>
              </w:rPr>
            </w:pPr>
            <w:r w:rsidRPr="004A350A">
              <w:rPr>
                <w:sz w:val="20"/>
                <w:szCs w:val="20"/>
              </w:rPr>
              <w:t>Li-Fraumeni Syndrome</w:t>
            </w:r>
          </w:p>
        </w:tc>
        <w:tc>
          <w:tcPr>
            <w:tcW w:w="1074" w:type="dxa"/>
            <w:vMerge w:val="restart"/>
            <w:tcBorders>
              <w:top w:val="single" w:sz="18" w:space="0" w:color="auto"/>
            </w:tcBorders>
            <w:vAlign w:val="center"/>
          </w:tcPr>
          <w:p w:rsidR="004E16D1" w:rsidRPr="004A350A" w:rsidRDefault="004E16D1" w:rsidP="00810DFC">
            <w:pPr>
              <w:jc w:val="center"/>
              <w:rPr>
                <w:i/>
                <w:iCs/>
                <w:sz w:val="20"/>
                <w:szCs w:val="20"/>
              </w:rPr>
            </w:pPr>
            <w:r w:rsidRPr="004A350A">
              <w:rPr>
                <w:i/>
                <w:iCs/>
                <w:sz w:val="20"/>
                <w:szCs w:val="20"/>
              </w:rPr>
              <w:t>TP53</w:t>
            </w:r>
          </w:p>
        </w:tc>
        <w:tc>
          <w:tcPr>
            <w:tcW w:w="1440" w:type="dxa"/>
            <w:tcBorders>
              <w:top w:val="single" w:sz="18" w:space="0" w:color="auto"/>
            </w:tcBorders>
            <w:vAlign w:val="center"/>
          </w:tcPr>
          <w:p w:rsidR="004E16D1" w:rsidRPr="004A350A" w:rsidRDefault="004E16D1" w:rsidP="00810DFC">
            <w:pPr>
              <w:jc w:val="center"/>
              <w:rPr>
                <w:sz w:val="20"/>
                <w:szCs w:val="20"/>
                <w:vertAlign w:val="superscript"/>
              </w:rPr>
            </w:pPr>
            <w:r w:rsidRPr="004A350A">
              <w:rPr>
                <w:i/>
                <w:iCs/>
                <w:sz w:val="20"/>
                <w:szCs w:val="20"/>
              </w:rPr>
              <w:t>tp53</w:t>
            </w:r>
            <w:r w:rsidRPr="004A350A">
              <w:rPr>
                <w:sz w:val="20"/>
                <w:szCs w:val="20"/>
                <w:vertAlign w:val="superscript"/>
              </w:rPr>
              <w:t>N168K</w:t>
            </w:r>
          </w:p>
        </w:tc>
        <w:tc>
          <w:tcPr>
            <w:tcW w:w="1800" w:type="dxa"/>
            <w:tcBorders>
              <w:top w:val="single" w:sz="18" w:space="0" w:color="auto"/>
            </w:tcBorders>
            <w:vAlign w:val="center"/>
          </w:tcPr>
          <w:p w:rsidR="004E16D1" w:rsidRPr="004A350A" w:rsidRDefault="004E16D1" w:rsidP="00810DFC">
            <w:pPr>
              <w:jc w:val="center"/>
              <w:rPr>
                <w:sz w:val="20"/>
                <w:szCs w:val="20"/>
              </w:rPr>
            </w:pPr>
            <w:r w:rsidRPr="004A350A">
              <w:rPr>
                <w:color w:val="000000" w:themeColor="text1"/>
                <w:sz w:val="20"/>
                <w:szCs w:val="20"/>
              </w:rPr>
              <w:t>No</w:t>
            </w:r>
            <w:r>
              <w:rPr>
                <w:color w:val="000000" w:themeColor="text1"/>
                <w:sz w:val="20"/>
                <w:szCs w:val="20"/>
              </w:rPr>
              <w:t>t reported</w:t>
            </w:r>
          </w:p>
        </w:tc>
        <w:tc>
          <w:tcPr>
            <w:tcW w:w="2474" w:type="dxa"/>
            <w:tcBorders>
              <w:top w:val="single" w:sz="18" w:space="0" w:color="auto"/>
            </w:tcBorders>
            <w:vAlign w:val="center"/>
          </w:tcPr>
          <w:p w:rsidR="004E16D1" w:rsidRPr="004A350A" w:rsidRDefault="004E16D1" w:rsidP="00810DFC">
            <w:pPr>
              <w:jc w:val="center"/>
              <w:rPr>
                <w:sz w:val="20"/>
                <w:szCs w:val="20"/>
              </w:rPr>
            </w:pPr>
            <w:r w:rsidRPr="004A350A">
              <w:rPr>
                <w:sz w:val="20"/>
                <w:szCs w:val="20"/>
              </w:rPr>
              <w:t>Resistant to apoptosisfollowing induction of DNA damage</w:t>
            </w:r>
            <w:r>
              <w:rPr>
                <w:sz w:val="20"/>
                <w:szCs w:val="20"/>
              </w:rPr>
              <w:t xml:space="preserve"> only</w:t>
            </w:r>
            <w:r w:rsidRPr="004A350A">
              <w:rPr>
                <w:sz w:val="20"/>
                <w:szCs w:val="20"/>
              </w:rPr>
              <w:t xml:space="preserve"> at </w:t>
            </w:r>
            <w:r w:rsidRPr="00F70C5B">
              <w:rPr>
                <w:sz w:val="20"/>
                <w:szCs w:val="20"/>
              </w:rPr>
              <w:t>37ºC</w:t>
            </w:r>
          </w:p>
        </w:tc>
        <w:tc>
          <w:tcPr>
            <w:tcW w:w="1190" w:type="dxa"/>
            <w:tcBorders>
              <w:top w:val="single" w:sz="18" w:space="0" w:color="auto"/>
            </w:tcBorders>
            <w:vAlign w:val="center"/>
          </w:tcPr>
          <w:p w:rsidR="004E16D1" w:rsidRPr="004A350A" w:rsidRDefault="002A6C4B" w:rsidP="008A4F5C">
            <w:pPr>
              <w:jc w:val="center"/>
              <w:rPr>
                <w:sz w:val="20"/>
                <w:szCs w:val="20"/>
              </w:rPr>
            </w:pPr>
            <w:r>
              <w:rPr>
                <w:sz w:val="20"/>
                <w:szCs w:val="20"/>
              </w:rPr>
              <w:t>ENU</w:t>
            </w:r>
          </w:p>
        </w:tc>
        <w:tc>
          <w:tcPr>
            <w:tcW w:w="1190" w:type="dxa"/>
            <w:vMerge w:val="restart"/>
            <w:tcBorders>
              <w:top w:val="single" w:sz="18" w:space="0" w:color="auto"/>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{"citationItems":[{"id":"ITEM-1","itemData":{"ISBN":"0027-8424 (Print) 0027-8424 (Linking)","ISSN":"0027-8424","PMID":"15630097","abstract":"TP53 is the most frequently mutated tumor suppressor gene in human cancer, with nearly 50% of all tumors exhibiting a loss-of-function mutation. To further elucidate the genetic pathways involving TP53 and cancer, we have exploited the zebrafish, a powerful vertebrate model system that is amenable to whole-genome forward-genetic analysis and synthetic-lethal screens. Zebrafish lines harboring missense mutations in the tp53 DNA-binding domain were identified by using a target-selected mutagenesis strategy. Homozygous mutant fish from two of these lines were viable and exhibited mutations similar to those found in human cancers (tp53(N168K) and tp53(M214K)). Although homozygous tp53(N168K) mutants were temperature-sensitive and suppressed radiation-induced apoptosis only at 37 degrees C, cells in the tp53(M214K) embryos failed to undergo apoptosis in response to gamma radiation at both 28 and 37 degrees C. Unlike wild-type control embryos, irradiated tp53(M214K) embryos also failed to up-regulate p21 and did not arrest at the G(1)/S checkpoint. Beginning at 8.5 months of age, 28% of tp53(M214K) mutant fish developed malignant peripheral nerve sheath tumors. In addition to providing a model for studying the molecular pathogenic pathways of malignant peripheral nerve sheath tumors, these mutant zebrafish lines provide a unique platform for modifier screens to identify genetic mutations or small molecules that affect tp53-related pathways, including apoptosis, cell-cycle delay, and tumor suppression.","author":[{"dropping-particle":"","family":"Berghmans","given":"Stéphane","non-dropping-particle":"","parse-names":false,"suffix":""},{"dropping-particle":"","family":"Murphey","given":"Ryan D","non-dropping-particle":"","parse-names":false,"suffix":""},{"dropping-particle":"","family":"Wienholds","given":"Erno","non-dropping-particle":"","parse-names":false,"suffix":""},{"dropping-particle":"","family":"Neuberg","given":"Donna","non-dropping-particle":"","parse-names":false,"suffix":""},{"dropping-particle":"","family":"Kutok","given":"Jeffery L","non-dropping-particle":"","parse-names":false,"suffix":""},{"dropping-particle":"","family":"Fletcher","given":"Christopher D M","non-dropping-particle":"","parse-names":false,"suffix":""},{"dropping-particle":"","family":"Morris","given":"John P","non-dropping-particle":"","parse-names":false,"suffix":""},{"dropping-particle":"","family":"Liu","given":"Ting Xi","non-dropping-particle":"","parse-names":false,"suffix":""},{"dropping-particle":"","family":"Schulte-Merker","given":"Stefan","non-dropping-particle":"","parse-names":false,"suffix":""},{"dropping-particle":"","family":"Kanki","given":"John P","non-dropping-particle":"","parse-names":false,"suffix":""},{"dropping-particle":"","family":"Plasterk","given":"Ronald","non-dropping-particle":"","parse-names":false,"suffix":""},{"dropping-particle":"","family":"Zon","given":"Leonard I","non-dropping-particle":"","parse-names":false,"suffix":""},{"dropping-particle":"","family":"Look","given":"A Thomas","non-dropping-particle":"","parse-names":false,"suffix":""}],"container-title":"Proc Natl Acad Sci U S A","id":"ITEM-1","issue":"2","issued":{"date-parts":[["2005"]]},"page":"407-412","title":"Tp53 Mutant Zebrafish Develop Malignant Peripheral Nerve Sheath Tumors","type":"article-journal","volume":"102"},"uris":["http://www.mendeley.com/documents/?uuid=4c20249c-da84-4cbb-9f45-dd718fa18a46"]}],"mendeley":{"formattedCitation":"(Berghmans et al., 2005)","plainTextFormattedCitation":"(Berghmans et al., 2005)","previouslyFormattedCitation":"(Berghmans et al., 2005)"},"properties":{"noteIndex":0},"schema":"https://github.com/citation-style-language/schema/raw/master/csl-citation.json"}</w:instrText>
            </w:r>
            <w:r w:rsidRPr="004A350A">
              <w:rPr>
                <w:sz w:val="20"/>
                <w:szCs w:val="20"/>
              </w:rPr>
              <w:fldChar w:fldCharType="separate"/>
            </w:r>
            <w:r w:rsidR="004E16D1" w:rsidRPr="00E60391">
              <w:rPr>
                <w:noProof/>
                <w:sz w:val="20"/>
                <w:szCs w:val="20"/>
              </w:rPr>
              <w:t>(Berghmans et al., 2005)</w:t>
            </w:r>
            <w:r w:rsidRPr="004A350A">
              <w:rPr>
                <w:sz w:val="20"/>
                <w:szCs w:val="20"/>
              </w:rPr>
              <w:fldChar w:fldCharType="end"/>
            </w:r>
          </w:p>
        </w:tc>
      </w:tr>
      <w:tr w:rsidR="004E16D1" w:rsidTr="00F97801">
        <w:trPr>
          <w:trHeight w:val="46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tp53</w:t>
            </w:r>
            <w:r w:rsidRPr="004A350A">
              <w:rPr>
                <w:sz w:val="20"/>
                <w:szCs w:val="20"/>
                <w:vertAlign w:val="superscript"/>
              </w:rPr>
              <w:t>M214K</w:t>
            </w:r>
          </w:p>
        </w:tc>
        <w:tc>
          <w:tcPr>
            <w:tcW w:w="1800" w:type="dxa"/>
            <w:vAlign w:val="center"/>
          </w:tcPr>
          <w:p w:rsidR="004E16D1" w:rsidRPr="004A350A" w:rsidRDefault="004E16D1" w:rsidP="00810DFC">
            <w:pPr>
              <w:jc w:val="center"/>
              <w:rPr>
                <w:sz w:val="20"/>
                <w:szCs w:val="20"/>
              </w:rPr>
            </w:pPr>
            <w:r w:rsidRPr="004A350A">
              <w:rPr>
                <w:sz w:val="20"/>
                <w:szCs w:val="20"/>
              </w:rPr>
              <w:t>MPNSTs</w:t>
            </w:r>
          </w:p>
        </w:tc>
        <w:tc>
          <w:tcPr>
            <w:tcW w:w="2474" w:type="dxa"/>
            <w:vMerge w:val="restart"/>
            <w:vAlign w:val="center"/>
          </w:tcPr>
          <w:p w:rsidR="004E16D1" w:rsidRPr="004A350A" w:rsidRDefault="004E16D1" w:rsidP="00B97458">
            <w:pPr>
              <w:jc w:val="center"/>
              <w:rPr>
                <w:sz w:val="20"/>
                <w:szCs w:val="20"/>
              </w:rPr>
            </w:pPr>
            <w:r w:rsidRPr="004A350A">
              <w:rPr>
                <w:sz w:val="20"/>
                <w:szCs w:val="20"/>
              </w:rPr>
              <w:t>Resistant to apoptosis following induction of DNA damage</w:t>
            </w:r>
          </w:p>
        </w:tc>
        <w:tc>
          <w:tcPr>
            <w:tcW w:w="1190" w:type="dxa"/>
            <w:vAlign w:val="center"/>
          </w:tcPr>
          <w:p w:rsidR="004E16D1" w:rsidRPr="004A350A" w:rsidRDefault="002A6C4B" w:rsidP="008A4F5C">
            <w:pPr>
              <w:jc w:val="center"/>
              <w:rPr>
                <w:sz w:val="20"/>
                <w:szCs w:val="20"/>
              </w:rPr>
            </w:pPr>
            <w:r>
              <w:rPr>
                <w:sz w:val="20"/>
                <w:szCs w:val="20"/>
              </w:rPr>
              <w:t>ENU</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46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tp53</w:t>
            </w:r>
            <w:r w:rsidRPr="004A350A">
              <w:rPr>
                <w:sz w:val="20"/>
                <w:szCs w:val="20"/>
                <w:vertAlign w:val="superscript"/>
              </w:rPr>
              <w:t>I166T</w:t>
            </w:r>
          </w:p>
        </w:tc>
        <w:tc>
          <w:tcPr>
            <w:tcW w:w="1800" w:type="dxa"/>
            <w:vAlign w:val="center"/>
          </w:tcPr>
          <w:p w:rsidR="004E16D1" w:rsidRPr="004A350A" w:rsidRDefault="004E16D1" w:rsidP="00810DFC">
            <w:pPr>
              <w:jc w:val="center"/>
              <w:rPr>
                <w:sz w:val="20"/>
                <w:szCs w:val="20"/>
              </w:rPr>
            </w:pPr>
            <w:r w:rsidRPr="004A350A">
              <w:rPr>
                <w:sz w:val="20"/>
                <w:szCs w:val="20"/>
              </w:rPr>
              <w:t>Sarcomas</w:t>
            </w: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2A6C4B" w:rsidP="008A4F5C">
            <w:pPr>
              <w:jc w:val="center"/>
              <w:rPr>
                <w:sz w:val="20"/>
                <w:szCs w:val="20"/>
              </w:rPr>
            </w:pPr>
            <w:r>
              <w:rPr>
                <w:sz w:val="20"/>
                <w:szCs w:val="20"/>
              </w:rPr>
              <w:t>ENU</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{"citationItems":[{"id":"ITEM-1","itemData":{"DOI":"10.1242/dmm.003749","ISBN":"1754-8411 (Electronic)\\r1754-8403 (Linking)","ISSN":"1754-8403","PMID":"20075382","abstract":"Li-Fraumeni syndrome (LFS) is a highly penetrant, autosomal dominant, human familial cancer predisposition. Although a key role for the tumor suppressor p53 has been implicated in LFS, the genetic and cellular mechanisms underpinning this disease remain unknown. Therefore, modeling LFS in a vertebrate system that is accessible to both large-scale genetic screens and in vivo cell biological studies will facilitate the in vivo dissection of disease mechanisms, help identify candidate genes, and spur the discovery of therapeutic compounds. Here, we describe a forward genetic screen in zebrafish embryos that was used to identify LFS candidate genes, which yielded a p53 mutant (p53(I166T)) that as an adult develops tumors, predominantly sarcomas, with 100% penetrance. As in humans with LFS, tumors arise in heterozygotes and display loss of heterozygosity (LOH). This report of LOH indicates that Knudson's two-hit hypothesis, a hallmark of human autosomal dominant cancer syndromes, can be modeled in zebrafish. Furthermore, as with some LFS mutations, the zebrafish p53(I166T) allele is a loss-of-function allele with dominant-negative activity in vivo. Additionally, we demonstrate that the p53 regulatory pathway, including Mdm2 regulation, is evolutionarily conserved in zebrafish, providing a bona fide biological context in which to systematically uncover novel modifier genes and therapeutic agents for human LFS.","author":[{"dropping-particle":"","family":"Parant","given":"J. M.","non-dropping-particle":"","parse-names":false,"suffix":""},{"dropping-particle":"","family":"George","given":"S. A.","non-dropping-particle":"","parse-names":false,"suffix":""},{"dropping-particle":"","family":"Holden","given":"J. A.","non-dropping-particle":"","parse-names":false,"suffix":""},{"dropping-particle":"","family":"Yost","given":"H. J.","non-dropping-particle":"","parse-names":false,"suffix":""}],"container-title":"Disease Models &amp; Mechanisms","id":"ITEM-1","issue":"1-2","issued":{"date-parts":[["2010"]]},"page":"45-56","title":"Genetic modeling of Li-Fraumeni syndrome in zebrafish","type":"article-journal","volume":"3"},"uris":["http://www.mendeley.com/documents/?uuid=9c31afa1-28e3-4ef4-a366-2185d9fa60c6","http://www.mendeley.com/documents/?uuid=9af0576c-9af0-48af-aec7-38c94cea4b41"]}],"mendeley":{"formattedCitation":"(Parant et al., 2010)","plainTextFormattedCitation":"(Parant et al., 2010)","previouslyFormattedCitation":"(Parant et al., 2010)"},"properties":{"noteIndex":0},"schema":"https://github.com/citation-style-language/schema/raw/master/csl-citation.json"}</w:instrText>
            </w:r>
            <w:r w:rsidRPr="004A350A">
              <w:rPr>
                <w:sz w:val="20"/>
                <w:szCs w:val="20"/>
              </w:rPr>
              <w:fldChar w:fldCharType="separate"/>
            </w:r>
            <w:r w:rsidR="004E16D1" w:rsidRPr="004A350A">
              <w:rPr>
                <w:noProof/>
                <w:sz w:val="20"/>
                <w:szCs w:val="20"/>
              </w:rPr>
              <w:t>(Parant et al., 2010)</w:t>
            </w:r>
            <w:r w:rsidRPr="004A350A">
              <w:rPr>
                <w:sz w:val="20"/>
                <w:szCs w:val="20"/>
              </w:rPr>
              <w:fldChar w:fldCharType="end"/>
            </w:r>
          </w:p>
        </w:tc>
      </w:tr>
      <w:tr w:rsidR="004E16D1" w:rsidTr="00F97801">
        <w:trPr>
          <w:trHeight w:val="46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color w:val="000000" w:themeColor="text1"/>
                <w:sz w:val="20"/>
                <w:szCs w:val="20"/>
              </w:rPr>
              <w:t>tp53</w:t>
            </w:r>
            <w:r>
              <w:rPr>
                <w:color w:val="000000" w:themeColor="text1"/>
                <w:sz w:val="20"/>
                <w:szCs w:val="20"/>
                <w:vertAlign w:val="superscript"/>
              </w:rPr>
              <w:t>-/-</w:t>
            </w:r>
          </w:p>
        </w:tc>
        <w:tc>
          <w:tcPr>
            <w:tcW w:w="1800" w:type="dxa"/>
            <w:vAlign w:val="center"/>
          </w:tcPr>
          <w:p w:rsidR="004E16D1" w:rsidRPr="004A350A" w:rsidRDefault="004E16D1" w:rsidP="00810DFC">
            <w:pPr>
              <w:jc w:val="center"/>
              <w:rPr>
                <w:sz w:val="20"/>
                <w:szCs w:val="20"/>
              </w:rPr>
            </w:pPr>
            <w:r w:rsidRPr="004A350A">
              <w:rPr>
                <w:color w:val="000000" w:themeColor="text1"/>
                <w:sz w:val="20"/>
                <w:szCs w:val="20"/>
              </w:rPr>
              <w:t>MPNSTs, angiosarcomas, germ cell tumors, a natural killer cell-like leukemia</w:t>
            </w: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2A6C4B" w:rsidP="008A4F5C">
            <w:pPr>
              <w:jc w:val="center"/>
              <w:rPr>
                <w:sz w:val="20"/>
                <w:szCs w:val="20"/>
              </w:rPr>
            </w:pPr>
            <w:r>
              <w:rPr>
                <w:sz w:val="20"/>
                <w:szCs w:val="20"/>
              </w:rPr>
              <w:t>TALEN</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{"citationItems":[{"id":"ITEM-1","itemData":{"DOI":"10.7554/eLife.37202.001","abstract":"The TP53 tumor-suppressor gene is mutated in &gt;50% of human tumors and Li-Fraumeni patients with germ line inactivation are predisposed to developing cancer. Here, we generated tp53 deleted zebrafish that spontaneously develop malignant peripheral nerve-sheath tumors, angiosarcomas, germ cell tumors, and an aggressive Natural Killer cell-like leukemia for which no animal model has been developed. Because the tp53 deletion was generated in syngeneic zebrafish, engraftment of fluorescent-labeled tumors could be dynamically visualized over time. Importantly, engrafted tumors shared gene expression signatures with predicted cells of origin in human tissue. Finally, we showed that tp53 del/del enhanced invasion and metastasis in kRAS G12D-induced embryonal rhabdomyosarcoma (ERMS), but did not alter the overall frequency of cancer stem cells, suggesting novel pro-metastatic roles for TP53 loss-of-function in human muscle tumors. In summary, we have developed a Li-Fraumeni zebrafish model that is amenable to large-scale transplantation and direct visualization of tumor growth in live animals.","author":[{"dropping-particle":"","family":"Ignatius","given":"Myron S","non-dropping-particle":"","parse-names":false,"suffix":""},{"dropping-particle":"","family":"Hayes","given":"Madeline N","non-dropping-particle":"","parse-names":false,"suffix":""},{"dropping-particle":"","family":"Moore","given":"Finola E","non-dropping-particle":"","parse-names":false,"suffix":""},{"dropping-particle":"","family":"Tang","given":"Qin","non-dropping-particle":"","parse-names":false,"suffix":""},{"dropping-particle":"","family":"Garcia","given":"Sara P","non-dropping-particle":"","parse-names":false,"suffix":""},{"dropping-particle":"","family":"Blackburn","given":"Patrick R","non-dropping-particle":"","parse-names":false,"suffix":""},{"dropping-particle":"","family":"Baxi","given":"Kunal","non-dropping-particle":"","parse-names":false,"suffix":""},{"dropping-particle":"","family":"Wang","given":"Long","non-dropping-particle":"","parse-names":false,"suffix":""},{"dropping-particle":"","family":"Jin","given":"Alexander","non-dropping-particle":"","parse-names":false,"suffix":""},{"dropping-particle":"","family":"Ramakrishnan","given":"Ashwin","non-dropping-particle":"","parse-names":false,"suffix":""},{"dropping-particle":"","family":"Reeder","given":"Sophia","non-dropping-particle":"","parse-names":false,"suffix":""},{"dropping-particle":"","family":"Chen","given":"Yidong","non-dropping-particle":"","parse-names":false,"suffix":""},{"dropping-particle":"","family":"Nielsen","given":"Gunnlaugur Petur","non-dropping-particle":"","parse-names":false,"suffix":""},{"dropping-particle":"","family":"Chen","given":"Eleanor Y","non-dropping-particle":"","parse-names":false,"suffix":""},{"dropping-particle":"","family":"Hasserjian","given":"Robert P","non-dropping-particle":"","parse-names":false,"suffix":""},{"dropping-particle":"","family":"Tirode","given":"Franck","non-dropping-particle":"","parse-names":false,"suffix":""},{"dropping-particle":"","family":"Ekker","given":"Stephen C","non-dropping-particle":"","parse-names":false,"suffix":""},{"dropping-particle":"","family":"Langenau","given":"David M","non-dropping-particle":"","parse-names":false,"suffix":""}],"id":"ITEM-1","issued":{"date-parts":[["2018"]]},"title":"tp53 deficiency causes a wide tumor spectrum and increases embryonal rhabdomyosarcoma metastasis in zebrafish","type":"article-journal"},"uris":["http://www.mendeley.com/documents/?uuid=d83cf064-aa05-32da-b24a-b93a090df87b"]}],"mendeley":{"formattedCitation":"(Ignatius et al., 2018)","plainTextFormattedCitation":"(Ignatius et al., 2018)","previouslyFormattedCitation":"(Ignatius et al., 2018)"},"properties":{"noteIndex":0},"schema":"https://github.com/citation-style-language/schema/raw/master/csl-citation.json"}</w:instrText>
            </w:r>
            <w:r w:rsidRPr="004A350A">
              <w:rPr>
                <w:sz w:val="20"/>
                <w:szCs w:val="20"/>
              </w:rPr>
              <w:fldChar w:fldCharType="separate"/>
            </w:r>
            <w:r w:rsidR="004E16D1" w:rsidRPr="002E7A22">
              <w:rPr>
                <w:noProof/>
                <w:sz w:val="20"/>
                <w:szCs w:val="20"/>
              </w:rPr>
              <w:t>(Ignatius et al., 2018)</w:t>
            </w:r>
            <w:r w:rsidRPr="004A350A">
              <w:rPr>
                <w:sz w:val="20"/>
                <w:szCs w:val="20"/>
              </w:rPr>
              <w:fldChar w:fldCharType="end"/>
            </w:r>
          </w:p>
        </w:tc>
      </w:tr>
      <w:tr w:rsidR="004E16D1" w:rsidTr="00F97801">
        <w:trPr>
          <w:trHeight w:val="46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color w:val="000000" w:themeColor="text1"/>
                <w:sz w:val="20"/>
                <w:szCs w:val="20"/>
              </w:rPr>
              <w:t>tp53</w:t>
            </w:r>
            <w:r w:rsidRPr="004A350A">
              <w:rPr>
                <w:color w:val="000000" w:themeColor="text1"/>
                <w:sz w:val="20"/>
                <w:szCs w:val="20"/>
                <w:vertAlign w:val="superscript"/>
              </w:rPr>
              <w:t>R217H</w:t>
            </w:r>
          </w:p>
        </w:tc>
        <w:tc>
          <w:tcPr>
            <w:tcW w:w="1800" w:type="dxa"/>
            <w:vAlign w:val="center"/>
          </w:tcPr>
          <w:p w:rsidR="004E16D1" w:rsidRPr="004A350A" w:rsidRDefault="004E16D1" w:rsidP="00810DFC">
            <w:pPr>
              <w:jc w:val="center"/>
              <w:rPr>
                <w:sz w:val="20"/>
                <w:szCs w:val="20"/>
              </w:rPr>
            </w:pPr>
            <w:r w:rsidRPr="004A350A">
              <w:rPr>
                <w:sz w:val="20"/>
                <w:szCs w:val="20"/>
              </w:rPr>
              <w:t>Not yet characterized</w:t>
            </w:r>
          </w:p>
        </w:tc>
        <w:tc>
          <w:tcPr>
            <w:tcW w:w="2474" w:type="dxa"/>
            <w:vAlign w:val="center"/>
          </w:tcPr>
          <w:p w:rsidR="004E16D1" w:rsidRPr="004A350A" w:rsidRDefault="004E16D1" w:rsidP="00810DFC">
            <w:pPr>
              <w:jc w:val="center"/>
              <w:rPr>
                <w:sz w:val="20"/>
                <w:szCs w:val="20"/>
              </w:rPr>
            </w:pPr>
            <w:r w:rsidRPr="004A350A">
              <w:rPr>
                <w:sz w:val="20"/>
                <w:szCs w:val="20"/>
              </w:rPr>
              <w:t>Not yet characterized</w:t>
            </w:r>
          </w:p>
        </w:tc>
        <w:tc>
          <w:tcPr>
            <w:tcW w:w="1190" w:type="dxa"/>
            <w:vAlign w:val="center"/>
          </w:tcPr>
          <w:p w:rsidR="004E16D1" w:rsidRPr="004A350A" w:rsidRDefault="002A6C4B" w:rsidP="008A4F5C">
            <w:pPr>
              <w:jc w:val="center"/>
              <w:rPr>
                <w:color w:val="000000" w:themeColor="text1"/>
                <w:sz w:val="20"/>
                <w:szCs w:val="20"/>
              </w:rPr>
            </w:pPr>
            <w:r>
              <w:rPr>
                <w:color w:val="000000" w:themeColor="text1"/>
                <w:sz w:val="20"/>
                <w:szCs w:val="20"/>
              </w:rPr>
              <w:t>CRISPR</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color w:val="000000" w:themeColor="text1"/>
                <w:sz w:val="20"/>
                <w:szCs w:val="20"/>
              </w:rPr>
              <w:fldChar w:fldCharType="begin" w:fldLock="1"/>
            </w:r>
            <w:r w:rsidR="004E16D1">
              <w:rPr>
                <w:color w:val="000000" w:themeColor="text1"/>
                <w:sz w:val="20"/>
                <w:szCs w:val="20"/>
              </w:rPr>
              <w:instrText>ADDIN CSL_CITATION {"citationItems":[{"id":"ITEM-1","itemData":{"DOI":"10.1093/nar/gky512","ISSN":"13624962","PMID":"30053067","abstract":"We have optimized point mutation knock-ins into zebrafish genomic sites using clustered regularly interspaced palindromic repeats (CRISPR)/Cas9 reagents and single-stranded oligodeoxynucleotides. The efficiency of knock-ins was assessed by a novel application of allele-specific polymerase chain reaction and confirmed by high-throughput sequencing. Anti-sense asymmetric oligo design was found to be the most successful optimization strategy. However, cut site proximity to the mutation and phosphorothioate oligo modifications also greatly improved knock-in efficiency. A previously unrecognized risk of off-target trans knock-ins was identified that we obviated through the development of a workflow for correct knock-in detection. Together these strategies greatly facilitate the study of human genetic diseases in zebrafish, with additional applicability to enhance CRISPR-based approaches in other animal model systems.","author":[{"dropping-particle":"V.","family":"Prykhozhij","given":"Sergey","non-dropping-particle":"","parse-names":false,"suffix":""},{"dropping-particle":"","family":"Fuller","given":"Charlotte","non-dropping-particle":"","parse-names":false,"suffix":""},{"dropping-particle":"","family":"Steele","given":"Shelby L.","non-dropping-particle":"","parse-names":false,"suffix":""},{"dropping-particle":"","family":"Veinotte","given":"Chansey J.","non-dropping-particle":"","parse-names":false,"suffix":""},{"dropping-particle":"","family":"Razaghi","given":"Babak","non-dropping-particle":"","parse-names":false,"suffix":""},{"dropping-particle":"","family":"Robitaille","given":"Johane M.","non-dropping-particle":"","parse-names":false,"suffix":""},{"dropping-particle":"","family":"McMaster","given":"Christopher R.","non-dropping-particle":"","parse-names":false,"suffix":""},{"dropping-particle":"","family":"Shlien","given":"Adam","non-dropping-particle":"","parse-names":false,"suffix":""},{"dropping-particle":"","family":"Malkin","given":"David","non-dropping-particle":"","parse-names":false,"suffix":""},{"dropping-particle":"","family":"Berman","given":"Jason N.","non-dropping-particle":"","parse-names":false,"suffix":""}],"container-title":"Nucleic Acids Research","id":"ITEM-1","issue":"17","issued":{"date-parts":[["2018"]]},"publisher":"Oxford University Press","title":"Optimized knock-in of point mutations in zebrafish using CRISPR/Cas9","type":"article-journal","volume":"46"},"uris":["http://www.mendeley.com/documents/?uuid=f2522fcd-2e56-439c-9161-fd2b1617f3c0","http://www.mendeley.com/documents/?uuid=6b046b8d-cfde-38b0-939f-9ae1014bf288"]}],"mendeley":{"formattedCitation":"(Prykhozhij et al., 2018b)","plainTextFormattedCitation":"(Prykhozhij et al., 2018b)","previouslyFormattedCitation":"(Prykhozhij et al., 2018b)"},"properties":{"noteIndex":0},"schema":"https://github.com/citation-style-language/schema/raw/master/csl-citation.json"}</w:instrText>
            </w:r>
            <w:r w:rsidRPr="004A350A">
              <w:rPr>
                <w:color w:val="000000" w:themeColor="text1"/>
                <w:sz w:val="20"/>
                <w:szCs w:val="20"/>
              </w:rPr>
              <w:fldChar w:fldCharType="separate"/>
            </w:r>
            <w:r w:rsidR="004E16D1" w:rsidRPr="004A350A">
              <w:rPr>
                <w:noProof/>
                <w:color w:val="000000" w:themeColor="text1"/>
                <w:sz w:val="20"/>
                <w:szCs w:val="20"/>
              </w:rPr>
              <w:t>(Prykhozhij et al., 2018b)</w:t>
            </w:r>
            <w:r w:rsidRPr="004A350A">
              <w:rPr>
                <w:color w:val="000000" w:themeColor="text1"/>
                <w:sz w:val="20"/>
                <w:szCs w:val="20"/>
              </w:rPr>
              <w:fldChar w:fldCharType="end"/>
            </w:r>
          </w:p>
        </w:tc>
      </w:tr>
      <w:tr w:rsidR="004E16D1" w:rsidTr="00F97801">
        <w:trPr>
          <w:trHeight w:val="674"/>
          <w:jc w:val="center"/>
        </w:trPr>
        <w:tc>
          <w:tcPr>
            <w:tcW w:w="1513" w:type="dxa"/>
            <w:tcBorders>
              <w:left w:val="single" w:sz="18" w:space="0" w:color="auto"/>
            </w:tcBorders>
            <w:vAlign w:val="center"/>
          </w:tcPr>
          <w:p w:rsidR="004E16D1" w:rsidRPr="004A350A" w:rsidRDefault="004E16D1" w:rsidP="00810DFC">
            <w:pPr>
              <w:jc w:val="center"/>
              <w:rPr>
                <w:sz w:val="20"/>
                <w:szCs w:val="20"/>
              </w:rPr>
            </w:pPr>
            <w:r w:rsidRPr="004A350A">
              <w:rPr>
                <w:sz w:val="20"/>
                <w:szCs w:val="20"/>
              </w:rPr>
              <w:t>Familial Adenomatous Polyposis</w:t>
            </w:r>
          </w:p>
        </w:tc>
        <w:tc>
          <w:tcPr>
            <w:tcW w:w="1074" w:type="dxa"/>
            <w:vAlign w:val="center"/>
          </w:tcPr>
          <w:p w:rsidR="004E16D1" w:rsidRPr="004A350A" w:rsidRDefault="004E16D1" w:rsidP="00810DFC">
            <w:pPr>
              <w:jc w:val="center"/>
              <w:rPr>
                <w:sz w:val="20"/>
                <w:szCs w:val="20"/>
              </w:rPr>
            </w:pPr>
            <w:r w:rsidRPr="004A350A">
              <w:rPr>
                <w:i/>
                <w:iCs/>
                <w:sz w:val="20"/>
                <w:szCs w:val="20"/>
              </w:rPr>
              <w:t>APC</w:t>
            </w:r>
          </w:p>
        </w:tc>
        <w:tc>
          <w:tcPr>
            <w:tcW w:w="1440" w:type="dxa"/>
            <w:vAlign w:val="center"/>
          </w:tcPr>
          <w:p w:rsidR="004E16D1" w:rsidRPr="004A350A" w:rsidRDefault="004E16D1" w:rsidP="00810DFC">
            <w:pPr>
              <w:jc w:val="center"/>
              <w:rPr>
                <w:sz w:val="20"/>
                <w:szCs w:val="20"/>
              </w:rPr>
            </w:pPr>
            <w:r w:rsidRPr="004A350A">
              <w:rPr>
                <w:i/>
                <w:iCs/>
                <w:sz w:val="20"/>
                <w:szCs w:val="20"/>
              </w:rPr>
              <w:t>apc</w:t>
            </w:r>
            <w:r w:rsidRPr="004A350A">
              <w:rPr>
                <w:sz w:val="20"/>
                <w:szCs w:val="20"/>
                <w:vertAlign w:val="superscript"/>
              </w:rPr>
              <w:t>MCR</w:t>
            </w:r>
            <w:r>
              <w:rPr>
                <w:sz w:val="20"/>
                <w:szCs w:val="20"/>
                <w:vertAlign w:val="superscript"/>
              </w:rPr>
              <w:t>/MCR</w:t>
            </w:r>
          </w:p>
        </w:tc>
        <w:tc>
          <w:tcPr>
            <w:tcW w:w="1800" w:type="dxa"/>
            <w:vAlign w:val="center"/>
          </w:tcPr>
          <w:p w:rsidR="004E16D1" w:rsidRPr="004A350A" w:rsidRDefault="004E16D1" w:rsidP="00810DFC">
            <w:pPr>
              <w:jc w:val="center"/>
              <w:rPr>
                <w:sz w:val="20"/>
                <w:szCs w:val="20"/>
              </w:rPr>
            </w:pPr>
            <w:r w:rsidRPr="004A350A">
              <w:rPr>
                <w:sz w:val="20"/>
                <w:szCs w:val="20"/>
              </w:rPr>
              <w:t>Intestinal adenomas in heterozygotes</w:t>
            </w:r>
          </w:p>
        </w:tc>
        <w:tc>
          <w:tcPr>
            <w:tcW w:w="2474" w:type="dxa"/>
            <w:vAlign w:val="center"/>
          </w:tcPr>
          <w:p w:rsidR="004E16D1" w:rsidRPr="004A350A" w:rsidRDefault="004E16D1" w:rsidP="00810DFC">
            <w:pPr>
              <w:jc w:val="center"/>
              <w:rPr>
                <w:sz w:val="20"/>
                <w:szCs w:val="20"/>
              </w:rPr>
            </w:pPr>
            <w:r w:rsidRPr="004A350A">
              <w:rPr>
                <w:sz w:val="20"/>
                <w:szCs w:val="20"/>
              </w:rPr>
              <w:t>Cardiac valve defect,</w:t>
            </w:r>
            <w:r>
              <w:rPr>
                <w:sz w:val="20"/>
                <w:szCs w:val="20"/>
              </w:rPr>
              <w:t xml:space="preserve"> curved body types, lack colonocyte differentiation,</w:t>
            </w:r>
            <w:r w:rsidRPr="004A350A">
              <w:rPr>
                <w:sz w:val="20"/>
                <w:szCs w:val="20"/>
              </w:rPr>
              <w:t xml:space="preserve"> do not survive past 15dpf</w:t>
            </w:r>
          </w:p>
        </w:tc>
        <w:tc>
          <w:tcPr>
            <w:tcW w:w="1190" w:type="dxa"/>
            <w:vAlign w:val="center"/>
          </w:tcPr>
          <w:p w:rsidR="004E16D1" w:rsidRDefault="002A6C4B" w:rsidP="008A4F5C">
            <w:pPr>
              <w:jc w:val="center"/>
              <w:rPr>
                <w:sz w:val="20"/>
                <w:szCs w:val="20"/>
              </w:rPr>
            </w:pPr>
            <w:r>
              <w:rPr>
                <w:sz w:val="20"/>
                <w:szCs w:val="20"/>
              </w:rPr>
              <w:t>ENU</w:t>
            </w:r>
          </w:p>
        </w:tc>
        <w:tc>
          <w:tcPr>
            <w:tcW w:w="1190" w:type="dxa"/>
            <w:tcBorders>
              <w:right w:val="single" w:sz="18" w:space="0" w:color="auto"/>
            </w:tcBorders>
            <w:vAlign w:val="center"/>
          </w:tcPr>
          <w:p w:rsidR="004E16D1" w:rsidRPr="004A350A" w:rsidRDefault="00A23EBF" w:rsidP="00810DFC">
            <w:pPr>
              <w:jc w:val="center"/>
              <w:rPr>
                <w:sz w:val="20"/>
                <w:szCs w:val="20"/>
              </w:rPr>
            </w:pPr>
            <w:r>
              <w:rPr>
                <w:sz w:val="20"/>
                <w:szCs w:val="20"/>
              </w:rPr>
              <w:fldChar w:fldCharType="begin" w:fldLock="1"/>
            </w:r>
            <w:r w:rsidR="004E16D1">
              <w:rPr>
                <w:sz w:val="20"/>
                <w:szCs w:val="20"/>
              </w:rPr>
              <w:instrText>ADDIN CSL_CITATION {"citationItems":[{"id":"ITEM-1","itemData":{"DOI":"10.1038/nature02028","ISSN":"0028-0836","author":[{"dropping-particle":"","family":"Hurlstone","given":"Adam F. L.","non-dropping-particle":"","parse-names":false,"suffix":""},{"dropping-particle":"","family":"Haramis","given":"Anna-Pavlina G.","non-dropping-particle":"","parse-names":false,"suffix":""},{"dropping-particle":"","family":"Wienholds","given":"Erno","non-dropping-particle":"","parse-names":false,"suffix":""},{"dropping-particle":"","family":"Begthel","given":"Harry","non-dropping-particle":"","parse-names":false,"suffix":""},{"dropping-particle":"","family":"Korving","given":"Jeroen","non-dropping-particle":"","parse-names":false,"suffix":""},{"dropping-particle":"","family":"Eeden","given":"Fredericus","non-dropping-particle":"van","parse-names":false,"suffix":""},{"dropping-particle":"","family":"Cuppen","given":"Edwin","non-dropping-particle":"","parse-names":false,"suffix":""},{"dropping-particle":"","family":"Zivkovic","given":"Danica","non-dropping-particle":"","parse-names":false,"suffix":""},{"dropping-particle":"","family":"Plasterk","given":"Ronald H. A.","non-dropping-particle":"","parse-names":false,"suffix":""},{"dropping-particle":"","family":"Clevers","given":"Hans","non-dropping-particle":"","parse-names":false,"suffix":""}],"container-title":"Nature","id":"ITEM-1","issue":"6958","issued":{"date-parts":[["2003","10"]]},"title":"The Wnt/β-catenin pathway regulates cardiac valve formation","type":"article-journal","volume":"425"},"uris":["http://www.mendeley.com/documents/?uuid=1a081042-4a1d-3b9b-9c94-7868b82146cf"]},{"id":"ITEM-2","itemData":{"DOI":"https://doi.org/10.1038/sj.embor.7400638","ISSN":"1469-221X","abstract":"Truncation of the tumour suppressor adenomatous polyposis coli (APC) constitutively activates the Wnt/?-catenin signalling pathway. This event constitutes the primary transforming event in sporadic colorectal cancer in humans. Moreover, humans or mice carrying germline truncating mutations in APC develop large numbers of intestinal adenomas. Here, we report that zebrafish that are heterozygous for a truncating APC mutation spontaneously develop intestinal, hepatic and pancreatic neoplasias that are highly proliferative, accumulate ?-catenin and express Wnt target genes. Treatment with the chemical carcinogen 7,12-dimethylbenz[a]anthracene accelerates the induction of these lesions. These observations establish apc-mutant zebrafish as a bona fide model for the study of digestive tract cancer.","author":[{"dropping-particle":"","family":"Haramis","given":"Anna-Pavlina G","non-dropping-particle":"","parse-names":false,"suffix":""},{"dropping-particle":"","family":"Hurlstone","given":"Adam","non-dropping-particle":"","parse-names":false,"suffix":""},{"dropping-particle":"","family":"Velden","given":"Yme","non-dropping-particle":"van der","parse-names":false,"suffix":""},{"dropping-particle":"","family":"Begthel","given":"Harry","non-dropping-particle":"","parse-names":false,"suffix":""},{"dropping-particle":"","family":"Born","given":"Maaike","non-dropping-particle":"van den","parse-names":false,"suffix":""},{"dropping-particle":"","family":"Offerhaus","given":"G Johan A","non-dropping-particle":"","parse-names":false,"suffix":""},{"dropping-particle":"","family":"Clevers","given":"Hans C","non-dropping-particle":"","parse-names":false,"suffix":""}],"container-title":"EMBO reports","id":"ITEM-2","issue":"4","issued":{"date-parts":[["2006","3"]]},"page":"444-449","publisher":"John Wiley &amp; Sons, Ltd","title":"Adenomatous polyposis coli-deficient zebrafish are susceptible to digestive tract neoplasia","type":"article-journal","volume":"7"},"uris":["http://www.mendeley.com/documents/?uuid=4928b422-4ec9-4670-95ed-dd01116cd4c4"]},{"id":"ITEM-3","itemData":{"DOI":"10.1074/JBC.M504973200","ISSN":"0021-9258","PMID":"15967793","author":[{"dropping-particle":"","family":"Nadauld","given":"Lincoln D.","non-dropping-particle":"","parse-names":false,"suffix":""},{"dropping-particle":"","family":"Shelton","given":"Dawne N.","non-dropping-particle":"","parse-names":false,"suffix":""},{"dropping-particle":"","family":"Chidester","given":"Stephanie","non-dropping-particle":"","parse-names":false,"suffix":""},{"dropping-particle":"","family":"Yost","given":"H. Joseph","non-dropping-particle":"","parse-names":false,"suffix":""},{"dropping-particle":"","family":"Jones","given":"David A.","non-dropping-particle":"","parse-names":false,"suffix":""}],"container-title":"Journal of Biological Chemistry","id":"ITEM-3","issue":"34","issued":{"date-parts":[["2005","8","26"]]},"page":"30490-30495","publisher":"American Society for Biochemistry and Molecular Biology","title":"The Zebrafish Retinol Dehydrogenase, rdh1l, Is Essential for Intestinal Development and Is Regulated by the Tumor Suppressor Adenomatous Polyposis Coli","type":"article-journal","volume":"280"},"uris":["http://www.mendeley.com/documents/?uuid=514fce75-1d47-3a6f-86ae-175f20c4638d"]}],"mendeley":{"formattedCitation":"(Hurlstone et al., 2003; Nadauld et al., 2005; Haramis et al., 2006)","plainTextFormattedCitation":"(Hurlstone et al., 2003; Nadauld et al., 2005; Haramis et al., 2006)","previouslyFormattedCitation":"(Hurlstone et al., 2003; Nadauld et al., 2005; Haramis et al., 2006)"},"properties":{"noteIndex":0},"schema":"https://github.com/citation-style-language/schema/raw/master/csl-citation.json"}</w:instrText>
            </w:r>
            <w:r>
              <w:rPr>
                <w:sz w:val="20"/>
                <w:szCs w:val="20"/>
              </w:rPr>
              <w:fldChar w:fldCharType="separate"/>
            </w:r>
            <w:r w:rsidR="004E16D1" w:rsidRPr="006640FD">
              <w:rPr>
                <w:noProof/>
                <w:sz w:val="20"/>
                <w:szCs w:val="20"/>
              </w:rPr>
              <w:t>(Hurlstone et al., 2003; Nadauld et al., 2005; Haramis et al., 2006)</w:t>
            </w:r>
            <w:r>
              <w:rPr>
                <w:sz w:val="20"/>
                <w:szCs w:val="20"/>
              </w:rPr>
              <w:fldChar w:fldCharType="end"/>
            </w:r>
            <w:r w:rsidRPr="004A350A">
              <w:rPr>
                <w:sz w:val="20"/>
                <w:szCs w:val="20"/>
              </w:rPr>
              <w:fldChar w:fldCharType="begin" w:fldLock="1"/>
            </w:r>
            <w:r w:rsidR="004E16D1">
              <w:rPr>
                <w:sz w:val="20"/>
                <w:szCs w:val="20"/>
              </w:rPr>
              <w:instrText>ADDIN CSL_CITATION {"citationItems":[{"id":"ITEM-1","itemData":{"DOI":"10.1038/nature02028","ISSN":"0028-0836","author":[{"dropping-particle":"","family":"Hurlstone","given":"Adam F. L.","non-dropping-particle":"","parse-names":false,"suffix":""},{"dropping-particle":"","family":"Haramis","given":"Anna-Pavlina G.","non-dropping-particle":"","parse-names":false,"suffix":""},{"dropping-particle":"","family":"Wienholds","given":"Erno","non-dropping-particle":"","parse-names":false,"suffix":""},{"dropping-particle":"","family":"Begthel","given":"Harry","non-dropping-particle":"","parse-names":false,"suffix":""},{"dropping-particle":"","family":"Korving","given":"Jeroen","non-dropping-particle":"","parse-names":false,"suffix":""},{"dropping-particle":"","family":"Eeden","given":"Fredericus","non-dropping-particle":"van","parse-names":false,"suffix":""},{"dropping-particle":"","family":"Cuppen","given":"Edwin","non-dropping-particle":"","parse-names":false,"suffix":""},{"dropping-particle":"","family":"Zivkovic","given":"Danica","non-dropping-particle":"","parse-names":false,"suffix":""},{"dropping-particle":"","family":"Plasterk","given":"Ronald H. A.","non-dropping-particle":"","parse-names":false,"suffix":""},{"dropping-particle":"","family":"Clevers","given":"Hans","non-dropping-particle":"","parse-names":false,"suffix":""}],"container-title":"Nature","id":"ITEM-1","issue":"6958","issued":{"date-parts":[["2003","10"]]},"title":"The Wnt/β-catenin pathway regulates cardiac valve formation","type":"article-journal","volume":"425"},"uris":["http://www.mendeley.com/documents/?uuid=1a081042-4a1d-3b9b-9c94-7868b82146cf","http://www.mendeley.com/documents/?uuid=0063f347-3903-4889-a843-43d26fc90944"]},{"id":"ITEM-2","itemData":{"DOI":"https://doi.org/10.1038/sj.embor.7400638","ISSN":"1469-221X","abstract":"Truncation of the tumour suppressor adenomatous polyposis coli (APC) constitutively activates the Wnt/?-catenin signalling pathway. This event constitutes the primary transforming event in sporadic colorectal cancer in humans. Moreover, humans or mice carrying germline truncating mutations in APC develop large numbers of intestinal adenomas. Here, we report that zebrafish that are heterozygous for a truncating APC mutation spontaneously develop intestinal, hepatic and pancreatic neoplasias that are highly proliferative, accumulate ?-catenin and express Wnt target genes. Treatment with the chemical carcinogen 7,12-dimethylbenz[a]anthracene accelerates the induction of these lesions. These observations establish apc-mutant zebrafish as a bona fide model for the study of digestive tract cancer.","author":[{"dropping-particle":"","family":"Haramis","given":"Anna-Pavlina G","non-dropping-particle":"","parse-names":false,"suffix":""},{"dropping-particle":"","family":"Hurlstone","given":"Adam","non-dropping-particle":"","parse-names":false,"suffix":""},{"dropping-particle":"","family":"Velden","given":"Yme","non-dropping-particle":"van der","parse-names":false,"suffix":""},{"dropping-particle":"","family":"Begthel","given":"Harry","non-dropping-particle":"","parse-names":false,"suffix":""},{"dropping-particle":"","family":"Born","given":"Maaike","non-dropping-particle":"van den","parse-names":false,"suffix":""},{"dropping-particle":"","family":"Offerhaus","given":"G Johan A","non-dropping-particle":"","parse-names":false,"suffix":""},{"dropping-particle":"","family":"Clevers","given":"Hans C","non-dropping-particle":"","parse-names":false,"suffix":""}],"container-title":"EMBO reports","id":"ITEM-2","issue":"4","issued":{"date-parts":[["2006","3"]]},"page":"444-449","publisher":"John Wiley &amp; Sons, Ltd","title":"Adenomatous polyposis coli-deficient zebrafish are susceptible to digestive tract neoplasia","type":"article-journal","volume":"7"},"uris":["http://www.mendeley.com/documents/?uuid=4928b422-4ec9-4670-95ed-dd01116cd4c4"]},{"id":"ITEM-3","itemData":{"DOI":"10.1074/JBC.M504973200","ISSN":"0021-9258","PMID":"15967793","author":[{"dropping-particle":"","family":"Nadauld","given":"Lincoln D.","non-dropping-particle":"","parse-names":false,"suffix":""},{"dropping-particle":"","family":"Shelton","given":"Dawne N.","non-dropping-particle":"","parse-names":false,"suffix":""},{"dropping-particle":"","family":"Chidester","given":"Stephanie","non-dropping-particle":"","parse-names":false,"suffix":""},{"dropping-particle":"","family":"Yost","given":"H. Joseph","non-dropping-particle":"","parse-names":false,"suffix":""},{"dropping-particle":"","family":"Jones","given":"David A.","non-dropping-particle":"","parse-names":false,"suffix":""}],"container-title":"Journal of Biological Chemistry","id":"ITEM-3","issue":"34","issued":{"date-parts":[["2005","8","26"]]},"page":"30490-30495","publisher":"American Society for Biochemistry and Molecular Biology","title":"The Zebrafish Retinol Dehydrogenase, rdh1l, Is Essential for Intestinal Development and Is Regulated by the Tumor Suppressor Adenomatous Polyposis Coli","type":"article-journal","volume":"280"},"uris":["http://www.mendeley.com/documents/?uuid=514fce75-1d47-3a6f-86ae-175f20c4638d"]}],"mendeley":{"formattedCitation":"(Hurlstone et al., 2003; Nadauld et al., 2005; Haramis et al., 2006)","plainTextFormattedCitation":"(Hurlstone et al., 2003; Nadauld et al., 2005; Haramis et al., 2006)","previouslyFormattedCitation":"(Hurlstone et al., 2003)"},"properties":{"noteIndex":0},"schema":"https://github.com/citation-style-language/schema/raw/master/csl-citation.json"}</w:instrText>
            </w:r>
            <w:r w:rsidRPr="004A350A">
              <w:rPr>
                <w:sz w:val="20"/>
                <w:szCs w:val="20"/>
              </w:rPr>
              <w:fldChar w:fldCharType="end"/>
            </w:r>
          </w:p>
        </w:tc>
      </w:tr>
      <w:tr w:rsidR="004E16D1" w:rsidTr="00F97801">
        <w:trPr>
          <w:trHeight w:val="920"/>
          <w:jc w:val="center"/>
        </w:trPr>
        <w:tc>
          <w:tcPr>
            <w:tcW w:w="1513" w:type="dxa"/>
            <w:tcBorders>
              <w:left w:val="single" w:sz="18" w:space="0" w:color="auto"/>
            </w:tcBorders>
            <w:vAlign w:val="center"/>
          </w:tcPr>
          <w:p w:rsidR="004E16D1" w:rsidRPr="004A350A" w:rsidRDefault="004E16D1" w:rsidP="00810DFC">
            <w:pPr>
              <w:jc w:val="center"/>
              <w:rPr>
                <w:sz w:val="20"/>
                <w:szCs w:val="20"/>
              </w:rPr>
            </w:pPr>
            <w:r w:rsidRPr="004A350A">
              <w:rPr>
                <w:sz w:val="20"/>
                <w:szCs w:val="20"/>
              </w:rPr>
              <w:t>Peutz-Jeghers Syndrome</w:t>
            </w:r>
          </w:p>
        </w:tc>
        <w:tc>
          <w:tcPr>
            <w:tcW w:w="1074" w:type="dxa"/>
            <w:vAlign w:val="center"/>
          </w:tcPr>
          <w:p w:rsidR="004E16D1" w:rsidRPr="004A350A" w:rsidRDefault="004E16D1" w:rsidP="00810DFC">
            <w:pPr>
              <w:jc w:val="center"/>
              <w:rPr>
                <w:i/>
                <w:iCs/>
                <w:sz w:val="20"/>
                <w:szCs w:val="20"/>
              </w:rPr>
            </w:pPr>
            <w:r w:rsidRPr="004A350A">
              <w:rPr>
                <w:i/>
                <w:iCs/>
                <w:sz w:val="20"/>
                <w:szCs w:val="20"/>
              </w:rPr>
              <w:t>LKB1</w:t>
            </w:r>
          </w:p>
        </w:tc>
        <w:tc>
          <w:tcPr>
            <w:tcW w:w="1440" w:type="dxa"/>
            <w:vAlign w:val="center"/>
          </w:tcPr>
          <w:p w:rsidR="004E16D1" w:rsidRPr="004A350A" w:rsidRDefault="004E16D1" w:rsidP="00810DFC">
            <w:pPr>
              <w:jc w:val="center"/>
              <w:rPr>
                <w:i/>
                <w:iCs/>
                <w:sz w:val="20"/>
                <w:szCs w:val="20"/>
              </w:rPr>
            </w:pPr>
            <w:r w:rsidRPr="004A350A">
              <w:rPr>
                <w:i/>
                <w:iCs/>
                <w:sz w:val="20"/>
                <w:szCs w:val="20"/>
              </w:rPr>
              <w:t>lkb1</w:t>
            </w:r>
            <w:r w:rsidRPr="004A350A">
              <w:rPr>
                <w:i/>
                <w:iCs/>
                <w:sz w:val="20"/>
                <w:szCs w:val="20"/>
                <w:vertAlign w:val="superscript"/>
              </w:rPr>
              <w:t>-/-</w:t>
            </w:r>
          </w:p>
        </w:tc>
        <w:tc>
          <w:tcPr>
            <w:tcW w:w="1800" w:type="dxa"/>
            <w:vAlign w:val="center"/>
          </w:tcPr>
          <w:p w:rsidR="004E16D1" w:rsidRPr="004A350A" w:rsidRDefault="004E16D1" w:rsidP="00810DFC">
            <w:pPr>
              <w:jc w:val="center"/>
              <w:rPr>
                <w:sz w:val="20"/>
                <w:szCs w:val="20"/>
              </w:rPr>
            </w:pPr>
            <w:r w:rsidRPr="004A350A">
              <w:rPr>
                <w:sz w:val="20"/>
                <w:szCs w:val="20"/>
              </w:rPr>
              <w:t>Not reported</w:t>
            </w:r>
          </w:p>
        </w:tc>
        <w:tc>
          <w:tcPr>
            <w:tcW w:w="2474" w:type="dxa"/>
            <w:vAlign w:val="center"/>
          </w:tcPr>
          <w:p w:rsidR="004E16D1" w:rsidRPr="004A350A" w:rsidRDefault="004E16D1" w:rsidP="00810DFC">
            <w:pPr>
              <w:jc w:val="center"/>
              <w:rPr>
                <w:sz w:val="20"/>
                <w:szCs w:val="20"/>
              </w:rPr>
            </w:pPr>
            <w:r w:rsidRPr="004A350A">
              <w:rPr>
                <w:sz w:val="20"/>
                <w:szCs w:val="20"/>
              </w:rPr>
              <w:t>Starvation phenotype that causes lethality by 7-8 dpf, metabolic state resembles aerobic glycolysis</w:t>
            </w:r>
          </w:p>
        </w:tc>
        <w:tc>
          <w:tcPr>
            <w:tcW w:w="1190" w:type="dxa"/>
            <w:vAlign w:val="center"/>
          </w:tcPr>
          <w:p w:rsidR="004E16D1" w:rsidRPr="004A350A" w:rsidRDefault="002A6C4B" w:rsidP="008A4F5C">
            <w:pPr>
              <w:jc w:val="center"/>
              <w:rPr>
                <w:sz w:val="20"/>
                <w:szCs w:val="20"/>
              </w:rPr>
            </w:pPr>
            <w:r>
              <w:rPr>
                <w:sz w:val="20"/>
                <w:szCs w:val="20"/>
              </w:rPr>
              <w:t>ENU</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{"citationItems":[{"id":"ITEM-1","itemData":{"DOI":"10.1073/pnas.1010210108","ISSN":"00278424","PMID":"21368212","abstract":"Mutations in the serine-threonine kinase (LKB1) lead to a gastrointestinal hamartomatous polyposis disorder with increased predisposition to cancer (Peutz-Jeghers syndrome). LKB1 has many targets, including the AMP-activated protein kinase (AMPK) that is phosphorylated under low-energy conditions. AMPK phosphorylation in turn, affects several processes, including inhibition of the target of rapamycin (TOR) pathway, and leads to proliferation inhibition. To gain insight into how LKB1 mediates its effects during development, we generated zebrafish mutants in the single LKB1 ortholog. We show that in zebrafish lkb1 is dispensable for embryonic survival but becomes essential under conditions of energetic stress. After yolk absorption, lkb1 mutants rapidly exhaust their energy resources and die prematurely from starvation. Notably, intestinal epithelial cells were polarized properly in the lkb1 mutants. We show that attenuation of metabolic rate in lkb1 mutants, either by application of the TOR inhibitor rapamycin or by crossing with von Hippel-Lindau (vhl) mutant fish (in which constitutive hypoxia signaling results in reduced metabolic rate), suppresses key aspects of the lkb1 phenotype. Thus, we demonstrate a critical role for LKB1 in regulating energy homeostasis at the whole-organism level in a vertebrate. Zebrafish models of Lkb1 inactivation could provide a platform for chemical genetic screens to identify compounds that target accelerated metabolism, a key feature of tumor cells.","author":[{"dropping-particle":"","family":"Velden","given":"Yme U.","non-dropping-particle":"Van Der","parse-names":false,"suffix":""},{"dropping-particle":"","family":"Wang","given":"Liqin","non-dropping-particle":"","parse-names":false,"suffix":""},{"dropping-particle":"","family":"Zevenhoven","given":"John","non-dropping-particle":"","parse-names":false,"suffix":""},{"dropping-particle":"","family":"Rooijen","given":"Ellen","non-dropping-particle":"Van","parse-names":false,"suffix":""},{"dropping-particle":"","family":"Lohuizen","given":"Maarten","non-dropping-particle":"Van","parse-names":false,"suffix":""},{"dropping-particle":"","family":"Giles","given":"Rachel H.","non-dropping-particle":"","parse-names":false,"suffix":""},{"dropping-particle":"","family":"Clevers","given":"Hans","non-dropping-particle":"","parse-names":false,"suffix":""},{"dropping-particle":"","family":"Haramis","given":"Anna Pavlina G.","non-dropping-particle":"","parse-names":false,"suffix":""}],"container-title":"Proceedings of the National Academy of Sciences of the United States of America","id":"ITEM-1","issue":"11","issued":{"date-parts":[["2011","3","15"]]},"page":"4358-4363","title":"The serine-threonine kinase LKB1 is essential for survival under energetic stress in zebrafish","type":"article-journal","volume":"108"},"uris":["http://www.mendeley.com/documents/?uuid=351e605e-4688-3f79-82e5-20fccead377a"]}],"mendeley":{"formattedCitation":"(Van Der Velden et al., 2011)","plainTextFormattedCitation":"(Van Der Velden et al., 2011)","previouslyFormattedCitation":"(Van Der Velden et al., 2011)"},"properties":{"noteIndex":0},"schema":"https://github.com/citation-style-language/schema/raw/master/csl-citation.json"}</w:instrText>
            </w:r>
            <w:r w:rsidRPr="004A350A">
              <w:rPr>
                <w:sz w:val="20"/>
                <w:szCs w:val="20"/>
              </w:rPr>
              <w:fldChar w:fldCharType="separate"/>
            </w:r>
            <w:r w:rsidR="004E16D1" w:rsidRPr="00A53FA2">
              <w:rPr>
                <w:noProof/>
                <w:sz w:val="20"/>
                <w:szCs w:val="20"/>
              </w:rPr>
              <w:t>(Van Der Velden et al., 2011)</w:t>
            </w:r>
            <w:r w:rsidRPr="004A350A">
              <w:rPr>
                <w:sz w:val="20"/>
                <w:szCs w:val="20"/>
              </w:rPr>
              <w:fldChar w:fldCharType="end"/>
            </w:r>
          </w:p>
        </w:tc>
      </w:tr>
      <w:tr w:rsidR="004E16D1" w:rsidTr="00F97801">
        <w:trPr>
          <w:trHeight w:val="460"/>
          <w:jc w:val="center"/>
        </w:trPr>
        <w:tc>
          <w:tcPr>
            <w:tcW w:w="1513" w:type="dxa"/>
            <w:vMerge w:val="restart"/>
            <w:tcBorders>
              <w:left w:val="single" w:sz="18" w:space="0" w:color="auto"/>
            </w:tcBorders>
            <w:vAlign w:val="center"/>
          </w:tcPr>
          <w:p w:rsidR="004E16D1" w:rsidRPr="004A350A" w:rsidRDefault="004E16D1" w:rsidP="00810DFC">
            <w:pPr>
              <w:jc w:val="center"/>
              <w:rPr>
                <w:sz w:val="20"/>
                <w:szCs w:val="20"/>
              </w:rPr>
            </w:pPr>
            <w:r w:rsidRPr="004A350A">
              <w:rPr>
                <w:sz w:val="20"/>
                <w:szCs w:val="20"/>
              </w:rPr>
              <w:t>Cowden Syndrome</w:t>
            </w:r>
          </w:p>
        </w:tc>
        <w:tc>
          <w:tcPr>
            <w:tcW w:w="1074" w:type="dxa"/>
            <w:vMerge w:val="restart"/>
            <w:vAlign w:val="center"/>
          </w:tcPr>
          <w:p w:rsidR="004E16D1" w:rsidRPr="004A350A" w:rsidRDefault="004E16D1" w:rsidP="00810DFC">
            <w:pPr>
              <w:jc w:val="center"/>
              <w:rPr>
                <w:i/>
                <w:iCs/>
                <w:sz w:val="20"/>
                <w:szCs w:val="20"/>
              </w:rPr>
            </w:pPr>
            <w:r w:rsidRPr="004A350A">
              <w:rPr>
                <w:i/>
                <w:iCs/>
                <w:sz w:val="20"/>
                <w:szCs w:val="20"/>
              </w:rPr>
              <w:t>PTEN</w:t>
            </w:r>
          </w:p>
        </w:tc>
        <w:tc>
          <w:tcPr>
            <w:tcW w:w="1440" w:type="dxa"/>
            <w:vAlign w:val="center"/>
          </w:tcPr>
          <w:p w:rsidR="004E16D1" w:rsidRPr="004A350A" w:rsidRDefault="004E16D1" w:rsidP="00810DFC">
            <w:pPr>
              <w:jc w:val="center"/>
              <w:rPr>
                <w:sz w:val="20"/>
                <w:szCs w:val="20"/>
              </w:rPr>
            </w:pPr>
            <w:r w:rsidRPr="004A350A">
              <w:rPr>
                <w:i/>
                <w:iCs/>
                <w:sz w:val="20"/>
                <w:szCs w:val="20"/>
              </w:rPr>
              <w:t>ptenb</w:t>
            </w:r>
            <w:r w:rsidRPr="004A350A">
              <w:rPr>
                <w:i/>
                <w:iCs/>
                <w:sz w:val="20"/>
                <w:szCs w:val="20"/>
              </w:rPr>
              <w:softHyphen/>
            </w:r>
            <w:r w:rsidRPr="004A350A">
              <w:rPr>
                <w:i/>
                <w:iCs/>
                <w:sz w:val="20"/>
                <w:szCs w:val="20"/>
                <w:vertAlign w:val="superscript"/>
              </w:rPr>
              <w:t>-/-</w:t>
            </w:r>
          </w:p>
        </w:tc>
        <w:tc>
          <w:tcPr>
            <w:tcW w:w="1800" w:type="dxa"/>
            <w:vAlign w:val="center"/>
          </w:tcPr>
          <w:p w:rsidR="004E16D1" w:rsidRPr="004A350A" w:rsidRDefault="004E16D1" w:rsidP="00810DFC">
            <w:pPr>
              <w:jc w:val="center"/>
              <w:rPr>
                <w:sz w:val="20"/>
                <w:szCs w:val="20"/>
              </w:rPr>
            </w:pPr>
            <w:r w:rsidRPr="004A350A">
              <w:rPr>
                <w:color w:val="000000"/>
                <w:sz w:val="20"/>
                <w:szCs w:val="20"/>
                <w:shd w:val="clear" w:color="auto" w:fill="FFFFFF"/>
              </w:rPr>
              <w:t>Neuroepithelio</w:t>
            </w:r>
            <w:r>
              <w:rPr>
                <w:color w:val="000000"/>
                <w:sz w:val="20"/>
                <w:szCs w:val="20"/>
                <w:shd w:val="clear" w:color="auto" w:fill="FFFFFF"/>
              </w:rPr>
              <w:t>m</w:t>
            </w:r>
            <w:r w:rsidRPr="004A350A">
              <w:rPr>
                <w:color w:val="000000"/>
                <w:sz w:val="20"/>
                <w:szCs w:val="20"/>
                <w:shd w:val="clear" w:color="auto" w:fill="FFFFFF"/>
              </w:rPr>
              <w:t>as</w:t>
            </w:r>
          </w:p>
        </w:tc>
        <w:tc>
          <w:tcPr>
            <w:tcW w:w="2474" w:type="dxa"/>
            <w:vAlign w:val="center"/>
          </w:tcPr>
          <w:p w:rsidR="004E16D1" w:rsidRPr="004A350A" w:rsidRDefault="004E16D1" w:rsidP="00810DFC">
            <w:pPr>
              <w:jc w:val="center"/>
              <w:rPr>
                <w:sz w:val="20"/>
                <w:szCs w:val="20"/>
              </w:rPr>
            </w:pPr>
            <w:r w:rsidRPr="004A350A">
              <w:rPr>
                <w:sz w:val="20"/>
                <w:szCs w:val="20"/>
              </w:rPr>
              <w:t>Phenotypically normal</w:t>
            </w:r>
          </w:p>
        </w:tc>
        <w:tc>
          <w:tcPr>
            <w:tcW w:w="1190" w:type="dxa"/>
            <w:vAlign w:val="center"/>
          </w:tcPr>
          <w:p w:rsidR="004E16D1" w:rsidRPr="004A350A" w:rsidRDefault="00F854A2" w:rsidP="008A4F5C">
            <w:pPr>
              <w:jc w:val="center"/>
              <w:rPr>
                <w:sz w:val="20"/>
                <w:szCs w:val="20"/>
              </w:rPr>
            </w:pPr>
            <w:r>
              <w:rPr>
                <w:sz w:val="20"/>
                <w:szCs w:val="20"/>
              </w:rPr>
              <w:t>ENU</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{"citationItems":[{"id":"ITEM-1","itemData":{"DOI":"10.1038/sj.onc.1210730","ISSN":"0950-9232","author":[{"dropping-particle":"","family":"Faucherre","given":"A","non-dropping-particle":"","parse-names":false,"suffix":""},{"dropping-particle":"","family":"Taylor","given":"G S","non-dropping-particle":"","parse-names":false,"suffix":""},{"dropping-particle":"","family":"Overvoorde","given":"J","non-dropping-particle":"","parse-names":false,"suffix":""},{"dropping-particle":"","family":"Dixon","given":"J E","non-dropping-particle":"","parse-names":false,"suffix":""},{"dropping-particle":"den","family":"Hertog","given":"J","non-dropping-particle":"","parse-names":false,"suffix":""}],"container-title":"Oncogene","id":"ITEM-1","issue":"8","issued":{"date-parts":[["2008","2","20"]]},"title":"Zebrafish pten genes have overlapping and non-redundant functions in tumorigenesis and embryonic development","type":"article-journal","volume":"27"},"uris":["http://www.mendeley.com/documents/?uuid=f1405a7c-5d31-3243-96dd-ebafe3331284","http://www.mendeley.com/documents/?uuid=1248c3c9-1eec-478c-8b6f-34f8ef6f6f35"]}],"mendeley":{"formattedCitation":"(Faucherre et al., 2008)","plainTextFormattedCitation":"(Faucherre et al., 2008)","previouslyFormattedCitation":"(Faucherre et al., 2008)"},"properties":{"noteIndex":0},"schema":"https://github.com/citation-style-language/schema/raw/master/csl-citation.json"}</w:instrText>
            </w:r>
            <w:r w:rsidRPr="004A350A">
              <w:rPr>
                <w:sz w:val="20"/>
                <w:szCs w:val="20"/>
              </w:rPr>
              <w:fldChar w:fldCharType="separate"/>
            </w:r>
            <w:r w:rsidR="004E16D1" w:rsidRPr="004A350A">
              <w:rPr>
                <w:noProof/>
                <w:sz w:val="20"/>
                <w:szCs w:val="20"/>
              </w:rPr>
              <w:t>(Faucherre et al., 2008)</w:t>
            </w:r>
            <w:r w:rsidRPr="004A350A">
              <w:rPr>
                <w:sz w:val="20"/>
                <w:szCs w:val="20"/>
              </w:rPr>
              <w:fldChar w:fldCharType="end"/>
            </w:r>
          </w:p>
        </w:tc>
      </w:tr>
      <w:tr w:rsidR="004E16D1" w:rsidTr="00F97801">
        <w:trPr>
          <w:trHeight w:val="46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ptena</w:t>
            </w:r>
            <w:r w:rsidRPr="004A350A">
              <w:rPr>
                <w:sz w:val="20"/>
                <w:szCs w:val="20"/>
                <w:vertAlign w:val="superscript"/>
              </w:rPr>
              <w:t>-/-</w:t>
            </w:r>
            <w:r w:rsidRPr="004A350A">
              <w:rPr>
                <w:sz w:val="20"/>
                <w:szCs w:val="20"/>
              </w:rPr>
              <w:t xml:space="preserve">; </w:t>
            </w:r>
            <w:r w:rsidRPr="004A350A">
              <w:rPr>
                <w:i/>
                <w:iCs/>
                <w:sz w:val="20"/>
                <w:szCs w:val="20"/>
              </w:rPr>
              <w:t>ptenb</w:t>
            </w:r>
            <w:r w:rsidRPr="004A350A">
              <w:rPr>
                <w:sz w:val="20"/>
                <w:szCs w:val="20"/>
                <w:vertAlign w:val="superscript"/>
              </w:rPr>
              <w:t>+/-</w:t>
            </w:r>
          </w:p>
        </w:tc>
        <w:tc>
          <w:tcPr>
            <w:tcW w:w="1800" w:type="dxa"/>
            <w:vMerge w:val="restart"/>
            <w:vAlign w:val="center"/>
          </w:tcPr>
          <w:p w:rsidR="004E16D1" w:rsidRPr="004A350A" w:rsidRDefault="004E16D1" w:rsidP="00810DFC">
            <w:pPr>
              <w:jc w:val="center"/>
              <w:rPr>
                <w:sz w:val="20"/>
                <w:szCs w:val="20"/>
              </w:rPr>
            </w:pPr>
            <w:r w:rsidRPr="004A350A">
              <w:rPr>
                <w:sz w:val="20"/>
                <w:szCs w:val="20"/>
              </w:rPr>
              <w:t>Hemangiosarcomas near the eye</w:t>
            </w:r>
          </w:p>
        </w:tc>
        <w:tc>
          <w:tcPr>
            <w:tcW w:w="2474" w:type="dxa"/>
            <w:vAlign w:val="center"/>
          </w:tcPr>
          <w:p w:rsidR="004E16D1" w:rsidRPr="004A350A" w:rsidRDefault="004E16D1" w:rsidP="00810DFC">
            <w:pPr>
              <w:jc w:val="center"/>
              <w:rPr>
                <w:sz w:val="20"/>
                <w:szCs w:val="20"/>
              </w:rPr>
            </w:pPr>
            <w:r w:rsidRPr="004A350A">
              <w:rPr>
                <w:sz w:val="20"/>
                <w:szCs w:val="20"/>
              </w:rPr>
              <w:t>10% tumor incidence</w:t>
            </w:r>
          </w:p>
        </w:tc>
        <w:tc>
          <w:tcPr>
            <w:tcW w:w="1190" w:type="dxa"/>
            <w:vAlign w:val="center"/>
          </w:tcPr>
          <w:p w:rsidR="004E16D1" w:rsidRPr="004A350A" w:rsidRDefault="00F854A2" w:rsidP="008A4F5C">
            <w:pPr>
              <w:jc w:val="center"/>
              <w:rPr>
                <w:sz w:val="20"/>
                <w:szCs w:val="20"/>
              </w:rPr>
            </w:pPr>
            <w:r>
              <w:rPr>
                <w:sz w:val="20"/>
                <w:szCs w:val="20"/>
              </w:rPr>
              <w:t>ENU</w:t>
            </w:r>
          </w:p>
        </w:tc>
        <w:tc>
          <w:tcPr>
            <w:tcW w:w="1190" w:type="dxa"/>
            <w:vMerge w:val="restart"/>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10.1242/dmm.008326","ISSN":"1754-8403","author":[{"dropping-particle":"","family":"Choorapoikayil","given":"S.","non-dropping-particle":"","parse-names":false,"suffix":""},{"dropping-particle":"V.","family":"Kuiper","given":"R.","non-dropping-particle":"","parse-names":false,"suffix":""},{"dropping-particle":"","family":"Bruin","given":"A.","non-dropping-particle":"de","parse-names":false,"suffix":""},{"dropping-particle":"","family":"Hertog","given":"J.","non-dropping-particle":"den","parse-names":false,"suffix":""}],"container-title":"Disease Models &amp; Mechanisms","id":"ITEM-1","issue":"2","issued":{"date-parts":[["2012","3","1"]]},"title":"Haploinsufficiency of the genes encoding the tumor suppressor Pten predisposes zebrafish to hemangiosarcoma","type":"article-journal","volume":"5"},"uris":["http://www.mendeley.com/documents/?uuid=16435df8-08bb-3e82-af23-007bdafea315","http://www.mendeley.com/documents/?uuid=9f7a339f-88ee-435a-85a8-c74321b0a7b2"]}],"mendeley":{"formattedCitation":"(Choorapoikayil et al., 2012)","plainTextFormattedCitation":"(Choorapoikayil et al., 2012)","previouslyFormattedCitation":"(Choorapoikayil et al., 2012)"},"properties":{"noteIndex":0},"schema":"https://github.com/citation-style-language/schema/raw/master/csl-citation.json"}</w:instrText>
            </w:r>
            <w:r w:rsidRPr="004A350A">
              <w:rPr>
                <w:sz w:val="20"/>
                <w:szCs w:val="20"/>
              </w:rPr>
              <w:fldChar w:fldCharType="separate"/>
            </w:r>
            <w:r w:rsidR="004E16D1" w:rsidRPr="004A350A">
              <w:rPr>
                <w:noProof/>
                <w:sz w:val="20"/>
                <w:szCs w:val="20"/>
              </w:rPr>
              <w:t>(Choorapoikayil et al., 2012)</w:t>
            </w:r>
            <w:r w:rsidRPr="004A350A">
              <w:rPr>
                <w:sz w:val="20"/>
                <w:szCs w:val="20"/>
              </w:rPr>
              <w:fldChar w:fldCharType="end"/>
            </w:r>
            <w:r w:rsidRPr="004A350A">
              <w:rPr>
                <w:sz w:val="20"/>
                <w:szCs w:val="20"/>
              </w:rPr>
              <w:fldChar w:fldCharType="begin" w:fldLock="1"/>
            </w:r>
            <w:r w:rsidR="004E16D1">
              <w:rPr>
                <w:sz w:val="20"/>
                <w:szCs w:val="20"/>
              </w:rPr>
              <w:instrText>ADDIN CSL_CITATION {"citationItems":[{"id":"ITEM-1","itemData":{"DOI":"10.1242/dmm.008326","ISSN":"1754-8403","author":[{"dropping-particle":"","family":"Choorapoikayil","given":"S.","non-dropping-particle":"","parse-names":false,"suffix":""},{"dropping-particle":"V.","family":"Kuiper","given":"R.","non-dropping-particle":"","parse-names":false,"suffix":""},{"dropping-particle":"","family":"Bruin","given":"A.","non-dropping-particle":"de","parse-names":false,"suffix":""},{"dropping-particle":"","family":"Hertog","given":"J.","non-dropping-particle":"den","parse-names":false,"suffix":""}],"container-title":"Disease Models &amp; Mechanisms","id":"ITEM-1","issue":"2","issued":{"date-parts":[["2012","3","1"]]},"title":"Haploinsufficiency of the genes encoding the tumor suppressor Pten predisposes zebrafish to hemangiosarcoma","type":"article-journal","volume":"5"},"uris":["http://www.mendeley.com/documents/?uuid=9f7a339f-88ee-435a-85a8-c74321b0a7b2","http://www.mendeley.com/documents/?uuid=16435df8-08bb-3e82-af23-007bdafea315"]}],"mendeley":{"formattedCitation":"(Choorapoikayil et al., 2012)","plainTextFormattedCitation":"(Choorapoikayil et al., 2012)","previouslyFormattedCitation":"(Choorapoikayil et al., 2012)"},"properties":{"noteIndex":0},"schema":"https://github.com/citation-style-language/schema/raw/master/csl-citation.json"}</w:instrText>
            </w:r>
            <w:r w:rsidRPr="004A350A">
              <w:rPr>
                <w:sz w:val="20"/>
                <w:szCs w:val="20"/>
              </w:rPr>
              <w:fldChar w:fldCharType="end"/>
            </w:r>
          </w:p>
        </w:tc>
      </w:tr>
      <w:tr w:rsidR="004E16D1" w:rsidTr="00F97801">
        <w:trPr>
          <w:trHeight w:val="46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ptena</w:t>
            </w:r>
            <w:r w:rsidRPr="004A350A">
              <w:rPr>
                <w:sz w:val="20"/>
                <w:szCs w:val="20"/>
                <w:vertAlign w:val="superscript"/>
              </w:rPr>
              <w:t>+/-</w:t>
            </w:r>
            <w:r w:rsidRPr="004A350A">
              <w:rPr>
                <w:sz w:val="20"/>
                <w:szCs w:val="20"/>
              </w:rPr>
              <w:t xml:space="preserve">; </w:t>
            </w:r>
            <w:r w:rsidRPr="004A350A">
              <w:rPr>
                <w:i/>
                <w:iCs/>
                <w:sz w:val="20"/>
                <w:szCs w:val="20"/>
              </w:rPr>
              <w:t>ptenb</w:t>
            </w:r>
            <w:r w:rsidRPr="004A350A">
              <w:rPr>
                <w:sz w:val="20"/>
                <w:szCs w:val="20"/>
                <w:vertAlign w:val="superscript"/>
              </w:rPr>
              <w:t>-</w:t>
            </w:r>
            <w:r w:rsidRPr="004A350A">
              <w:rPr>
                <w:sz w:val="20"/>
                <w:szCs w:val="20"/>
                <w:vertAlign w:val="superscript"/>
              </w:rPr>
              <w:lastRenderedPageBreak/>
              <w:t>/-</w:t>
            </w:r>
          </w:p>
        </w:tc>
        <w:tc>
          <w:tcPr>
            <w:tcW w:w="1800" w:type="dxa"/>
            <w:vMerge/>
            <w:vAlign w:val="center"/>
          </w:tcPr>
          <w:p w:rsidR="004E16D1" w:rsidRPr="004A350A" w:rsidRDefault="004E16D1" w:rsidP="00810DFC">
            <w:pPr>
              <w:jc w:val="center"/>
              <w:rPr>
                <w:sz w:val="20"/>
                <w:szCs w:val="20"/>
              </w:rPr>
            </w:pPr>
          </w:p>
        </w:tc>
        <w:tc>
          <w:tcPr>
            <w:tcW w:w="2474" w:type="dxa"/>
            <w:vAlign w:val="center"/>
          </w:tcPr>
          <w:p w:rsidR="004E16D1" w:rsidRPr="004A350A" w:rsidRDefault="004E16D1" w:rsidP="00810DFC">
            <w:pPr>
              <w:jc w:val="center"/>
              <w:rPr>
                <w:sz w:val="20"/>
                <w:szCs w:val="20"/>
              </w:rPr>
            </w:pPr>
            <w:r w:rsidRPr="004A350A">
              <w:rPr>
                <w:sz w:val="20"/>
                <w:szCs w:val="20"/>
              </w:rPr>
              <w:t>2% tumor incidence</w:t>
            </w:r>
          </w:p>
        </w:tc>
        <w:tc>
          <w:tcPr>
            <w:tcW w:w="1190" w:type="dxa"/>
            <w:vAlign w:val="center"/>
          </w:tcPr>
          <w:p w:rsidR="004E16D1" w:rsidRPr="004A350A" w:rsidRDefault="00E61F3F" w:rsidP="00E61F3F">
            <w:pPr>
              <w:jc w:val="center"/>
              <w:rPr>
                <w:sz w:val="20"/>
                <w:szCs w:val="20"/>
              </w:rPr>
            </w:pPr>
            <w:r>
              <w:rPr>
                <w:sz w:val="20"/>
                <w:szCs w:val="20"/>
              </w:rPr>
              <w:t>Breeding</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46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ptena</w:t>
            </w:r>
            <w:r w:rsidRPr="004A350A">
              <w:rPr>
                <w:i/>
                <w:iCs/>
                <w:sz w:val="20"/>
                <w:szCs w:val="20"/>
                <w:vertAlign w:val="superscript"/>
              </w:rPr>
              <w:t>-</w:t>
            </w:r>
            <w:r w:rsidRPr="004A350A">
              <w:rPr>
                <w:sz w:val="20"/>
                <w:szCs w:val="20"/>
                <w:vertAlign w:val="superscript"/>
              </w:rPr>
              <w:t>/-</w:t>
            </w:r>
            <w:r w:rsidRPr="004A350A">
              <w:rPr>
                <w:sz w:val="20"/>
                <w:szCs w:val="20"/>
              </w:rPr>
              <w:t xml:space="preserve">; </w:t>
            </w:r>
            <w:r w:rsidRPr="004A350A">
              <w:rPr>
                <w:i/>
                <w:iCs/>
                <w:sz w:val="20"/>
                <w:szCs w:val="20"/>
              </w:rPr>
              <w:t>ptenb</w:t>
            </w:r>
            <w:r w:rsidRPr="004A350A">
              <w:rPr>
                <w:sz w:val="20"/>
                <w:szCs w:val="20"/>
                <w:vertAlign w:val="superscript"/>
              </w:rPr>
              <w:t>-/-</w:t>
            </w:r>
          </w:p>
        </w:tc>
        <w:tc>
          <w:tcPr>
            <w:tcW w:w="1800" w:type="dxa"/>
            <w:vAlign w:val="center"/>
          </w:tcPr>
          <w:p w:rsidR="004E16D1" w:rsidRPr="004A350A" w:rsidRDefault="004E16D1" w:rsidP="00810DFC">
            <w:pPr>
              <w:jc w:val="center"/>
              <w:rPr>
                <w:sz w:val="20"/>
                <w:szCs w:val="20"/>
              </w:rPr>
            </w:pPr>
            <w:r w:rsidRPr="004A350A">
              <w:rPr>
                <w:sz w:val="20"/>
                <w:szCs w:val="20"/>
              </w:rPr>
              <w:t>Not reported</w:t>
            </w:r>
          </w:p>
        </w:tc>
        <w:tc>
          <w:tcPr>
            <w:tcW w:w="2474" w:type="dxa"/>
            <w:vAlign w:val="center"/>
          </w:tcPr>
          <w:p w:rsidR="004E16D1" w:rsidRPr="004A350A" w:rsidRDefault="004E16D1" w:rsidP="00810DFC">
            <w:pPr>
              <w:jc w:val="center"/>
              <w:rPr>
                <w:sz w:val="20"/>
                <w:szCs w:val="20"/>
              </w:rPr>
            </w:pPr>
            <w:r w:rsidRPr="004A350A">
              <w:rPr>
                <w:sz w:val="20"/>
                <w:szCs w:val="20"/>
              </w:rPr>
              <w:t>Enhanced angiogenesis, lethal by 5dpf</w:t>
            </w:r>
          </w:p>
        </w:tc>
        <w:tc>
          <w:tcPr>
            <w:tcW w:w="1190" w:type="dxa"/>
            <w:vAlign w:val="center"/>
          </w:tcPr>
          <w:p w:rsidR="004E16D1" w:rsidRPr="004A350A" w:rsidRDefault="00E61F3F" w:rsidP="008A4F5C">
            <w:pPr>
              <w:jc w:val="center"/>
              <w:rPr>
                <w:sz w:val="20"/>
                <w:szCs w:val="20"/>
              </w:rPr>
            </w:pPr>
            <w:r>
              <w:rPr>
                <w:sz w:val="20"/>
                <w:szCs w:val="20"/>
              </w:rPr>
              <w:t>Breeding</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10.1242/dmm.012377","ISSN":"1754-8403","author":[{"dropping-particle":"","family":"Choorapoikayil","given":"S.","non-dropping-particle":"","parse-names":false,"suffix":""},{"dropping-particle":"","family":"Weijts","given":"B.","non-dropping-particle":"","parse-names":false,"suffix":""},{"dropping-particle":"","family":"Kers","given":"R.","non-dropping-particle":"","parse-names":false,"suffix":""},{"dropping-particle":"","family":"Bruin","given":"A.","non-dropping-particle":"de","parse-names":false,"suffix":""},{"dropping-particle":"","family":"Hertog","given":"J.","non-dropping-particle":"den","parse-names":false,"suffix":""}],"container-title":"Disease Models &amp; Mechanisms","id":"ITEM-1","issue":"5","issued":{"date-parts":[["2013","9","1"]]},"title":"Loss of Pten promotes angiogenesis and enhanced vegfaa expression in zebrafish","type":"article-journal","volume":"6"},"uris":["http://www.mendeley.com/documents/?uuid=e67a7741-6bc5-377f-8fa2-3d95cdd07b42","http://www.mendeley.com/documents/?uuid=25b244ea-0786-48a1-9ec2-7a7f0b0b608e"]}],"mendeley":{"formattedCitation":"(Choorapoikayil et al., 2013)","plainTextFormattedCitation":"(Choorapoikayil et al., 2013)","previouslyFormattedCitation":"(Choorapoikayil et al., 2013)"},"properties":{"noteIndex":0},"schema":"https://github.com/citation-style-language/schema/raw/master/csl-citation.json"}</w:instrText>
            </w:r>
            <w:r w:rsidRPr="004A350A">
              <w:rPr>
                <w:sz w:val="20"/>
                <w:szCs w:val="20"/>
              </w:rPr>
              <w:fldChar w:fldCharType="separate"/>
            </w:r>
            <w:r w:rsidR="004E16D1" w:rsidRPr="004A350A">
              <w:rPr>
                <w:noProof/>
                <w:sz w:val="20"/>
                <w:szCs w:val="20"/>
              </w:rPr>
              <w:t>(Choorapoikayil et al., 2013)</w:t>
            </w:r>
            <w:r w:rsidRPr="004A350A">
              <w:rPr>
                <w:sz w:val="20"/>
                <w:szCs w:val="20"/>
              </w:rPr>
              <w:fldChar w:fldCharType="end"/>
            </w:r>
          </w:p>
        </w:tc>
      </w:tr>
      <w:tr w:rsidR="004E16D1" w:rsidTr="00F97801">
        <w:trPr>
          <w:trHeight w:val="444"/>
          <w:jc w:val="center"/>
        </w:trPr>
        <w:tc>
          <w:tcPr>
            <w:tcW w:w="1513" w:type="dxa"/>
            <w:vMerge w:val="restart"/>
            <w:tcBorders>
              <w:left w:val="single" w:sz="18" w:space="0" w:color="auto"/>
            </w:tcBorders>
            <w:vAlign w:val="center"/>
          </w:tcPr>
          <w:p w:rsidR="004E16D1" w:rsidRPr="004A350A" w:rsidRDefault="004E16D1" w:rsidP="00810DFC">
            <w:pPr>
              <w:jc w:val="center"/>
              <w:rPr>
                <w:sz w:val="20"/>
                <w:szCs w:val="20"/>
              </w:rPr>
            </w:pPr>
            <w:r w:rsidRPr="004A350A">
              <w:rPr>
                <w:sz w:val="20"/>
                <w:szCs w:val="20"/>
              </w:rPr>
              <w:t>Tuberous Sclerosis Complex</w:t>
            </w:r>
          </w:p>
        </w:tc>
        <w:tc>
          <w:tcPr>
            <w:tcW w:w="1074" w:type="dxa"/>
            <w:vMerge w:val="restart"/>
            <w:vAlign w:val="center"/>
          </w:tcPr>
          <w:p w:rsidR="004E16D1" w:rsidRPr="004A350A" w:rsidRDefault="004E16D1" w:rsidP="00810DFC">
            <w:pPr>
              <w:jc w:val="center"/>
              <w:rPr>
                <w:i/>
                <w:iCs/>
                <w:sz w:val="20"/>
                <w:szCs w:val="20"/>
              </w:rPr>
            </w:pPr>
            <w:r w:rsidRPr="004A350A">
              <w:rPr>
                <w:i/>
                <w:iCs/>
                <w:sz w:val="20"/>
                <w:szCs w:val="20"/>
              </w:rPr>
              <w:t>TSC2</w:t>
            </w:r>
          </w:p>
        </w:tc>
        <w:tc>
          <w:tcPr>
            <w:tcW w:w="1440" w:type="dxa"/>
            <w:vAlign w:val="center"/>
          </w:tcPr>
          <w:p w:rsidR="004E16D1" w:rsidRPr="004A350A" w:rsidRDefault="004E16D1" w:rsidP="00810DFC">
            <w:pPr>
              <w:jc w:val="center"/>
              <w:rPr>
                <w:sz w:val="20"/>
                <w:szCs w:val="20"/>
                <w:vertAlign w:val="superscript"/>
              </w:rPr>
            </w:pPr>
            <w:r w:rsidRPr="004A350A">
              <w:rPr>
                <w:i/>
                <w:iCs/>
                <w:sz w:val="20"/>
                <w:szCs w:val="20"/>
              </w:rPr>
              <w:t>tsc</w:t>
            </w:r>
            <w:r>
              <w:rPr>
                <w:i/>
                <w:iCs/>
                <w:sz w:val="20"/>
                <w:szCs w:val="20"/>
              </w:rPr>
              <w:t>2</w:t>
            </w:r>
            <w:r w:rsidRPr="004A350A">
              <w:rPr>
                <w:sz w:val="20"/>
                <w:szCs w:val="20"/>
                <w:vertAlign w:val="superscript"/>
              </w:rPr>
              <w:t>vu242</w:t>
            </w:r>
            <w:r>
              <w:rPr>
                <w:sz w:val="20"/>
                <w:szCs w:val="20"/>
                <w:vertAlign w:val="superscript"/>
              </w:rPr>
              <w:t>/vu242</w:t>
            </w:r>
          </w:p>
        </w:tc>
        <w:tc>
          <w:tcPr>
            <w:tcW w:w="1800" w:type="dxa"/>
            <w:vAlign w:val="center"/>
          </w:tcPr>
          <w:p w:rsidR="004E16D1" w:rsidRPr="004A350A" w:rsidRDefault="004E16D1" w:rsidP="00810DFC">
            <w:pPr>
              <w:jc w:val="center"/>
              <w:rPr>
                <w:sz w:val="20"/>
                <w:szCs w:val="20"/>
              </w:rPr>
            </w:pPr>
            <w:r w:rsidRPr="004A350A">
              <w:rPr>
                <w:sz w:val="20"/>
                <w:szCs w:val="20"/>
              </w:rPr>
              <w:t>Not reported</w:t>
            </w:r>
          </w:p>
        </w:tc>
        <w:tc>
          <w:tcPr>
            <w:tcW w:w="2474" w:type="dxa"/>
            <w:vAlign w:val="center"/>
          </w:tcPr>
          <w:p w:rsidR="004E16D1" w:rsidRPr="004A350A" w:rsidRDefault="004E16D1" w:rsidP="00810DFC">
            <w:pPr>
              <w:jc w:val="center"/>
              <w:rPr>
                <w:sz w:val="20"/>
                <w:szCs w:val="20"/>
              </w:rPr>
            </w:pPr>
            <w:r w:rsidRPr="004A350A">
              <w:rPr>
                <w:sz w:val="20"/>
                <w:szCs w:val="20"/>
              </w:rPr>
              <w:t>Increased mTORC1 but lethal by 11dpf</w:t>
            </w:r>
          </w:p>
        </w:tc>
        <w:tc>
          <w:tcPr>
            <w:tcW w:w="1190" w:type="dxa"/>
            <w:vAlign w:val="center"/>
          </w:tcPr>
          <w:p w:rsidR="004E16D1" w:rsidRPr="004A350A" w:rsidRDefault="00F854A2" w:rsidP="008A4F5C">
            <w:pPr>
              <w:jc w:val="center"/>
              <w:rPr>
                <w:sz w:val="20"/>
                <w:szCs w:val="20"/>
              </w:rPr>
            </w:pPr>
            <w:r>
              <w:rPr>
                <w:sz w:val="20"/>
                <w:szCs w:val="20"/>
              </w:rPr>
              <w:t>ENU</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{"citationItems":[{"id":"ITEM-1","itemData":{"DOI":"10.1242/dmm.005587","ISSN":"1754-8403","author":[{"dropping-particle":"","family":"Kim","given":"S.-H.","non-dropping-particle":"","parse-names":false,"suffix":""},{"dropping-particle":"","family":"Speirs","given":"C. K.","non-dropping-particle":"","parse-names":false,"suffix":""},{"dropping-particle":"","family":"Solnica-Krezel","given":"L.","non-dropping-particle":"","parse-names":false,"suffix":""},{"dropping-particle":"","family":"Ess","given":"K. C.","non-dropping-particle":"","parse-names":false,"suffix":""}],"container-title":"Disease Models &amp; Mechanisms","id":"ITEM-1","issue":"2","issued":{"date-parts":[["2011","3","1"]]},"title":"Zebrafish model of tuberous sclerosis complex reveals cell-autonomous and non-cell-autonomous functions of mutant tuberin","type":"article-journal","volume":"4"},"uris":["http://www.mendeley.com/documents/?uuid=f13fa10e-5646-3d87-b2ec-d7979e0e1783","http://www.mendeley.com/documents/?uuid=f074821a-8ed2-495a-87c8-c27ecfa149ba"]}],"mendeley":{"formattedCitation":"(Kim et al., 2011)","plainTextFormattedCitation":"(Kim et al., 2011)","previouslyFormattedCitation":"(Kim et al., 2011)"},"properties":{"noteIndex":0},"schema":"https://github.com/citation-style-language/schema/raw/master/csl-citation.json"}</w:instrText>
            </w:r>
            <w:r w:rsidRPr="004A350A">
              <w:rPr>
                <w:sz w:val="20"/>
                <w:szCs w:val="20"/>
              </w:rPr>
              <w:fldChar w:fldCharType="separate"/>
            </w:r>
            <w:r w:rsidR="004E16D1" w:rsidRPr="004A350A">
              <w:rPr>
                <w:noProof/>
                <w:sz w:val="20"/>
                <w:szCs w:val="20"/>
              </w:rPr>
              <w:t>(Kim et al., 2011)</w:t>
            </w:r>
            <w:r w:rsidRPr="004A350A">
              <w:rPr>
                <w:sz w:val="20"/>
                <w:szCs w:val="20"/>
              </w:rPr>
              <w:fldChar w:fldCharType="end"/>
            </w:r>
          </w:p>
        </w:tc>
      </w:tr>
      <w:tr w:rsidR="004E16D1" w:rsidTr="00F97801">
        <w:trPr>
          <w:trHeight w:val="444"/>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i/>
                <w:iCs/>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tsc2</w:t>
            </w:r>
            <w:r w:rsidRPr="004A350A">
              <w:rPr>
                <w:sz w:val="20"/>
                <w:szCs w:val="20"/>
                <w:vertAlign w:val="superscript"/>
              </w:rPr>
              <w:t>vu242/+</w:t>
            </w:r>
            <w:r w:rsidRPr="004A350A">
              <w:rPr>
                <w:sz w:val="20"/>
                <w:szCs w:val="20"/>
              </w:rPr>
              <w:t xml:space="preserve">; </w:t>
            </w:r>
            <w:r w:rsidRPr="004A350A">
              <w:rPr>
                <w:i/>
                <w:iCs/>
                <w:sz w:val="20"/>
                <w:szCs w:val="20"/>
              </w:rPr>
              <w:t>tp53</w:t>
            </w:r>
            <w:r>
              <w:rPr>
                <w:sz w:val="20"/>
                <w:szCs w:val="20"/>
                <w:vertAlign w:val="superscript"/>
              </w:rPr>
              <w:t>M214K/M214K</w:t>
            </w:r>
          </w:p>
        </w:tc>
        <w:tc>
          <w:tcPr>
            <w:tcW w:w="1800" w:type="dxa"/>
            <w:vAlign w:val="center"/>
          </w:tcPr>
          <w:p w:rsidR="004E16D1" w:rsidRPr="004A350A" w:rsidRDefault="004E16D1" w:rsidP="00810DFC">
            <w:pPr>
              <w:jc w:val="center"/>
              <w:rPr>
                <w:sz w:val="20"/>
                <w:szCs w:val="20"/>
              </w:rPr>
            </w:pPr>
            <w:r w:rsidRPr="004A350A">
              <w:rPr>
                <w:sz w:val="20"/>
                <w:szCs w:val="20"/>
              </w:rPr>
              <w:t>Multiple malignancies</w:t>
            </w:r>
          </w:p>
        </w:tc>
        <w:tc>
          <w:tcPr>
            <w:tcW w:w="2474" w:type="dxa"/>
            <w:vAlign w:val="center"/>
          </w:tcPr>
          <w:p w:rsidR="004E16D1" w:rsidRPr="004A350A" w:rsidRDefault="004E16D1" w:rsidP="00810DFC">
            <w:pPr>
              <w:jc w:val="center"/>
              <w:rPr>
                <w:sz w:val="20"/>
                <w:szCs w:val="20"/>
              </w:rPr>
            </w:pPr>
            <w:r w:rsidRPr="004A350A">
              <w:rPr>
                <w:sz w:val="20"/>
                <w:szCs w:val="20"/>
              </w:rPr>
              <w:t>Increased mTORC1 and angiogenesis</w:t>
            </w:r>
          </w:p>
        </w:tc>
        <w:tc>
          <w:tcPr>
            <w:tcW w:w="1190" w:type="dxa"/>
            <w:vAlign w:val="center"/>
          </w:tcPr>
          <w:p w:rsidR="004E16D1" w:rsidRPr="004A350A" w:rsidRDefault="00CE371C" w:rsidP="008A4F5C">
            <w:pPr>
              <w:jc w:val="center"/>
              <w:rPr>
                <w:sz w:val="20"/>
                <w:szCs w:val="20"/>
              </w:rPr>
            </w:pPr>
            <w:r>
              <w:rPr>
                <w:sz w:val="20"/>
                <w:szCs w:val="20"/>
              </w:rPr>
              <w:t>Breeding</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{"citationItems":[{"id":"ITEM-1","itemData":{"DOI":"10.1242/dmm.011494","ISSN":"1754-8403","author":[{"dropping-particle":"","family":"Kim","given":"S.-H.","non-dropping-particle":"","parse-names":false,"suffix":""},{"dropping-particle":"","family":"Kowalski","given":"M. L.","non-dropping-particle":"","parse-names":false,"suffix":""},{"dropping-particle":"","family":"Carson","given":"R. P.","non-dropping-particle":"","parse-names":false,"suffix":""},{"dropping-particle":"","family":"Bridges","given":"L. R.","non-dropping-particle":"","parse-names":false,"suffix":""},{"dropping-particle":"","family":"Ess","given":"K. C.","non-dropping-particle":"","parse-names":false,"suffix":""}],"container-title":"Disease Models &amp; Mechanisms","id":"ITEM-1","issue":"4","issued":{"date-parts":[["2013","7","1"]]},"title":"Heterozygous inactivation of tsc2 enhances tumorigenesis in p53 mutant zebrafish","type":"article-journal","volume":"6"},"uris":["http://www.mendeley.com/documents/?uuid=3c9c221d-d72d-3a1e-864f-46b76d1492e8","http://www.mendeley.com/documents/?uuid=0157f818-090e-4c38-a73f-b1550ea4e8bc"]}],"mendeley":{"formattedCitation":"(Kim et al., 2013)","plainTextFormattedCitation":"(Kim et al., 2013)","previouslyFormattedCitation":"(Kim et al., 2013)"},"properties":{"noteIndex":0},"schema":"https://github.com/citation-style-language/schema/raw/master/csl-citation.json"}</w:instrText>
            </w:r>
            <w:r w:rsidRPr="004A350A">
              <w:rPr>
                <w:sz w:val="20"/>
                <w:szCs w:val="20"/>
              </w:rPr>
              <w:fldChar w:fldCharType="separate"/>
            </w:r>
            <w:r w:rsidR="004E16D1" w:rsidRPr="004A350A">
              <w:rPr>
                <w:noProof/>
                <w:sz w:val="20"/>
                <w:szCs w:val="20"/>
              </w:rPr>
              <w:t>(Kim et al., 2013)</w:t>
            </w:r>
            <w:r w:rsidRPr="004A350A">
              <w:rPr>
                <w:sz w:val="20"/>
                <w:szCs w:val="20"/>
              </w:rPr>
              <w:fldChar w:fldCharType="end"/>
            </w:r>
          </w:p>
        </w:tc>
      </w:tr>
      <w:tr w:rsidR="004E16D1" w:rsidTr="00F97801">
        <w:trPr>
          <w:trHeight w:val="460"/>
          <w:jc w:val="center"/>
        </w:trPr>
        <w:tc>
          <w:tcPr>
            <w:tcW w:w="1513" w:type="dxa"/>
            <w:vMerge w:val="restart"/>
            <w:tcBorders>
              <w:left w:val="single" w:sz="18" w:space="0" w:color="auto"/>
            </w:tcBorders>
            <w:vAlign w:val="center"/>
          </w:tcPr>
          <w:p w:rsidR="004E16D1" w:rsidRPr="004A350A" w:rsidRDefault="004E16D1" w:rsidP="00810DFC">
            <w:pPr>
              <w:jc w:val="center"/>
              <w:rPr>
                <w:sz w:val="20"/>
                <w:szCs w:val="20"/>
              </w:rPr>
            </w:pPr>
            <w:r w:rsidRPr="004A350A">
              <w:rPr>
                <w:sz w:val="20"/>
                <w:szCs w:val="20"/>
              </w:rPr>
              <w:t>Noonan/LEOPARD Syndrome</w:t>
            </w:r>
          </w:p>
        </w:tc>
        <w:tc>
          <w:tcPr>
            <w:tcW w:w="1074" w:type="dxa"/>
            <w:vMerge w:val="restart"/>
            <w:vAlign w:val="center"/>
          </w:tcPr>
          <w:p w:rsidR="004E16D1" w:rsidRPr="004A350A" w:rsidRDefault="004E16D1" w:rsidP="00810DFC">
            <w:pPr>
              <w:jc w:val="center"/>
              <w:rPr>
                <w:i/>
                <w:iCs/>
                <w:sz w:val="20"/>
                <w:szCs w:val="20"/>
              </w:rPr>
            </w:pPr>
            <w:r w:rsidRPr="004A350A">
              <w:rPr>
                <w:i/>
                <w:iCs/>
                <w:sz w:val="20"/>
                <w:szCs w:val="20"/>
              </w:rPr>
              <w:t>PTPN11</w:t>
            </w:r>
          </w:p>
        </w:tc>
        <w:tc>
          <w:tcPr>
            <w:tcW w:w="1440" w:type="dxa"/>
            <w:vAlign w:val="center"/>
          </w:tcPr>
          <w:p w:rsidR="004E16D1" w:rsidRPr="004A350A" w:rsidRDefault="004E16D1" w:rsidP="00810DFC">
            <w:pPr>
              <w:jc w:val="center"/>
              <w:rPr>
                <w:sz w:val="20"/>
                <w:szCs w:val="20"/>
              </w:rPr>
            </w:pPr>
            <w:r w:rsidRPr="004A350A">
              <w:rPr>
                <w:i/>
                <w:iCs/>
                <w:sz w:val="20"/>
                <w:szCs w:val="20"/>
              </w:rPr>
              <w:t>ptpn11</w:t>
            </w:r>
            <w:r>
              <w:rPr>
                <w:i/>
                <w:iCs/>
                <w:sz w:val="20"/>
                <w:szCs w:val="20"/>
              </w:rPr>
              <w:t>b</w:t>
            </w:r>
            <w:r w:rsidRPr="004A350A">
              <w:rPr>
                <w:sz w:val="20"/>
                <w:szCs w:val="20"/>
                <w:vertAlign w:val="superscript"/>
              </w:rPr>
              <w:t>-/-</w:t>
            </w:r>
          </w:p>
        </w:tc>
        <w:tc>
          <w:tcPr>
            <w:tcW w:w="1800" w:type="dxa"/>
            <w:vMerge w:val="restart"/>
            <w:vAlign w:val="center"/>
          </w:tcPr>
          <w:p w:rsidR="004E16D1" w:rsidRPr="004A350A" w:rsidRDefault="004E16D1" w:rsidP="00810DFC">
            <w:pPr>
              <w:jc w:val="center"/>
              <w:rPr>
                <w:sz w:val="20"/>
                <w:szCs w:val="20"/>
              </w:rPr>
            </w:pPr>
            <w:r w:rsidRPr="004A350A">
              <w:rPr>
                <w:sz w:val="20"/>
                <w:szCs w:val="20"/>
              </w:rPr>
              <w:t>Not reported</w:t>
            </w:r>
          </w:p>
        </w:tc>
        <w:tc>
          <w:tcPr>
            <w:tcW w:w="2474" w:type="dxa"/>
            <w:vAlign w:val="center"/>
          </w:tcPr>
          <w:p w:rsidR="004E16D1" w:rsidRPr="004A350A" w:rsidRDefault="004E16D1" w:rsidP="00810DFC">
            <w:pPr>
              <w:jc w:val="center"/>
              <w:rPr>
                <w:sz w:val="20"/>
                <w:szCs w:val="20"/>
              </w:rPr>
            </w:pPr>
            <w:r w:rsidRPr="004A350A">
              <w:rPr>
                <w:sz w:val="20"/>
                <w:szCs w:val="20"/>
              </w:rPr>
              <w:t>Phenotypically normal</w:t>
            </w:r>
          </w:p>
        </w:tc>
        <w:tc>
          <w:tcPr>
            <w:tcW w:w="1190" w:type="dxa"/>
            <w:vAlign w:val="center"/>
          </w:tcPr>
          <w:p w:rsidR="004E16D1" w:rsidRPr="004A350A" w:rsidRDefault="00F854A2" w:rsidP="008A4F5C">
            <w:pPr>
              <w:jc w:val="center"/>
              <w:rPr>
                <w:noProof/>
                <w:sz w:val="20"/>
                <w:szCs w:val="20"/>
              </w:rPr>
            </w:pPr>
            <w:r>
              <w:rPr>
                <w:noProof/>
                <w:sz w:val="20"/>
                <w:szCs w:val="20"/>
              </w:rPr>
              <w:t>ENU</w:t>
            </w:r>
          </w:p>
        </w:tc>
        <w:tc>
          <w:tcPr>
            <w:tcW w:w="1190" w:type="dxa"/>
            <w:vMerge w:val="restart"/>
            <w:tcBorders>
              <w:right w:val="single" w:sz="18" w:space="0" w:color="auto"/>
            </w:tcBorders>
            <w:vAlign w:val="center"/>
          </w:tcPr>
          <w:p w:rsidR="004E16D1" w:rsidRPr="004A350A" w:rsidRDefault="004E16D1" w:rsidP="00810DFC">
            <w:pPr>
              <w:jc w:val="center"/>
              <w:rPr>
                <w:sz w:val="20"/>
                <w:szCs w:val="20"/>
              </w:rPr>
            </w:pPr>
            <w:r w:rsidRPr="004A350A">
              <w:rPr>
                <w:noProof/>
                <w:sz w:val="20"/>
                <w:szCs w:val="20"/>
              </w:rPr>
              <w:t>(Bonetti et al., 2014b)</w:t>
            </w:r>
          </w:p>
        </w:tc>
      </w:tr>
      <w:tr w:rsidR="004E16D1" w:rsidTr="00F97801">
        <w:trPr>
          <w:trHeight w:val="46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ptpn11</w:t>
            </w:r>
            <w:r>
              <w:rPr>
                <w:i/>
                <w:iCs/>
                <w:sz w:val="20"/>
                <w:szCs w:val="20"/>
              </w:rPr>
              <w:t>a</w:t>
            </w:r>
            <w:r w:rsidRPr="004A350A">
              <w:rPr>
                <w:i/>
                <w:iCs/>
                <w:sz w:val="20"/>
                <w:szCs w:val="20"/>
                <w:vertAlign w:val="superscript"/>
              </w:rPr>
              <w:t>-/-</w:t>
            </w:r>
          </w:p>
        </w:tc>
        <w:tc>
          <w:tcPr>
            <w:tcW w:w="1800" w:type="dxa"/>
            <w:vMerge/>
            <w:vAlign w:val="center"/>
          </w:tcPr>
          <w:p w:rsidR="004E16D1" w:rsidRPr="004A350A" w:rsidRDefault="004E16D1" w:rsidP="00810DFC">
            <w:pPr>
              <w:jc w:val="center"/>
              <w:rPr>
                <w:sz w:val="20"/>
                <w:szCs w:val="20"/>
              </w:rPr>
            </w:pPr>
          </w:p>
        </w:tc>
        <w:tc>
          <w:tcPr>
            <w:tcW w:w="2474" w:type="dxa"/>
            <w:vMerge w:val="restart"/>
            <w:vAlign w:val="center"/>
          </w:tcPr>
          <w:p w:rsidR="004E16D1" w:rsidRPr="004A350A" w:rsidRDefault="004E16D1" w:rsidP="00810DFC">
            <w:pPr>
              <w:jc w:val="center"/>
              <w:rPr>
                <w:sz w:val="20"/>
                <w:szCs w:val="20"/>
              </w:rPr>
            </w:pPr>
            <w:r w:rsidRPr="004A350A">
              <w:rPr>
                <w:sz w:val="20"/>
                <w:szCs w:val="20"/>
              </w:rPr>
              <w:t>Cardiac</w:t>
            </w:r>
            <w:r>
              <w:rPr>
                <w:sz w:val="20"/>
                <w:szCs w:val="20"/>
              </w:rPr>
              <w:t xml:space="preserve"> and pleotropic</w:t>
            </w:r>
            <w:r w:rsidRPr="004A350A">
              <w:rPr>
                <w:sz w:val="20"/>
                <w:szCs w:val="20"/>
              </w:rPr>
              <w:t xml:space="preserve"> defects, lethal by 5dpf</w:t>
            </w:r>
          </w:p>
        </w:tc>
        <w:tc>
          <w:tcPr>
            <w:tcW w:w="1190" w:type="dxa"/>
            <w:vAlign w:val="center"/>
          </w:tcPr>
          <w:p w:rsidR="004E16D1" w:rsidRPr="004A350A" w:rsidRDefault="00F854A2" w:rsidP="008A4F5C">
            <w:pPr>
              <w:jc w:val="center"/>
              <w:rPr>
                <w:sz w:val="20"/>
                <w:szCs w:val="20"/>
              </w:rPr>
            </w:pPr>
            <w:r>
              <w:rPr>
                <w:sz w:val="20"/>
                <w:szCs w:val="20"/>
              </w:rPr>
              <w:t>ENU</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46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ptpn11a</w:t>
            </w:r>
            <w:r w:rsidRPr="004A350A">
              <w:rPr>
                <w:sz w:val="20"/>
                <w:szCs w:val="20"/>
                <w:vertAlign w:val="superscript"/>
              </w:rPr>
              <w:t>-/-</w:t>
            </w:r>
            <w:r w:rsidRPr="004A350A">
              <w:rPr>
                <w:sz w:val="20"/>
                <w:szCs w:val="20"/>
              </w:rPr>
              <w:t>;</w:t>
            </w:r>
            <w:r w:rsidRPr="004A350A">
              <w:rPr>
                <w:i/>
                <w:iCs/>
                <w:sz w:val="20"/>
                <w:szCs w:val="20"/>
              </w:rPr>
              <w:t xml:space="preserve"> ptpn11b</w:t>
            </w:r>
            <w:r w:rsidRPr="004A350A">
              <w:rPr>
                <w:sz w:val="20"/>
                <w:szCs w:val="20"/>
                <w:vertAlign w:val="superscript"/>
              </w:rPr>
              <w:t>-/-</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CE371C" w:rsidP="008A4F5C">
            <w:pPr>
              <w:jc w:val="center"/>
              <w:rPr>
                <w:sz w:val="20"/>
                <w:szCs w:val="20"/>
              </w:rPr>
            </w:pPr>
            <w:r>
              <w:rPr>
                <w:sz w:val="20"/>
                <w:szCs w:val="20"/>
              </w:rPr>
              <w:t>Breeding</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689"/>
          <w:jc w:val="center"/>
        </w:trPr>
        <w:tc>
          <w:tcPr>
            <w:tcW w:w="1513" w:type="dxa"/>
            <w:tcBorders>
              <w:left w:val="single" w:sz="18" w:space="0" w:color="auto"/>
            </w:tcBorders>
            <w:vAlign w:val="center"/>
          </w:tcPr>
          <w:p w:rsidR="004E16D1" w:rsidRPr="004A350A" w:rsidRDefault="004E16D1" w:rsidP="00810DFC">
            <w:pPr>
              <w:jc w:val="center"/>
              <w:rPr>
                <w:sz w:val="20"/>
                <w:szCs w:val="20"/>
              </w:rPr>
            </w:pPr>
            <w:r w:rsidRPr="004A350A">
              <w:rPr>
                <w:i/>
                <w:iCs/>
                <w:color w:val="000000" w:themeColor="text1"/>
                <w:sz w:val="20"/>
                <w:szCs w:val="20"/>
              </w:rPr>
              <w:t xml:space="preserve">c-CBL </w:t>
            </w:r>
            <w:r w:rsidRPr="004A350A">
              <w:rPr>
                <w:color w:val="000000" w:themeColor="text1"/>
                <w:sz w:val="20"/>
                <w:szCs w:val="20"/>
              </w:rPr>
              <w:t>Mutation Associated Syndrome</w:t>
            </w:r>
          </w:p>
        </w:tc>
        <w:tc>
          <w:tcPr>
            <w:tcW w:w="1074" w:type="dxa"/>
            <w:vAlign w:val="center"/>
          </w:tcPr>
          <w:p w:rsidR="004E16D1" w:rsidRPr="004A350A" w:rsidRDefault="004E16D1" w:rsidP="00810DFC">
            <w:pPr>
              <w:jc w:val="center"/>
              <w:rPr>
                <w:i/>
                <w:iCs/>
                <w:sz w:val="20"/>
                <w:szCs w:val="20"/>
              </w:rPr>
            </w:pPr>
            <w:r w:rsidRPr="004A350A">
              <w:rPr>
                <w:i/>
                <w:iCs/>
                <w:sz w:val="20"/>
                <w:szCs w:val="20"/>
              </w:rPr>
              <w:t>c-CBL</w:t>
            </w:r>
          </w:p>
        </w:tc>
        <w:tc>
          <w:tcPr>
            <w:tcW w:w="1440" w:type="dxa"/>
            <w:vAlign w:val="center"/>
          </w:tcPr>
          <w:p w:rsidR="004E16D1" w:rsidRPr="00F70C5B" w:rsidRDefault="006750C6" w:rsidP="00F70C5B">
            <w:pPr>
              <w:jc w:val="center"/>
              <w:rPr>
                <w:sz w:val="20"/>
                <w:szCs w:val="20"/>
              </w:rPr>
            </w:pPr>
            <w:r>
              <w:rPr>
                <w:i/>
                <w:iCs/>
              </w:rPr>
              <w:t>c</w:t>
            </w:r>
            <w:r w:rsidRPr="0037565B">
              <w:rPr>
                <w:i/>
                <w:iCs/>
              </w:rPr>
              <w:t>-cbl</w:t>
            </w:r>
            <w:r w:rsidRPr="0037565B">
              <w:rPr>
                <w:vertAlign w:val="superscript"/>
              </w:rPr>
              <w:t>H382Y</w:t>
            </w:r>
          </w:p>
        </w:tc>
        <w:tc>
          <w:tcPr>
            <w:tcW w:w="1800" w:type="dxa"/>
            <w:vAlign w:val="center"/>
          </w:tcPr>
          <w:p w:rsidR="004E16D1" w:rsidRPr="004A350A" w:rsidRDefault="004E16D1" w:rsidP="00810DFC">
            <w:pPr>
              <w:jc w:val="center"/>
              <w:rPr>
                <w:sz w:val="20"/>
                <w:szCs w:val="20"/>
              </w:rPr>
            </w:pPr>
            <w:r w:rsidRPr="004A350A">
              <w:rPr>
                <w:sz w:val="20"/>
                <w:szCs w:val="20"/>
              </w:rPr>
              <w:t>Not reported</w:t>
            </w:r>
          </w:p>
        </w:tc>
        <w:tc>
          <w:tcPr>
            <w:tcW w:w="2474" w:type="dxa"/>
            <w:vAlign w:val="center"/>
          </w:tcPr>
          <w:p w:rsidR="004E16D1" w:rsidRPr="004A350A" w:rsidRDefault="004E16D1" w:rsidP="00810DFC">
            <w:pPr>
              <w:jc w:val="center"/>
              <w:rPr>
                <w:sz w:val="20"/>
                <w:szCs w:val="20"/>
              </w:rPr>
            </w:pPr>
            <w:r w:rsidRPr="004A350A">
              <w:rPr>
                <w:sz w:val="20"/>
                <w:szCs w:val="20"/>
              </w:rPr>
              <w:t>Myeloproliferative phenotype, median survival of 15dpf</w:t>
            </w:r>
          </w:p>
        </w:tc>
        <w:tc>
          <w:tcPr>
            <w:tcW w:w="1190" w:type="dxa"/>
            <w:vAlign w:val="center"/>
          </w:tcPr>
          <w:p w:rsidR="004E16D1" w:rsidRPr="004A350A" w:rsidRDefault="00F854A2" w:rsidP="008A4F5C">
            <w:pPr>
              <w:jc w:val="center"/>
              <w:rPr>
                <w:sz w:val="20"/>
                <w:szCs w:val="20"/>
              </w:rPr>
            </w:pPr>
            <w:r>
              <w:rPr>
                <w:sz w:val="20"/>
                <w:szCs w:val="20"/>
              </w:rPr>
              <w:t>ENU</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{"citationItems":[{"id":"ITEM-1","itemData":{"DOI":"10.1038/leu.2015.154","abstract":"Controlled self-renewal and differentiation of hematopoietic stem/progenitor cells (HSPCs) are critical for vertebrate development and survival. These processes are tightly regulated by the transcription factors, signaling molecules and epigenetic factors. Impaired regulations of their function could result in hematological malignancies. Using a large-scale zebrafish N-ethyl-N-nitrosourea mutagenesis screening, we identified a line named LDD731, which presented significantly increased HSPCs in hematopoietic organs. Further analysis revealed that the cells of erythroid/myeloid lineages in definitive hematopoiesis were increased while the primitive hematopoiesis was not affected. The homozygous mutation was lethal with a median survival time around 14-15 days post fertilization. The causal mutation was located by positional cloning in the c-cbl gene, the human ortholog of which, c-CBL, is found frequently mutated in myeloproliferative neoplasms (MPN) or acute leukemia. Sequence analysis showed the mutation in LDD731 caused a histidine-to-tyrosine substitution of the amino acid codon 382 within the RING finger domain of c-Cbl. Moreover, the myeloproliferative phenotype in zebrafish seemed dependent on the Flt3 (fms-like tyrosine kinase 3) signaling, consistent with that observed in both mice and humans. Our study may shed new light on the pathogenesis of MPN and provide a useful in vivo vertebrate model of this syndrome for screening drugs.","author":[{"dropping-particle":"","family":"Peng","given":"X","non-dropping-particle":"","parse-names":false,"suffix":""},{"dropping-particle":"","family":"Dong","given":"M","non-dropping-particle":"","parse-names":false,"suffix":""},{"dropping-particle":"","family":"Ma","given":"L","non-dropping-particle":"","parse-names":false,"suffix":""},{"dropping-particle":"","family":"Jia","given":"X E","non-dropping-particle":"","parse-names":false,"suffix":""},{"dropping-particle":"","family":"Mao","given":"J","non-dropping-particle":"","parse-names":false,"suffix":""},{"dropping-particle":"","family":"Jin","given":"C","non-dropping-particle":"","parse-names":false,"suffix":""},{"dropping-particle":"","family":"Chen","given":"Y","non-dropping-particle":"","parse-names":false,"suffix":""},{"dropping-particle":"","family":"Gao","given":"L","non-dropping-particle":"","parse-names":false,"suffix":""},{"dropping-particle":"","family":"Liu","given":"X","non-dropping-particle":"","parse-names":false,"suffix":""},{"dropping-particle":"","family":"Ma","given":"K","non-dropping-particle":"","parse-names":false,"suffix":""},{"dropping-particle":"","family":"Wang","given":"L","non-dropping-particle":"","parse-names":false,"suffix":""},{"dropping-particle":"","family":"Du","given":"T","non-dropping-particle":"","parse-names":false,"suffix":""},{"dropping-particle":"","family":"Jin","given":"Y","non-dropping-particle":"","parse-names":false,"suffix":""},{"dropping-particle":"","family":"Huang","given":"Q","non-dropping-particle":"","parse-names":false,"suffix":""},{"dropping-particle":"","family":"Li","given":"K","non-dropping-particle":"","parse-names":false,"suffix":""},{"dropping-particle":"","family":"Zon","given":"L I","non-dropping-particle":"","parse-names":false,"suffix":""},{"dropping-particle":"","family":"Liu","given":"T","non-dropping-particle":"","parse-names":false,"suffix":""},{"dropping-particle":"","family":"Deng","given":"M","non-dropping-particle":"","parse-names":false,"suffix":""},{"dropping-particle":"","family":"Zhou","given":"Y","non-dropping-particle":"","parse-names":false,"suffix":""},{"dropping-particle":"","family":"Xi","given":"X","non-dropping-particle":"","parse-names":false,"suffix":""},{"dropping-particle":"","family":"Zhou","given":"Y","non-dropping-particle":"","parse-names":false,"suffix":""},{"dropping-particle":"","family":"Chen","given":"S","non-dropping-particle":"","parse-names":false,"suffix":""}],"container-title":"Leukemia","id":"ITEM-1","issue":"12","issued":{"date-parts":[["2015"]]},"page":"2355-2365","title":"A point mutation of zebrafish c-cbl gene in the ring finger domain produces a phenotype mimicking human myeloproliferative disease","type":"article","volume":"29"},"uris":["http://www.mendeley.com/documents/?uuid=36cc850a-737f-31a0-b009-85c7adbe66b1","http://www.mendeley.com/documents/?uuid=768a01f6-6026-4a5f-95ee-1355a995b4e2"]}],"mendeley":{"formattedCitation":"(Peng et al., 2015)","plainTextFormattedCitation":"(Peng et al., 2015)","previouslyFormattedCitation":"(Peng et al., 2015)"},"properties":{"noteIndex":0},"schema":"https://github.com/citation-style-language/schema/raw/master/csl-citation.json"}</w:instrText>
            </w:r>
            <w:r w:rsidRPr="004A350A">
              <w:rPr>
                <w:sz w:val="20"/>
                <w:szCs w:val="20"/>
              </w:rPr>
              <w:fldChar w:fldCharType="separate"/>
            </w:r>
            <w:r w:rsidR="004E16D1" w:rsidRPr="002E7A22">
              <w:rPr>
                <w:noProof/>
                <w:sz w:val="20"/>
                <w:szCs w:val="20"/>
              </w:rPr>
              <w:t>(Peng et al., 2015)</w:t>
            </w:r>
            <w:r w:rsidRPr="004A350A">
              <w:rPr>
                <w:sz w:val="20"/>
                <w:szCs w:val="20"/>
              </w:rPr>
              <w:fldChar w:fldCharType="end"/>
            </w:r>
          </w:p>
        </w:tc>
      </w:tr>
      <w:tr w:rsidR="004E16D1" w:rsidTr="00F97801">
        <w:trPr>
          <w:trHeight w:val="689"/>
          <w:jc w:val="center"/>
        </w:trPr>
        <w:tc>
          <w:tcPr>
            <w:tcW w:w="1513" w:type="dxa"/>
            <w:tcBorders>
              <w:left w:val="single" w:sz="18" w:space="0" w:color="auto"/>
            </w:tcBorders>
            <w:vAlign w:val="center"/>
          </w:tcPr>
          <w:p w:rsidR="004E16D1" w:rsidRPr="004A350A" w:rsidRDefault="004E16D1" w:rsidP="00810DFC">
            <w:pPr>
              <w:jc w:val="center"/>
              <w:rPr>
                <w:sz w:val="20"/>
                <w:szCs w:val="20"/>
              </w:rPr>
            </w:pPr>
            <w:r w:rsidRPr="004A350A">
              <w:rPr>
                <w:sz w:val="20"/>
                <w:szCs w:val="20"/>
              </w:rPr>
              <w:t>Costello Syndrome</w:t>
            </w:r>
          </w:p>
        </w:tc>
        <w:tc>
          <w:tcPr>
            <w:tcW w:w="1074" w:type="dxa"/>
            <w:vAlign w:val="center"/>
          </w:tcPr>
          <w:p w:rsidR="004E16D1" w:rsidRPr="004A350A" w:rsidRDefault="004E16D1" w:rsidP="00810DFC">
            <w:pPr>
              <w:jc w:val="center"/>
              <w:rPr>
                <w:i/>
                <w:iCs/>
                <w:sz w:val="20"/>
                <w:szCs w:val="20"/>
              </w:rPr>
            </w:pPr>
            <w:r w:rsidRPr="004A350A">
              <w:rPr>
                <w:i/>
                <w:iCs/>
                <w:sz w:val="20"/>
                <w:szCs w:val="20"/>
              </w:rPr>
              <w:t>HRAS</w:t>
            </w:r>
          </w:p>
        </w:tc>
        <w:tc>
          <w:tcPr>
            <w:tcW w:w="1440" w:type="dxa"/>
            <w:vAlign w:val="center"/>
          </w:tcPr>
          <w:p w:rsidR="004E16D1" w:rsidRPr="004A350A" w:rsidRDefault="004E16D1" w:rsidP="00810DFC">
            <w:pPr>
              <w:jc w:val="center"/>
              <w:rPr>
                <w:sz w:val="20"/>
                <w:szCs w:val="20"/>
              </w:rPr>
            </w:pPr>
            <w:r w:rsidRPr="004A350A">
              <w:rPr>
                <w:i/>
                <w:iCs/>
                <w:sz w:val="20"/>
                <w:szCs w:val="20"/>
              </w:rPr>
              <w:t>HRAS</w:t>
            </w:r>
            <w:r w:rsidRPr="004A350A">
              <w:rPr>
                <w:sz w:val="20"/>
                <w:szCs w:val="20"/>
                <w:vertAlign w:val="superscript"/>
              </w:rPr>
              <w:t>G12V</w:t>
            </w:r>
          </w:p>
        </w:tc>
        <w:tc>
          <w:tcPr>
            <w:tcW w:w="1800" w:type="dxa"/>
            <w:vAlign w:val="center"/>
          </w:tcPr>
          <w:p w:rsidR="004E16D1" w:rsidRPr="004A350A" w:rsidRDefault="004E16D1" w:rsidP="00810DFC">
            <w:pPr>
              <w:jc w:val="center"/>
              <w:rPr>
                <w:sz w:val="20"/>
                <w:szCs w:val="20"/>
              </w:rPr>
            </w:pPr>
            <w:r w:rsidRPr="004A350A">
              <w:rPr>
                <w:sz w:val="20"/>
                <w:szCs w:val="20"/>
              </w:rPr>
              <w:t>Melanomas, gut carcinomas, hepatocarcinomas, rhabdomyosarcoma</w:t>
            </w:r>
          </w:p>
        </w:tc>
        <w:tc>
          <w:tcPr>
            <w:tcW w:w="2474" w:type="dxa"/>
            <w:vAlign w:val="center"/>
          </w:tcPr>
          <w:p w:rsidR="004E16D1" w:rsidRPr="004A350A" w:rsidRDefault="004E16D1" w:rsidP="00810DFC">
            <w:pPr>
              <w:jc w:val="center"/>
              <w:rPr>
                <w:sz w:val="20"/>
                <w:szCs w:val="20"/>
              </w:rPr>
            </w:pPr>
            <w:r>
              <w:rPr>
                <w:sz w:val="20"/>
                <w:szCs w:val="20"/>
              </w:rPr>
              <w:t>Traits of Costello syndrome</w:t>
            </w:r>
          </w:p>
        </w:tc>
        <w:tc>
          <w:tcPr>
            <w:tcW w:w="1190" w:type="dxa"/>
            <w:vAlign w:val="center"/>
          </w:tcPr>
          <w:p w:rsidR="004E16D1" w:rsidRPr="004A350A" w:rsidRDefault="00F854A2" w:rsidP="008A4F5C">
            <w:pPr>
              <w:jc w:val="center"/>
              <w:rPr>
                <w:sz w:val="20"/>
                <w:szCs w:val="20"/>
              </w:rPr>
            </w:pPr>
            <w:r>
              <w:rPr>
                <w:sz w:val="20"/>
                <w:szCs w:val="20"/>
              </w:rPr>
              <w:t>Transgene</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{"citationItems":[{"id":"ITEM-1","itemData":{"DOI":"10.1242/dmm.001016","ISSN":"17548403","PMID":"19132118","abstract":"Constitutively active, 'oncogenic' H-RAS can drive proliferation and transformation in human cancer, or be a potent inducer of cellular senescence. Moreover, aberrant activation of the Ras pathway owing to germline mutations can cause severe developmental disorders. In this study we have generated transgenic zebrafish that constitutively express low levels, or can be induced to express high levels, of oncogenic H-RAS. We observed that fish carrying the integrated transgene in their germline display several hallmarks of Costello syndrome, a rare genetic disease caused by activating mutations in the gene H-RAS, and can be used as a model for the disease. In Costello-like fish, low levels of oncogenic H-RAS expression are associated with both reduced proliferation and an increase in senescence markers in adult progenitor cell compartments in the brain and heart, together with activated DNA damage responses. Overexpression of H-RAS through a heat-shock-inducible promoter in larvae led to hyperproliferation, activation of the DNA damage response and tp53-dependent cell cycle arrest. Thus, oncogene-induced senescence of adult proliferating cells contributes to the development of Costello syndrome and provides an alternative pathway to transformation in the presence of widespread constitutively active H-RAS expression.","author":[{"dropping-particle":"","family":"Santoriello","given":"Cristina","non-dropping-particle":"","parse-names":false,"suffix":""},{"dropping-particle":"","family":"Deflorian","given":"Gianluca","non-dropping-particle":"","parse-names":false,"suffix":""},{"dropping-particle":"","family":"Pezzimenti","given":"Federica","non-dropping-particle":"","parse-names":false,"suffix":""},{"dropping-particle":"","family":"Kawakami","given":"Koichi","non-dropping-particle":"","parse-names":false,"suffix":""},{"dropping-particle":"","family":"Lanfrancone","given":"Luisa","non-dropping-particle":"","parse-names":false,"suffix":""},{"dropping-particle":"","family":"Fagagna","given":"Fabrizio D.Adda","non-dropping-particle":"Di","parse-names":false,"suffix":""},{"dropping-particle":"","family":"Mione","given":"Marina","non-dropping-particle":"","parse-names":false,"suffix":""}],"container-title":"DMM Disease Models and Mechanisms","id":"ITEM-1","issue":"1-2","issued":{"date-parts":[["2009","1"]]},"page":"56-67","title":"Expression of H-RASV12 in a zebrafish model of Costello syndrome causes cellular senescence in adult proliferating cells","type":"article-journal","volume":"2"},"uris":["http://www.mendeley.com/documents/?uuid=f6a5f413-7f2b-3546-a0e5-7dafaa7db131"]}],"mendeley":{"formattedCitation":"(Santoriello et al., 2009)","plainTextFormattedCitation":"(Santoriello et al., 2009)","previouslyFormattedCitation":"(Santoriello et al., 2009)"},"properties":{"noteIndex":0},"schema":"https://github.com/citation-style-language/schema/raw/master/csl-citation.json"}</w:instrText>
            </w:r>
            <w:r w:rsidRPr="004A350A">
              <w:rPr>
                <w:sz w:val="20"/>
                <w:szCs w:val="20"/>
              </w:rPr>
              <w:fldChar w:fldCharType="separate"/>
            </w:r>
            <w:r w:rsidR="004E16D1" w:rsidRPr="00A53FA2">
              <w:rPr>
                <w:noProof/>
                <w:sz w:val="20"/>
                <w:szCs w:val="20"/>
              </w:rPr>
              <w:t>(Santoriello et al., 2009)</w:t>
            </w:r>
            <w:r w:rsidRPr="004A350A">
              <w:rPr>
                <w:sz w:val="20"/>
                <w:szCs w:val="20"/>
              </w:rPr>
              <w:fldChar w:fldCharType="end"/>
            </w:r>
          </w:p>
        </w:tc>
      </w:tr>
      <w:tr w:rsidR="004E16D1" w:rsidTr="00F97801">
        <w:trPr>
          <w:trHeight w:val="144"/>
          <w:jc w:val="center"/>
        </w:trPr>
        <w:tc>
          <w:tcPr>
            <w:tcW w:w="1513" w:type="dxa"/>
            <w:vMerge w:val="restart"/>
            <w:tcBorders>
              <w:left w:val="single" w:sz="18" w:space="0" w:color="auto"/>
            </w:tcBorders>
            <w:vAlign w:val="center"/>
          </w:tcPr>
          <w:p w:rsidR="004E16D1" w:rsidRPr="004A350A" w:rsidRDefault="004E16D1" w:rsidP="00810DFC">
            <w:pPr>
              <w:jc w:val="center"/>
              <w:rPr>
                <w:sz w:val="20"/>
                <w:szCs w:val="20"/>
              </w:rPr>
            </w:pPr>
            <w:r w:rsidRPr="004A350A">
              <w:rPr>
                <w:sz w:val="20"/>
                <w:szCs w:val="20"/>
              </w:rPr>
              <w:t>Neurofibromatosis Type 1</w:t>
            </w:r>
          </w:p>
        </w:tc>
        <w:tc>
          <w:tcPr>
            <w:tcW w:w="1074" w:type="dxa"/>
            <w:vMerge w:val="restart"/>
            <w:vAlign w:val="center"/>
          </w:tcPr>
          <w:p w:rsidR="004E16D1" w:rsidRPr="004A350A" w:rsidRDefault="004E16D1" w:rsidP="00810DFC">
            <w:pPr>
              <w:jc w:val="center"/>
              <w:rPr>
                <w:i/>
                <w:iCs/>
                <w:sz w:val="20"/>
                <w:szCs w:val="20"/>
              </w:rPr>
            </w:pPr>
            <w:r w:rsidRPr="004A350A">
              <w:rPr>
                <w:i/>
                <w:iCs/>
                <w:sz w:val="20"/>
                <w:szCs w:val="20"/>
              </w:rPr>
              <w:t>NF1</w:t>
            </w:r>
          </w:p>
        </w:tc>
        <w:tc>
          <w:tcPr>
            <w:tcW w:w="1440" w:type="dxa"/>
            <w:vAlign w:val="center"/>
          </w:tcPr>
          <w:p w:rsidR="004E16D1" w:rsidRPr="004A350A" w:rsidRDefault="004E16D1" w:rsidP="00810DFC">
            <w:pPr>
              <w:jc w:val="center"/>
              <w:rPr>
                <w:sz w:val="20"/>
                <w:szCs w:val="20"/>
                <w:vertAlign w:val="superscript"/>
              </w:rPr>
            </w:pPr>
            <w:r w:rsidRPr="004A350A">
              <w:rPr>
                <w:i/>
                <w:iCs/>
                <w:sz w:val="20"/>
                <w:szCs w:val="20"/>
              </w:rPr>
              <w:t>nf1a</w:t>
            </w:r>
            <w:r w:rsidRPr="004A350A">
              <w:rPr>
                <w:sz w:val="20"/>
                <w:szCs w:val="20"/>
                <w:vertAlign w:val="superscript"/>
              </w:rPr>
              <w:t>-/-</w:t>
            </w:r>
            <w:r w:rsidRPr="004A350A">
              <w:rPr>
                <w:sz w:val="20"/>
                <w:szCs w:val="20"/>
              </w:rPr>
              <w:t xml:space="preserve">; </w:t>
            </w:r>
            <w:r w:rsidRPr="004A350A">
              <w:rPr>
                <w:i/>
                <w:iCs/>
                <w:sz w:val="20"/>
                <w:szCs w:val="20"/>
              </w:rPr>
              <w:t>nf1b</w:t>
            </w:r>
            <w:r w:rsidRPr="004A350A">
              <w:rPr>
                <w:sz w:val="20"/>
                <w:szCs w:val="20"/>
                <w:vertAlign w:val="superscript"/>
              </w:rPr>
              <w:t>-/-</w:t>
            </w:r>
          </w:p>
        </w:tc>
        <w:tc>
          <w:tcPr>
            <w:tcW w:w="1800" w:type="dxa"/>
            <w:vAlign w:val="center"/>
          </w:tcPr>
          <w:p w:rsidR="004E16D1" w:rsidRPr="004A350A" w:rsidRDefault="004E16D1" w:rsidP="00810DFC">
            <w:pPr>
              <w:jc w:val="center"/>
              <w:rPr>
                <w:sz w:val="20"/>
                <w:szCs w:val="20"/>
              </w:rPr>
            </w:pPr>
            <w:r w:rsidRPr="004A350A">
              <w:rPr>
                <w:sz w:val="20"/>
                <w:szCs w:val="20"/>
              </w:rPr>
              <w:t>Not reported</w:t>
            </w:r>
          </w:p>
        </w:tc>
        <w:tc>
          <w:tcPr>
            <w:tcW w:w="2474" w:type="dxa"/>
            <w:vAlign w:val="center"/>
          </w:tcPr>
          <w:p w:rsidR="004E16D1" w:rsidRPr="004A350A" w:rsidRDefault="004E16D1" w:rsidP="00810DFC">
            <w:pPr>
              <w:jc w:val="center"/>
              <w:rPr>
                <w:sz w:val="20"/>
                <w:szCs w:val="20"/>
              </w:rPr>
            </w:pPr>
            <w:r w:rsidRPr="004A350A">
              <w:rPr>
                <w:sz w:val="20"/>
                <w:szCs w:val="20"/>
              </w:rPr>
              <w:t>Nervous system defects,</w:t>
            </w:r>
            <w:r>
              <w:rPr>
                <w:sz w:val="20"/>
                <w:szCs w:val="20"/>
              </w:rPr>
              <w:t xml:space="preserve"> melanophore phenotype,</w:t>
            </w:r>
            <w:r w:rsidRPr="004A350A">
              <w:rPr>
                <w:sz w:val="20"/>
                <w:szCs w:val="20"/>
              </w:rPr>
              <w:t xml:space="preserve"> do not survive past 10dpf</w:t>
            </w:r>
          </w:p>
        </w:tc>
        <w:tc>
          <w:tcPr>
            <w:tcW w:w="1190" w:type="dxa"/>
            <w:vAlign w:val="center"/>
          </w:tcPr>
          <w:p w:rsidR="004E16D1" w:rsidRPr="004A350A" w:rsidRDefault="00F854A2" w:rsidP="008A4F5C">
            <w:pPr>
              <w:jc w:val="center"/>
              <w:rPr>
                <w:sz w:val="20"/>
                <w:szCs w:val="20"/>
              </w:rPr>
            </w:pPr>
            <w:r>
              <w:rPr>
                <w:sz w:val="20"/>
                <w:szCs w:val="20"/>
              </w:rPr>
              <w:t>ZFN</w:t>
            </w:r>
          </w:p>
        </w:tc>
        <w:tc>
          <w:tcPr>
            <w:tcW w:w="1190" w:type="dxa"/>
            <w:vMerge w:val="restart"/>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{"citationItems":[{"id":"ITEM-1","itemData":{"DOI":"10.1242/dmm.009779","ISSN":"17548403","PMID":"22773753","abstract":"Neurofibromatosis type 1 (NF1) is a common, dominantly inherited genetic disorder that results from mutations in the neurofibromin 1 (NF1) gene. Affected individuals demonstrate abnormalities in neural-crest-derived tissues that include hyperpigmented skin lesions and benign peripheral nerve sheath tumors. NF1 patients also have a predisposition to malignancies including juvenile myelomonocytic leukemia (JMML), optic glioma, glioblastoma, schwannoma and malignant peripheral nerve sheath tumors (MPNSTs). In an effort to better define the molecular and cellular determinants of NF1 disease pathogenesis in vivo, we employed targeted mutagenesis strategies to generate zebrafish harboring stable germline mutations in nf1a and nf1b, orthologues of NF1. Animals homozygous for loss-of-function alleles of nf1a or nf1b alone are phenotypically normal and viable. Homozygous loss of both alleles in combination generates larval phenotypes that resemble aspects of the human disease and results in larval lethality between 7 and 10 days post fertilization. nf1-null larvae demonstrate significant central and peripheral nervous system defects. These include aberrant proliferation and differentiation of oligodendrocyte progenitor cells (OPCs), dysmorphic myelin sheaths and hyperplasia of Schwann cells. Loss of nf1 contributes to tumorigenesis as demonstrated by an accelerated onset and increased penetrance of high-grade gliomas and MPNSTs in adult nf1a +/-; nf1b-/-; p53e7/e7 animals. nf1-null larvae also demonstrate significant motor and learning defects. Importantly, we identify and quantitatively analyze a novel melanophore phenotype in nf1-null larvae, providing the first animal model of the pathognomonic pigmentation lesions of NF1. Together, these findings support a role for nf1a and nf1b as potent tumor suppressor genes that also function in the development of both central and peripheral glial cells as well as melanophores in zebrafish. © 2012. Published by The Company of Biologists Ltd.","author":[{"dropping-particle":"","family":"Shin","given":"Jimann","non-dropping-particle":"","parse-names":false,"suffix":""},{"dropping-particle":"","family":"Padmanabhan","given":"Arun","non-dropping-particle":"","parse-names":false,"suffix":""},{"dropping-particle":"","family":"Groh","given":"Eric D.","non-dropping-particle":"De","parse-names":false,"suffix":""},{"dropping-particle":"","family":"Lee","given":"Jeong Soo","non-dropping-particle":"","parse-names":false,"suffix":""},{"dropping-particle":"","family":"Haidar","given":"Sam","non-dropping-particle":"","parse-names":false,"suffix":""},{"dropping-particle":"","family":"Dahlberg","given":"Suzanne","non-dropping-particle":"","parse-names":false,"suffix":""},{"dropping-particle":"","family":"Guo","given":"Feng","non-dropping-particle":"","parse-names":false,"suffix":""},{"dropping-particle":"","family":"He","given":"Shuning","non-dropping-particle":"","parse-names":false,"suffix":""},{"dropping-particle":"","family":"Wolman","given":"Marc A.","non-dropping-particle":"","parse-names":false,"suffix":""},{"dropping-particle":"","family":"Granato","given":"Michael","non-dropping-particle":"","parse-names":false,"suffix":""},{"dropping-particle":"","family":"Lawson","given":"Nathan D.","non-dropping-particle":"","parse-names":false,"suffix":""},{"dropping-particle":"","family":"Wolfe","given":"Scot A.","non-dropping-particle":"","parse-names":false,"suffix":""},{"dropping-particle":"","family":"Kim","given":"Seok Hyung","non-dropping-particle":"","parse-names":false,"suffix":""},{"dropping-particle":"","family":"Solnica-Krezel","given":"Lilianna","non-dropping-particle":"","parse-names":false,"suffix":""},{"dropping-particle":"","family":"Kanki","given":"John P.","non-dropping-particle":"","parse-names":false,"suffix":""},{"dropping-particle":"","family":"Ligon","given":"Keith L.","non-dropping-particle":"","parse-names":false,"suffix":""},{"dropping-particle":"","family":"Epstein","given":"Jonathan A.","non-dropping-particle":"","parse-names":false,"suffix":""},{"dropping-particle":"","family":"Look","given":"A. Thomas","non-dropping-particle":"","parse-names":false,"suffix":""}],"container-title":"DMM Disease Models and Mechanisms","id":"ITEM-1","issue":"6","issued":{"date-parts":[["2012","11"]]},"page":"881-894","title":"Zebrafish neurofibromatosis type 1 genes have redundant functions in tumorigenesis and embryonic development","type":"article-journal","volume":"5"},"uris":["http://www.mendeley.com/documents/?uuid=5cb19457-4afa-3b42-a9ec-cc68107f1494"]}],"mendeley":{"formattedCitation":"(Shin et al., 2012)","plainTextFormattedCitation":"(Shin et al., 2012)","previouslyFormattedCitation":"(Shin et al., 2012)"},"properties":{"noteIndex":0},"schema":"https://github.com/citation-style-language/schema/raw/master/csl-citation.json"}</w:instrText>
            </w:r>
            <w:r w:rsidRPr="004A350A">
              <w:rPr>
                <w:sz w:val="20"/>
                <w:szCs w:val="20"/>
              </w:rPr>
              <w:fldChar w:fldCharType="separate"/>
            </w:r>
            <w:r w:rsidR="004E16D1" w:rsidRPr="00A53FA2">
              <w:rPr>
                <w:noProof/>
                <w:sz w:val="20"/>
                <w:szCs w:val="20"/>
              </w:rPr>
              <w:t>(Shin et al., 2012)</w:t>
            </w:r>
            <w:r w:rsidRPr="004A350A">
              <w:rPr>
                <w:sz w:val="20"/>
                <w:szCs w:val="20"/>
              </w:rPr>
              <w:fldChar w:fldCharType="end"/>
            </w:r>
          </w:p>
          <w:p w:rsidR="004E16D1" w:rsidRPr="004A350A" w:rsidRDefault="004E16D1" w:rsidP="00810DFC">
            <w:pPr>
              <w:jc w:val="center"/>
              <w:rPr>
                <w:sz w:val="20"/>
                <w:szCs w:val="20"/>
              </w:rPr>
            </w:pPr>
          </w:p>
        </w:tc>
      </w:tr>
      <w:tr w:rsidR="004E16D1" w:rsidTr="00F97801">
        <w:trPr>
          <w:trHeight w:val="144"/>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B70E43" w:rsidRDefault="004E16D1" w:rsidP="00810DFC">
            <w:pPr>
              <w:jc w:val="center"/>
              <w:rPr>
                <w:sz w:val="20"/>
                <w:szCs w:val="20"/>
                <w:vertAlign w:val="superscript"/>
              </w:rPr>
            </w:pPr>
            <w:r w:rsidRPr="00B70E43">
              <w:rPr>
                <w:i/>
                <w:iCs/>
                <w:sz w:val="20"/>
                <w:szCs w:val="20"/>
              </w:rPr>
              <w:t>nf1a</w:t>
            </w:r>
            <w:r w:rsidRPr="00B70E43">
              <w:rPr>
                <w:sz w:val="20"/>
                <w:szCs w:val="20"/>
                <w:vertAlign w:val="superscript"/>
              </w:rPr>
              <w:t>+/-</w:t>
            </w:r>
            <w:r w:rsidRPr="00B70E43">
              <w:rPr>
                <w:sz w:val="20"/>
                <w:szCs w:val="20"/>
              </w:rPr>
              <w:t xml:space="preserve">; </w:t>
            </w:r>
            <w:r w:rsidRPr="00B70E43">
              <w:rPr>
                <w:i/>
                <w:iCs/>
                <w:sz w:val="20"/>
                <w:szCs w:val="20"/>
              </w:rPr>
              <w:t>nf1b</w:t>
            </w:r>
            <w:r w:rsidRPr="00B70E43">
              <w:rPr>
                <w:sz w:val="20"/>
                <w:szCs w:val="20"/>
                <w:vertAlign w:val="superscript"/>
              </w:rPr>
              <w:t>-/-</w:t>
            </w:r>
            <w:r w:rsidRPr="00B70E43">
              <w:rPr>
                <w:sz w:val="20"/>
                <w:szCs w:val="20"/>
              </w:rPr>
              <w:t xml:space="preserve">; </w:t>
            </w:r>
            <w:r w:rsidRPr="00B70E43">
              <w:rPr>
                <w:i/>
                <w:iCs/>
                <w:sz w:val="20"/>
                <w:szCs w:val="20"/>
              </w:rPr>
              <w:t>tp53</w:t>
            </w:r>
            <w:r w:rsidRPr="00B70E43">
              <w:rPr>
                <w:i/>
                <w:iCs/>
                <w:sz w:val="20"/>
                <w:szCs w:val="20"/>
                <w:vertAlign w:val="superscript"/>
              </w:rPr>
              <w:t>M214K/M214K</w:t>
            </w:r>
          </w:p>
        </w:tc>
        <w:tc>
          <w:tcPr>
            <w:tcW w:w="1800" w:type="dxa"/>
            <w:vAlign w:val="center"/>
          </w:tcPr>
          <w:p w:rsidR="004E16D1" w:rsidRPr="004A350A" w:rsidRDefault="004E16D1" w:rsidP="00810DFC">
            <w:pPr>
              <w:jc w:val="center"/>
              <w:rPr>
                <w:sz w:val="20"/>
                <w:szCs w:val="20"/>
              </w:rPr>
            </w:pPr>
            <w:r w:rsidRPr="004A350A">
              <w:rPr>
                <w:sz w:val="20"/>
                <w:szCs w:val="20"/>
              </w:rPr>
              <w:t>High-grade gliomas and MPNSTs</w:t>
            </w:r>
          </w:p>
        </w:tc>
        <w:tc>
          <w:tcPr>
            <w:tcW w:w="2474" w:type="dxa"/>
            <w:vAlign w:val="center"/>
          </w:tcPr>
          <w:p w:rsidR="004E16D1" w:rsidRPr="004A350A" w:rsidRDefault="004E16D1" w:rsidP="00810DFC">
            <w:pPr>
              <w:jc w:val="center"/>
              <w:rPr>
                <w:sz w:val="20"/>
                <w:szCs w:val="20"/>
              </w:rPr>
            </w:pPr>
            <w:r>
              <w:rPr>
                <w:sz w:val="20"/>
                <w:szCs w:val="20"/>
              </w:rPr>
              <w:t>I</w:t>
            </w:r>
            <w:r w:rsidRPr="004A350A">
              <w:rPr>
                <w:sz w:val="20"/>
                <w:szCs w:val="20"/>
              </w:rPr>
              <w:t>ncreased onset and penetrance</w:t>
            </w:r>
            <w:r>
              <w:rPr>
                <w:sz w:val="20"/>
                <w:szCs w:val="20"/>
              </w:rPr>
              <w:t xml:space="preserve"> of tumor development</w:t>
            </w:r>
          </w:p>
        </w:tc>
        <w:tc>
          <w:tcPr>
            <w:tcW w:w="1190" w:type="dxa"/>
            <w:vAlign w:val="center"/>
          </w:tcPr>
          <w:p w:rsidR="00902FCC" w:rsidRPr="004A350A" w:rsidRDefault="00902FCC" w:rsidP="008A4F5C">
            <w:pPr>
              <w:jc w:val="center"/>
              <w:rPr>
                <w:sz w:val="20"/>
                <w:szCs w:val="20"/>
              </w:rPr>
            </w:pPr>
            <w:r>
              <w:rPr>
                <w:sz w:val="20"/>
                <w:szCs w:val="20"/>
              </w:rPr>
              <w:t>Breeding</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144"/>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i/>
                <w:iCs/>
                <w:sz w:val="20"/>
                <w:szCs w:val="20"/>
              </w:rPr>
            </w:pPr>
            <w:r w:rsidRPr="004A350A">
              <w:rPr>
                <w:i/>
                <w:iCs/>
                <w:sz w:val="20"/>
                <w:szCs w:val="20"/>
              </w:rPr>
              <w:t>nf1a</w:t>
            </w:r>
            <w:r w:rsidRPr="004A350A">
              <w:rPr>
                <w:sz w:val="20"/>
                <w:szCs w:val="20"/>
                <w:vertAlign w:val="superscript"/>
              </w:rPr>
              <w:t>+/-</w:t>
            </w:r>
            <w:r w:rsidRPr="004A350A">
              <w:rPr>
                <w:sz w:val="20"/>
                <w:szCs w:val="20"/>
              </w:rPr>
              <w:t xml:space="preserve">; </w:t>
            </w:r>
            <w:r w:rsidRPr="004A350A">
              <w:rPr>
                <w:i/>
                <w:iCs/>
                <w:sz w:val="20"/>
                <w:szCs w:val="20"/>
              </w:rPr>
              <w:t>nf1b</w:t>
            </w:r>
            <w:r w:rsidRPr="004A350A">
              <w:rPr>
                <w:sz w:val="20"/>
                <w:szCs w:val="20"/>
                <w:vertAlign w:val="superscript"/>
              </w:rPr>
              <w:t>-/-</w:t>
            </w:r>
            <w:r w:rsidRPr="004A350A">
              <w:rPr>
                <w:sz w:val="20"/>
                <w:szCs w:val="20"/>
              </w:rPr>
              <w:t xml:space="preserve">; </w:t>
            </w:r>
            <w:r w:rsidRPr="004A350A">
              <w:rPr>
                <w:i/>
                <w:iCs/>
                <w:sz w:val="20"/>
                <w:szCs w:val="20"/>
              </w:rPr>
              <w:t>tp53</w:t>
            </w:r>
            <w:r>
              <w:rPr>
                <w:i/>
                <w:iCs/>
                <w:sz w:val="20"/>
                <w:szCs w:val="20"/>
                <w:vertAlign w:val="superscript"/>
              </w:rPr>
              <w:t>M214K/M214K</w:t>
            </w:r>
            <w:r>
              <w:rPr>
                <w:i/>
                <w:iCs/>
                <w:sz w:val="20"/>
                <w:szCs w:val="20"/>
              </w:rPr>
              <w:t xml:space="preserve">; </w:t>
            </w:r>
            <w:r w:rsidRPr="004A350A">
              <w:rPr>
                <w:i/>
                <w:iCs/>
                <w:sz w:val="20"/>
                <w:szCs w:val="20"/>
              </w:rPr>
              <w:t>sox10:PDGFRA</w:t>
            </w:r>
            <w:r w:rsidRPr="004A350A">
              <w:rPr>
                <w:sz w:val="20"/>
                <w:szCs w:val="20"/>
                <w:vertAlign w:val="superscript"/>
              </w:rPr>
              <w:t>WT</w:t>
            </w:r>
          </w:p>
        </w:tc>
        <w:tc>
          <w:tcPr>
            <w:tcW w:w="1800" w:type="dxa"/>
            <w:vAlign w:val="center"/>
          </w:tcPr>
          <w:p w:rsidR="004E16D1" w:rsidRPr="004A350A" w:rsidRDefault="004E16D1" w:rsidP="00810DFC">
            <w:pPr>
              <w:jc w:val="center"/>
              <w:rPr>
                <w:sz w:val="20"/>
                <w:szCs w:val="20"/>
              </w:rPr>
            </w:pPr>
            <w:r w:rsidRPr="004A350A">
              <w:rPr>
                <w:sz w:val="20"/>
                <w:szCs w:val="20"/>
              </w:rPr>
              <w:t>MPNSTs</w:t>
            </w:r>
          </w:p>
        </w:tc>
        <w:tc>
          <w:tcPr>
            <w:tcW w:w="2474" w:type="dxa"/>
            <w:vAlign w:val="center"/>
          </w:tcPr>
          <w:p w:rsidR="004E16D1" w:rsidRPr="004A350A" w:rsidRDefault="004E16D1" w:rsidP="00810DFC">
            <w:pPr>
              <w:jc w:val="center"/>
              <w:rPr>
                <w:sz w:val="20"/>
                <w:szCs w:val="20"/>
              </w:rPr>
            </w:pPr>
            <w:r w:rsidRPr="004A350A">
              <w:rPr>
                <w:sz w:val="20"/>
                <w:szCs w:val="20"/>
              </w:rPr>
              <w:t>Nervous system defects,</w:t>
            </w:r>
            <w:r>
              <w:rPr>
                <w:sz w:val="20"/>
                <w:szCs w:val="20"/>
              </w:rPr>
              <w:t xml:space="preserve"> melanophore phenotype,d</w:t>
            </w:r>
            <w:r w:rsidRPr="004A350A">
              <w:rPr>
                <w:sz w:val="20"/>
                <w:szCs w:val="20"/>
              </w:rPr>
              <w:t>ecreased time to tumor onset</w:t>
            </w:r>
          </w:p>
        </w:tc>
        <w:tc>
          <w:tcPr>
            <w:tcW w:w="1190" w:type="dxa"/>
            <w:vAlign w:val="center"/>
          </w:tcPr>
          <w:p w:rsidR="00902FCC" w:rsidRPr="004A350A" w:rsidRDefault="00902FCC" w:rsidP="00CE371C">
            <w:pPr>
              <w:jc w:val="center"/>
              <w:rPr>
                <w:iCs/>
                <w:sz w:val="20"/>
                <w:szCs w:val="20"/>
              </w:rPr>
            </w:pPr>
            <w:r>
              <w:rPr>
                <w:iCs/>
                <w:sz w:val="20"/>
                <w:szCs w:val="20"/>
              </w:rPr>
              <w:t>Breeding</w:t>
            </w:r>
            <w:r w:rsidR="00CE371C">
              <w:rPr>
                <w:iCs/>
                <w:sz w:val="20"/>
                <w:szCs w:val="20"/>
              </w:rPr>
              <w:t xml:space="preserve">, </w:t>
            </w:r>
            <w:r>
              <w:rPr>
                <w:iCs/>
                <w:sz w:val="20"/>
                <w:szCs w:val="20"/>
              </w:rPr>
              <w:t>Transgene</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iCs/>
                <w:sz w:val="20"/>
                <w:szCs w:val="20"/>
              </w:rPr>
              <w:fldChar w:fldCharType="begin" w:fldLock="1"/>
            </w:r>
            <w:r w:rsidR="004E16D1">
              <w:rPr>
                <w:iCs/>
                <w:sz w:val="20"/>
                <w:szCs w:val="20"/>
              </w:rPr>
              <w:instrText xml:space="preserve">ADDIN CSL_CITATION {"citationItems":[{"id":"ITEM-1","itemData":{"DOI":"10.1038/onc.2016.269","ISSN":"14765594","PMID":"27477693","abstract":"Malignant peripheral nerve sheath tumors (MPNSTs) are aggressive, frequently metastatic sarcomas that are associated with neurofibromatosis type 1 (NF1), a prominent inherited genetic disease in humans. Although loss of the NF1 gene predisposes to MPNST induction, relatively long tumor latency in NF1 patients suggests that additional genetic or epigenetic abnormalities are needed for the development of these nerve sheath malignancies. To study the molecular pathways contributing to the formation of MPNSTs in NF1 patients, we used a zebrafish tumor model defined by nf1 loss in a p53-deficient background together with the overexpression of either wild-type or constitutively activated PDGFRA (platelet-derived growth factor receptor-α) under control of the sox10 neural crest-specific promoter. Here we demonstrate the accelerated onset and increased penetrance of MPNST formation in fish overexpressing both the wild-type and the mutant PDGFRA transgenes in cells of neural crest origin. Interestingly, overexpression of the wild-type PDGFRA was even more potent in promoting transformation than the mutant PDGFRA, which is important because </w:instrText>
            </w:r>
            <w:r w:rsidR="004E16D1">
              <w:rPr>
                <w:rFonts w:ascii="Cambria Math" w:hAnsi="Cambria Math" w:cs="Cambria Math"/>
                <w:iCs/>
                <w:sz w:val="20"/>
                <w:szCs w:val="20"/>
              </w:rPr>
              <w:instrText>∼</w:instrText>
            </w:r>
            <w:r w:rsidR="004E16D1">
              <w:rPr>
                <w:iCs/>
                <w:sz w:val="20"/>
                <w:szCs w:val="20"/>
              </w:rPr>
              <w:instrText>78% of human MPNSTs have expression of wild-type PDGFRA, whereas only 5% harbor activating mutations of the gene encoding this receptor. Further analysis revealed the induction of cellular senescence in zebrafish embryos overexpressing mutant, but not wild-type, PDGFRA, suggesting a mechanism through which the oncogenic activity of the mutant receptor is tempered by the activation of premature cellular senescence in an NF1-deficient background. Taken together, our study suggests a model in which overexpression of wild-type PDGFRA associated with NF1 deficiency leads to aberrant activation of downstream RAS signaling and thus contributes importantly to MPNST development - a prediction supported by the ability of the kinase inhibitor sunitinib alone and in combination with the MEK inhibitor trametinib to retard MPNST progression in transgenic fish overexpressing the wild-type receptor.","author":[{"dropping-particle":"","family":"Ki","given":"D. H.","non-dropping-particle":"","parse-names":false,"suffix":""},{"dropping-particle":"","family":"He","given":"S.","non-dropping-particle":"","parse-names":false,"suffix":""},{"dropping-particle":"","family":"Rodig","given":"S.","non-dropping-particle":"","parse-names":false,"suffix":""},{"dropping-particle":"","family":"Look","given":"A. T.","non-dropping-particle":"","parse-names":false,"suffix":""}],"container-title":"Oncogene","id":"ITEM-1","issue":"8","issued":{"date-parts":[["2017","2","23"]]},"page":"1058-1068","publisher":"Nature Publishing Group","title":"Overexpression of PDGFRA cooperates with loss of NF1 and p53 to accelerate the molecular pathogenesis of malignant peripheral nerve sheath tumors","type":"article-journal","volume":"36"},"uris":["http://www.mendeley.com/documents/?uuid=e557c985-3e3a-3c13-827a-7a273de46a43","http://www.mendeley.com/documents/?uuid=80f70416-4aca-419f-bdc8-039d5feb1b9f"]}],"mendeley":{"formattedCitation":"(Ki et al., 2017)","plainTextFormattedCitation":"(Ki et al., 2017)","previouslyFormattedCitation":"(Ki et al., 2017)"},"properties":{"noteIndex":0},"schema":"https://github.com/citation-style-language/schema/raw/master/csl-citation.json"}</w:instrText>
            </w:r>
            <w:r w:rsidRPr="004A350A">
              <w:rPr>
                <w:iCs/>
                <w:sz w:val="20"/>
                <w:szCs w:val="20"/>
              </w:rPr>
              <w:fldChar w:fldCharType="separate"/>
            </w:r>
            <w:r w:rsidR="004E16D1" w:rsidRPr="004A350A">
              <w:rPr>
                <w:iCs/>
                <w:noProof/>
                <w:sz w:val="20"/>
                <w:szCs w:val="20"/>
              </w:rPr>
              <w:t>(Ki et al., 2017)</w:t>
            </w:r>
            <w:r w:rsidRPr="004A350A">
              <w:rPr>
                <w:iCs/>
                <w:sz w:val="20"/>
                <w:szCs w:val="20"/>
              </w:rPr>
              <w:fldChar w:fldCharType="end"/>
            </w:r>
          </w:p>
        </w:tc>
      </w:tr>
      <w:tr w:rsidR="004E16D1" w:rsidTr="00F97801">
        <w:trPr>
          <w:trHeight w:val="144"/>
          <w:jc w:val="center"/>
        </w:trPr>
        <w:tc>
          <w:tcPr>
            <w:tcW w:w="1513" w:type="dxa"/>
            <w:vMerge w:val="restart"/>
            <w:tcBorders>
              <w:left w:val="single" w:sz="18" w:space="0" w:color="auto"/>
            </w:tcBorders>
            <w:vAlign w:val="center"/>
          </w:tcPr>
          <w:p w:rsidR="004E16D1" w:rsidRPr="004A350A" w:rsidRDefault="004E16D1" w:rsidP="00810DFC">
            <w:pPr>
              <w:jc w:val="center"/>
              <w:rPr>
                <w:sz w:val="20"/>
                <w:szCs w:val="20"/>
              </w:rPr>
            </w:pPr>
            <w:r w:rsidRPr="004A350A">
              <w:rPr>
                <w:sz w:val="20"/>
                <w:szCs w:val="20"/>
              </w:rPr>
              <w:t>Dyskeratosis Congenita</w:t>
            </w:r>
          </w:p>
        </w:tc>
        <w:tc>
          <w:tcPr>
            <w:tcW w:w="1074" w:type="dxa"/>
            <w:vAlign w:val="center"/>
          </w:tcPr>
          <w:p w:rsidR="004E16D1" w:rsidRPr="004A350A" w:rsidRDefault="004E16D1" w:rsidP="00810DFC">
            <w:pPr>
              <w:jc w:val="center"/>
              <w:rPr>
                <w:i/>
                <w:iCs/>
                <w:sz w:val="20"/>
                <w:szCs w:val="20"/>
              </w:rPr>
            </w:pPr>
            <w:r w:rsidRPr="004A350A">
              <w:rPr>
                <w:i/>
                <w:iCs/>
                <w:sz w:val="20"/>
                <w:szCs w:val="20"/>
              </w:rPr>
              <w:t>TERT</w:t>
            </w:r>
          </w:p>
        </w:tc>
        <w:tc>
          <w:tcPr>
            <w:tcW w:w="1440" w:type="dxa"/>
            <w:vAlign w:val="center"/>
          </w:tcPr>
          <w:p w:rsidR="004E16D1" w:rsidRPr="004A350A" w:rsidRDefault="004E16D1" w:rsidP="00810DFC">
            <w:pPr>
              <w:jc w:val="center"/>
              <w:rPr>
                <w:sz w:val="20"/>
                <w:szCs w:val="20"/>
                <w:vertAlign w:val="superscript"/>
              </w:rPr>
            </w:pPr>
            <w:r w:rsidRPr="004A350A">
              <w:rPr>
                <w:i/>
                <w:iCs/>
                <w:sz w:val="20"/>
                <w:szCs w:val="20"/>
              </w:rPr>
              <w:t>tert</w:t>
            </w:r>
            <w:r w:rsidRPr="004A350A">
              <w:rPr>
                <w:sz w:val="20"/>
                <w:szCs w:val="20"/>
                <w:vertAlign w:val="superscript"/>
              </w:rPr>
              <w:t>-/-</w:t>
            </w:r>
          </w:p>
        </w:tc>
        <w:tc>
          <w:tcPr>
            <w:tcW w:w="1800" w:type="dxa"/>
            <w:vAlign w:val="center"/>
          </w:tcPr>
          <w:p w:rsidR="004E16D1" w:rsidRPr="004A350A" w:rsidRDefault="004E16D1" w:rsidP="00810DFC">
            <w:pPr>
              <w:jc w:val="center"/>
              <w:rPr>
                <w:sz w:val="20"/>
                <w:szCs w:val="20"/>
              </w:rPr>
            </w:pPr>
            <w:r w:rsidRPr="004A350A">
              <w:rPr>
                <w:sz w:val="20"/>
                <w:szCs w:val="20"/>
              </w:rPr>
              <w:t>Not reported</w:t>
            </w:r>
          </w:p>
        </w:tc>
        <w:tc>
          <w:tcPr>
            <w:tcW w:w="2474" w:type="dxa"/>
            <w:vAlign w:val="center"/>
          </w:tcPr>
          <w:p w:rsidR="004E16D1" w:rsidRPr="004A350A" w:rsidRDefault="004E16D1" w:rsidP="00810DFC">
            <w:pPr>
              <w:jc w:val="center"/>
              <w:rPr>
                <w:sz w:val="20"/>
                <w:szCs w:val="20"/>
              </w:rPr>
            </w:pPr>
            <w:r w:rsidRPr="004A350A">
              <w:rPr>
                <w:sz w:val="20"/>
                <w:szCs w:val="20"/>
              </w:rPr>
              <w:t>Premature aging, reduced telomere length, decreased fertility, shortened lifespans</w:t>
            </w:r>
          </w:p>
        </w:tc>
        <w:tc>
          <w:tcPr>
            <w:tcW w:w="1190" w:type="dxa"/>
            <w:vAlign w:val="center"/>
          </w:tcPr>
          <w:p w:rsidR="004E16D1" w:rsidRPr="004A350A" w:rsidRDefault="00902FCC" w:rsidP="008A4F5C">
            <w:pPr>
              <w:jc w:val="center"/>
              <w:rPr>
                <w:sz w:val="20"/>
                <w:szCs w:val="20"/>
              </w:rPr>
            </w:pPr>
            <w:r>
              <w:rPr>
                <w:sz w:val="20"/>
                <w:szCs w:val="20"/>
              </w:rPr>
              <w:t>ENU</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{"citationItems":[{"id":"ITEM-1","itemData":{"DOI":"10.1242/dmm.011635","abstract":"The study of telomere biology is crucial to the understanding of aging and cancer. In the pursuit of greater knowledge in the field of human telomere biology, the mouse has been used extensively as a model. However, there are fundamental differences between mouse and human cells. Therefore, additional models are required. In light of this, we have characterized telomerase-deficient zebrafish (Danio rerio) as the second vertebrate model for human telomerase-driven diseases. We found that telomerase-deficient zebrafish show p53-dependent premature aging and reduced lifespan in the first generation, as occurs in humans but not in mice, probably reflecting the similar telomere length in fish and humans. Among these aging symptoms, spinal curvature, liver and retina degeneration, and infertility were the most remarkable. Although the second-generation embryos died in early developmental stages, restoration of telomerase activity rescued telomere length and survival, indicating that telomerase dosage is crucial. Importantly, this model also reproduces the disease anticipation observed in humans with dyskeratosis congenita (DC). Thus, telomerase haploinsufficiency leads to anticipation phenomenon in longevity, which is related to telomere shortening and, specifically, with the proportion of short telomeres. Furthermore, p53 was induced by telomere attrition, leading to growth arrest and apoptosis. Importantly, genetic inhibition of p53 rescued the adverse effects of telomere loss, indicating that the molecular mechanisms induced by telomere shortening are conserved from fish to mammals. The partial rescue of telomere length and longevity by restoration of telomerase activity, together with the feasibility of the zebrafish for high-throughput chemical screening, both point to the usefulness of this model for the discovery of new drugs able to reactivate telomerase in individuals with DC.","author":[{"dropping-particle":"","family":"Anchelin","given":"Monique","non-dropping-particle":"","parse-names":false,"suffix":""},{"dropping-particle":"","family":"Alcaraz-Pérez","given":"Francisca","non-dropping-particle":"","parse-names":false,"suffix":""},{"dropping-particle":"","family":"Martínez","given":"Carlos M","non-dropping-particle":"","parse-names":false,"suffix":""},{"dropping-particle":"","family":"Bernabé-García","given":"Manuel","non-dropping-particle":"","parse-names":false,"suffix":""},{"dropping-particle":"","family":"Mulero","given":"Victoriano","non-dropping-particle":"","parse-names":false,"suffix":""},{"dropping-particle":"","family":"Cayuela","given":"María L","non-dropping-particle":"","parse-names":false,"suffix":""}],"container-title":"DMM Disease Models and Mechanisms","id":"ITEM-1","issue":"5","issued":{"date-parts":[["2013"]]},"page":"1101-1112","title":"Premature aging in telomerase-deficient zebrafish","type":"article-journal","volume":"6"},"uris":["http://www.mendeley.com/documents/?uuid=8656e208-3b1e-3ca5-a1ed-68c6632f6fbb","http://www.mendeley.com/documents/?uuid=50330021-fd3f-4aa1-970c-c4650b58db9b"]}],"mendeley":{"formattedCitation":"(Anchelin et al., 2013)","plainTextFormattedCitation":"(Anchelin et al., 2013)","previouslyFormattedCitation":"(Anchelin et al., 2013)"},"properties":{"noteIndex":0},"schema":"https://github.com/citation-style-language/schema/raw/master/csl-citation.json"}</w:instrText>
            </w:r>
            <w:r w:rsidRPr="004A350A">
              <w:rPr>
                <w:sz w:val="20"/>
                <w:szCs w:val="20"/>
              </w:rPr>
              <w:fldChar w:fldCharType="separate"/>
            </w:r>
            <w:r w:rsidR="004E16D1" w:rsidRPr="002E7A22">
              <w:rPr>
                <w:noProof/>
                <w:sz w:val="20"/>
                <w:szCs w:val="20"/>
              </w:rPr>
              <w:t>(Anchelin et al., 2013)</w:t>
            </w:r>
            <w:r w:rsidRPr="004A350A">
              <w:rPr>
                <w:sz w:val="20"/>
                <w:szCs w:val="20"/>
              </w:rPr>
              <w:fldChar w:fldCharType="end"/>
            </w:r>
          </w:p>
        </w:tc>
      </w:tr>
      <w:tr w:rsidR="004E16D1" w:rsidTr="00F97801">
        <w:trPr>
          <w:trHeight w:val="144"/>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NOP10</w:t>
            </w:r>
          </w:p>
        </w:tc>
        <w:tc>
          <w:tcPr>
            <w:tcW w:w="1440" w:type="dxa"/>
            <w:vAlign w:val="center"/>
          </w:tcPr>
          <w:p w:rsidR="004E16D1" w:rsidRPr="004A350A" w:rsidRDefault="004E16D1" w:rsidP="00810DFC">
            <w:pPr>
              <w:jc w:val="center"/>
              <w:rPr>
                <w:sz w:val="20"/>
                <w:szCs w:val="20"/>
              </w:rPr>
            </w:pPr>
            <w:r w:rsidRPr="004A350A">
              <w:rPr>
                <w:sz w:val="20"/>
                <w:szCs w:val="20"/>
              </w:rPr>
              <w:t>hi2578</w:t>
            </w:r>
          </w:p>
        </w:tc>
        <w:tc>
          <w:tcPr>
            <w:tcW w:w="1800" w:type="dxa"/>
            <w:vAlign w:val="center"/>
          </w:tcPr>
          <w:p w:rsidR="004E16D1" w:rsidRPr="004A350A" w:rsidRDefault="004E16D1" w:rsidP="00810DFC">
            <w:pPr>
              <w:jc w:val="center"/>
              <w:rPr>
                <w:sz w:val="20"/>
                <w:szCs w:val="20"/>
              </w:rPr>
            </w:pPr>
            <w:r w:rsidRPr="004A350A">
              <w:rPr>
                <w:sz w:val="20"/>
                <w:szCs w:val="20"/>
              </w:rPr>
              <w:t>Not reported</w:t>
            </w:r>
          </w:p>
        </w:tc>
        <w:tc>
          <w:tcPr>
            <w:tcW w:w="2474" w:type="dxa"/>
            <w:vAlign w:val="center"/>
          </w:tcPr>
          <w:p w:rsidR="004E16D1" w:rsidRPr="004A350A" w:rsidRDefault="004E16D1" w:rsidP="00810DFC">
            <w:pPr>
              <w:jc w:val="center"/>
              <w:rPr>
                <w:sz w:val="20"/>
                <w:szCs w:val="20"/>
              </w:rPr>
            </w:pPr>
            <w:r w:rsidRPr="004A350A">
              <w:rPr>
                <w:sz w:val="20"/>
                <w:szCs w:val="20"/>
              </w:rPr>
              <w:t xml:space="preserve">Fail to form HSCs, </w:t>
            </w:r>
            <w:r>
              <w:rPr>
                <w:sz w:val="20"/>
                <w:szCs w:val="20"/>
              </w:rPr>
              <w:t xml:space="preserve">ribosomal defects, </w:t>
            </w:r>
            <w:r w:rsidRPr="004A350A">
              <w:rPr>
                <w:sz w:val="20"/>
                <w:szCs w:val="20"/>
              </w:rPr>
              <w:lastRenderedPageBreak/>
              <w:t>cytopenia</w:t>
            </w:r>
          </w:p>
        </w:tc>
        <w:tc>
          <w:tcPr>
            <w:tcW w:w="1190" w:type="dxa"/>
            <w:vAlign w:val="center"/>
          </w:tcPr>
          <w:p w:rsidR="004E16D1" w:rsidRPr="004A350A" w:rsidRDefault="00902FCC" w:rsidP="008A4F5C">
            <w:pPr>
              <w:jc w:val="center"/>
              <w:rPr>
                <w:sz w:val="20"/>
                <w:szCs w:val="20"/>
              </w:rPr>
            </w:pPr>
            <w:r>
              <w:rPr>
                <w:sz w:val="20"/>
                <w:szCs w:val="20"/>
              </w:rPr>
              <w:lastRenderedPageBreak/>
              <w:t>Retroviral insertion</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{"citationItems":[{"id":"ITEM-1","itemData":{"DOI":"10.1182/blood-2011-04-351460","abstract":"Dyskeratosis congenita (DC) is a bone marrow failure disorder characterized by shortened telomeres, defective stem cell maintenance, and highly heterogeneous phenotypes affecting predominantly tissues that require high rates of turnover. Here we present a mutant zebrafish line with decreased expression of nop10, one of the known H/ACA RNP complex genes with mutations linked to DC. We demonstrate that this nop10 loss results in 18S rRNA processing defects and collapse of the small ribosomal subunit, coupled to stabilization of the p53 tumor suppressor protein through small ribosomal proteins binding to Mdm2. These mutants also display a hematopoietic stem cell deficiency that is reversible on loss of p53 function. However, we detect no changes in telomere length in nop10 mutants. Our data support a model of DC whereupon in early development mutations involved in the H/ACA complex contribute to bone marrow failure through p53 deregulation and loss of initial stem cell numbers while their role in telomere maintenance does not contribute to DC until later in life. © 2011 by The American Society of Hematology.","author":[{"dropping-particle":"","family":"Pereboom","given":"Tamara C","non-dropping-particle":"","parse-names":false,"suffix":""},{"dropping-particle":"","family":"Weele","given":"Linda J","non-dropping-particle":"Van","parse-names":false,"suffix":""},{"dropping-particle":"","family":"Bondt","given":"Albert","non-dropping-particle":"","parse-names":false,"suffix":""},{"dropping-particle":"","family":"MacInnes","given":"Alyson W","non-dropping-particle":"","parse-names":false,"suffix":""}],"container-title":"Blood","id":"ITEM-1","issue":"20","issued":{"date-parts":[["2011"]]},"page":"5458-5465","title":"A zebrafish model of dyskeratosis congenita reveals hematopoietic stem cell formation failure resulting from ribosomal protein-mediated p53 stabilization","type":"article","volume":"118"},"uris":["http://www.mendeley.com/documents/?uuid=a096fb63-5409-33af-8c56-601c91a52940","http://www.mendeley.com/documents/?uuid=bb322b42-6a8f-483b-b85d-8ec17174593a"]},{"id":"ITEM-2","itemData":{"DOI":"10.1371/journal.pone.0030188","ISSN":"19326203","abstract":"Dyskeratosis congenita (DC) is a rare bone marrow failure syndrome in which hematopoietic defects are the main cause of mortality. The most studied gene responsible for DC pathogenesis is DKC1 while mutations in several other genes encoding components of the H/ACA RNP telomerase complex, which is involved in ribosomal RNA(rRNA) processing and telomere maintenance, have also been implicated. GAR1/nola1 is one of the four core proteins of the H/ACA RNP complex. Through comparative analysis of morpholino oligonucleotide induced knockdown of dkc1 and a retrovirus insertion induced mutation of GAR1/nola1 in zebrafish, we demonstrate that hematopoietic defects are specifically recapitulated in these models and that these defects are significantly reduced in a p53 null mutant background. We further show that changes in telomerase activity are undetectable at the early stages of DC pathogenesis but rRNA processing is clearly defective. Our data therefore support a model that deficiency in dkc1 and nola1 in the H/ACA RNP complex likely contributes to the hematopoietic phenotype through p53 activation associated with rRNA processing defects rather than telomerase deficiency during the initial stage of DC pathogenesis. © 2012 Zhang et al.","author":[{"dropping-particle":"","family":"Zhang","given":"Ying","non-dropping-particle":"","parse-names":false,"suffix":""},{"dropping-particle":"","family":"Morimoto","given":"Kenji","non-dropping-particle":"","parse-names":false,"suffix":""},{"dropping-particle":"","family":"Danilova","given":"Nadia","non-dropping-particle":"","parse-names":false,"suffix":""},{"dropping-particle":"","family":"Zhang","given":"Bo","non-dropping-particle":"","parse-names":false,"suffix":""},{"dropping-particle":"","family":"Lin","given":"Shuo","non-dropping-particle":"","parse-names":false,"suffix":""}],"container-title":"PLoS ONE","id":"ITEM-2","issue":"1","issued":{"date-parts":[["2012","1","27"]]},"title":"Zebrafish models for dyskeratosis congenita reveal critical roles of p53 activation contributing to hematopoietic defects through RNA processing","type":"article-journal","volume":"7"},"uris":["http://www.mendeley.com/documents/?uuid=73eaaf9b-9229-3f57-90d5-5068b56acbcd","http://www.mendeley.com/documents/?uuid=c5b45d40-3043-4962-9a85-1dd5dd45275e"]}],"mendeley":{"formattedCitation":"(Pereboom et al., 2011; Zhang et al., 2012)","manualFormatting":"(Pereboom et al., 2011)","plainTextFormattedCitation":"(Pereboom et al., 2011; Zhang et al., 2012)","previouslyFormattedCitation":"(Pereboom et al., 2011; Zhang et al., 2012)"},"properties":{"noteIndex":0},"schema":"https://github.com/citation-style-language/schema/raw/master/csl-citation.json"}</w:instrText>
            </w:r>
            <w:r w:rsidRPr="004A350A">
              <w:rPr>
                <w:sz w:val="20"/>
                <w:szCs w:val="20"/>
              </w:rPr>
              <w:fldChar w:fldCharType="separate"/>
            </w:r>
            <w:r w:rsidR="004E16D1" w:rsidRPr="004A350A">
              <w:rPr>
                <w:noProof/>
                <w:sz w:val="20"/>
                <w:szCs w:val="20"/>
              </w:rPr>
              <w:t>(Pereboom et al., 2011)</w:t>
            </w:r>
            <w:r w:rsidRPr="004A350A">
              <w:rPr>
                <w:sz w:val="20"/>
                <w:szCs w:val="20"/>
              </w:rPr>
              <w:fldChar w:fldCharType="end"/>
            </w:r>
          </w:p>
        </w:tc>
      </w:tr>
      <w:tr w:rsidR="004E16D1" w:rsidTr="00F97801">
        <w:trPr>
          <w:trHeight w:val="144"/>
          <w:jc w:val="center"/>
        </w:trPr>
        <w:tc>
          <w:tcPr>
            <w:tcW w:w="1513" w:type="dxa"/>
            <w:vMerge w:val="restart"/>
            <w:tcBorders>
              <w:left w:val="single" w:sz="18" w:space="0" w:color="auto"/>
            </w:tcBorders>
            <w:vAlign w:val="center"/>
          </w:tcPr>
          <w:p w:rsidR="004E16D1" w:rsidRPr="004A350A" w:rsidRDefault="004E16D1" w:rsidP="00810DFC">
            <w:pPr>
              <w:jc w:val="center"/>
              <w:rPr>
                <w:sz w:val="20"/>
                <w:szCs w:val="20"/>
              </w:rPr>
            </w:pPr>
            <w:r w:rsidRPr="004A350A">
              <w:rPr>
                <w:sz w:val="20"/>
                <w:szCs w:val="20"/>
              </w:rPr>
              <w:lastRenderedPageBreak/>
              <w:t>Shwachman-Diamond Syndrome</w:t>
            </w:r>
          </w:p>
        </w:tc>
        <w:tc>
          <w:tcPr>
            <w:tcW w:w="1074" w:type="dxa"/>
            <w:vMerge w:val="restart"/>
            <w:vAlign w:val="center"/>
          </w:tcPr>
          <w:p w:rsidR="004E16D1" w:rsidRPr="004A350A" w:rsidRDefault="004E16D1" w:rsidP="00810DFC">
            <w:pPr>
              <w:jc w:val="center"/>
              <w:rPr>
                <w:i/>
                <w:iCs/>
                <w:sz w:val="20"/>
                <w:szCs w:val="20"/>
              </w:rPr>
            </w:pPr>
            <w:r w:rsidRPr="004A350A">
              <w:rPr>
                <w:i/>
                <w:iCs/>
                <w:sz w:val="20"/>
                <w:szCs w:val="20"/>
              </w:rPr>
              <w:t>SDBS</w:t>
            </w:r>
          </w:p>
        </w:tc>
        <w:tc>
          <w:tcPr>
            <w:tcW w:w="1440" w:type="dxa"/>
            <w:vAlign w:val="center"/>
          </w:tcPr>
          <w:p w:rsidR="004E16D1" w:rsidRPr="004A350A" w:rsidRDefault="004E16D1" w:rsidP="00810DFC">
            <w:pPr>
              <w:jc w:val="center"/>
              <w:rPr>
                <w:sz w:val="20"/>
                <w:szCs w:val="20"/>
              </w:rPr>
            </w:pPr>
            <w:r w:rsidRPr="004A350A">
              <w:rPr>
                <w:i/>
                <w:iCs/>
                <w:sz w:val="20"/>
                <w:szCs w:val="20"/>
              </w:rPr>
              <w:t>sbds</w:t>
            </w:r>
            <w:r w:rsidRPr="004A350A">
              <w:rPr>
                <w:i/>
                <w:iCs/>
                <w:sz w:val="20"/>
                <w:szCs w:val="20"/>
                <w:vertAlign w:val="superscript"/>
              </w:rPr>
              <w:t>nu16</w:t>
            </w:r>
          </w:p>
        </w:tc>
        <w:tc>
          <w:tcPr>
            <w:tcW w:w="1800" w:type="dxa"/>
            <w:vMerge w:val="restart"/>
            <w:vAlign w:val="center"/>
          </w:tcPr>
          <w:p w:rsidR="004E16D1" w:rsidRPr="004A350A" w:rsidRDefault="004E16D1" w:rsidP="00810DFC">
            <w:pPr>
              <w:jc w:val="center"/>
              <w:rPr>
                <w:sz w:val="20"/>
                <w:szCs w:val="20"/>
              </w:rPr>
            </w:pPr>
            <w:r w:rsidRPr="004A350A">
              <w:rPr>
                <w:sz w:val="20"/>
                <w:szCs w:val="20"/>
              </w:rPr>
              <w:t>Not reported</w:t>
            </w:r>
          </w:p>
        </w:tc>
        <w:tc>
          <w:tcPr>
            <w:tcW w:w="2474" w:type="dxa"/>
            <w:vAlign w:val="center"/>
          </w:tcPr>
          <w:p w:rsidR="004E16D1" w:rsidRPr="004A350A" w:rsidRDefault="004E16D1" w:rsidP="00810DFC">
            <w:pPr>
              <w:jc w:val="center"/>
              <w:rPr>
                <w:sz w:val="20"/>
                <w:szCs w:val="20"/>
              </w:rPr>
            </w:pPr>
            <w:r w:rsidRPr="004A350A">
              <w:rPr>
                <w:sz w:val="20"/>
                <w:szCs w:val="20"/>
              </w:rPr>
              <w:t>Growth defects, pancreatic atrophy after 15dpf, do not survive past 21dpf</w:t>
            </w:r>
          </w:p>
        </w:tc>
        <w:tc>
          <w:tcPr>
            <w:tcW w:w="1190" w:type="dxa"/>
            <w:vAlign w:val="center"/>
          </w:tcPr>
          <w:p w:rsidR="004E16D1" w:rsidRPr="004A350A" w:rsidRDefault="00902FCC" w:rsidP="008A4F5C">
            <w:pPr>
              <w:jc w:val="center"/>
              <w:rPr>
                <w:noProof/>
                <w:sz w:val="20"/>
                <w:szCs w:val="20"/>
              </w:rPr>
            </w:pPr>
            <w:r>
              <w:rPr>
                <w:noProof/>
                <w:sz w:val="20"/>
                <w:szCs w:val="20"/>
              </w:rPr>
              <w:t>CRISPR</w:t>
            </w:r>
          </w:p>
        </w:tc>
        <w:tc>
          <w:tcPr>
            <w:tcW w:w="1190" w:type="dxa"/>
            <w:vMerge w:val="restart"/>
            <w:tcBorders>
              <w:right w:val="single" w:sz="18" w:space="0" w:color="auto"/>
            </w:tcBorders>
            <w:vAlign w:val="center"/>
          </w:tcPr>
          <w:p w:rsidR="004E16D1" w:rsidRPr="004A350A" w:rsidRDefault="004E16D1" w:rsidP="00810DFC">
            <w:pPr>
              <w:jc w:val="center"/>
              <w:rPr>
                <w:sz w:val="20"/>
                <w:szCs w:val="20"/>
              </w:rPr>
            </w:pPr>
            <w:r w:rsidRPr="004A350A">
              <w:rPr>
                <w:noProof/>
                <w:sz w:val="20"/>
                <w:szCs w:val="20"/>
              </w:rPr>
              <w:t>(Oyarbide et al., 2020)</w:t>
            </w:r>
          </w:p>
        </w:tc>
      </w:tr>
      <w:tr w:rsidR="004E16D1" w:rsidTr="00F97801">
        <w:trPr>
          <w:trHeight w:val="144"/>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sbds</w:t>
            </w:r>
            <w:r w:rsidRPr="004A350A">
              <w:rPr>
                <w:i/>
                <w:iCs/>
                <w:sz w:val="20"/>
                <w:szCs w:val="20"/>
                <w:vertAlign w:val="superscript"/>
              </w:rPr>
              <w:t>nu132</w:t>
            </w:r>
          </w:p>
        </w:tc>
        <w:tc>
          <w:tcPr>
            <w:tcW w:w="1800" w:type="dxa"/>
            <w:vMerge/>
            <w:vAlign w:val="center"/>
          </w:tcPr>
          <w:p w:rsidR="004E16D1" w:rsidRPr="004A350A" w:rsidRDefault="004E16D1" w:rsidP="00810DFC">
            <w:pPr>
              <w:jc w:val="center"/>
              <w:rPr>
                <w:sz w:val="20"/>
                <w:szCs w:val="20"/>
              </w:rPr>
            </w:pPr>
          </w:p>
        </w:tc>
        <w:tc>
          <w:tcPr>
            <w:tcW w:w="2474" w:type="dxa"/>
            <w:vAlign w:val="center"/>
          </w:tcPr>
          <w:p w:rsidR="004E16D1" w:rsidRPr="004A350A" w:rsidRDefault="004E16D1" w:rsidP="00810DFC">
            <w:pPr>
              <w:jc w:val="center"/>
              <w:rPr>
                <w:sz w:val="20"/>
                <w:szCs w:val="20"/>
              </w:rPr>
            </w:pPr>
            <w:r w:rsidRPr="004A350A">
              <w:rPr>
                <w:sz w:val="20"/>
                <w:szCs w:val="20"/>
              </w:rPr>
              <w:t>Neutropenia, growth defects, pancreatic atrophy after 15dpf, do not survive past 21dpf</w:t>
            </w:r>
          </w:p>
        </w:tc>
        <w:tc>
          <w:tcPr>
            <w:tcW w:w="1190" w:type="dxa"/>
            <w:vAlign w:val="center"/>
          </w:tcPr>
          <w:p w:rsidR="004E16D1" w:rsidRPr="004A350A" w:rsidRDefault="00902FCC" w:rsidP="008A4F5C">
            <w:pPr>
              <w:jc w:val="center"/>
              <w:rPr>
                <w:sz w:val="20"/>
                <w:szCs w:val="20"/>
              </w:rPr>
            </w:pPr>
            <w:r>
              <w:rPr>
                <w:noProof/>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144"/>
          <w:jc w:val="center"/>
        </w:trPr>
        <w:tc>
          <w:tcPr>
            <w:tcW w:w="1513" w:type="dxa"/>
            <w:vMerge w:val="restart"/>
            <w:tcBorders>
              <w:left w:val="single" w:sz="18" w:space="0" w:color="auto"/>
            </w:tcBorders>
            <w:vAlign w:val="center"/>
          </w:tcPr>
          <w:p w:rsidR="004E16D1" w:rsidRPr="004A350A" w:rsidRDefault="004E16D1" w:rsidP="00810DFC">
            <w:pPr>
              <w:jc w:val="center"/>
              <w:rPr>
                <w:sz w:val="20"/>
                <w:szCs w:val="20"/>
              </w:rPr>
            </w:pPr>
            <w:r w:rsidRPr="004A350A">
              <w:rPr>
                <w:sz w:val="20"/>
                <w:szCs w:val="20"/>
              </w:rPr>
              <w:t>Wiskott-Aldrich Syndrome and X-linked Congenital Neutropenia</w:t>
            </w:r>
          </w:p>
        </w:tc>
        <w:tc>
          <w:tcPr>
            <w:tcW w:w="1074" w:type="dxa"/>
            <w:vMerge w:val="restart"/>
            <w:vAlign w:val="center"/>
          </w:tcPr>
          <w:p w:rsidR="004E16D1" w:rsidRPr="004A350A" w:rsidRDefault="004E16D1" w:rsidP="00810DFC">
            <w:pPr>
              <w:jc w:val="center"/>
              <w:rPr>
                <w:i/>
                <w:iCs/>
                <w:sz w:val="20"/>
                <w:szCs w:val="20"/>
              </w:rPr>
            </w:pPr>
            <w:r w:rsidRPr="004A350A">
              <w:rPr>
                <w:i/>
                <w:iCs/>
                <w:sz w:val="20"/>
                <w:szCs w:val="20"/>
              </w:rPr>
              <w:t>WASp</w:t>
            </w:r>
          </w:p>
        </w:tc>
        <w:tc>
          <w:tcPr>
            <w:tcW w:w="1440" w:type="dxa"/>
            <w:vAlign w:val="center"/>
          </w:tcPr>
          <w:p w:rsidR="004E16D1" w:rsidRPr="004A350A" w:rsidRDefault="004E16D1" w:rsidP="00810DFC">
            <w:pPr>
              <w:jc w:val="center"/>
              <w:rPr>
                <w:sz w:val="20"/>
                <w:szCs w:val="20"/>
                <w:vertAlign w:val="superscript"/>
              </w:rPr>
            </w:pPr>
            <w:r w:rsidRPr="004A350A">
              <w:rPr>
                <w:i/>
                <w:iCs/>
                <w:sz w:val="20"/>
                <w:szCs w:val="20"/>
              </w:rPr>
              <w:t>wasp1</w:t>
            </w:r>
            <w:r w:rsidRPr="004A350A">
              <w:rPr>
                <w:sz w:val="20"/>
                <w:szCs w:val="20"/>
                <w:vertAlign w:val="superscript"/>
              </w:rPr>
              <w:t>-/-</w:t>
            </w:r>
          </w:p>
        </w:tc>
        <w:tc>
          <w:tcPr>
            <w:tcW w:w="1800" w:type="dxa"/>
            <w:vMerge w:val="restart"/>
            <w:vAlign w:val="center"/>
          </w:tcPr>
          <w:p w:rsidR="004E16D1" w:rsidRPr="004A350A" w:rsidRDefault="004E16D1" w:rsidP="00810DFC">
            <w:pPr>
              <w:jc w:val="center"/>
              <w:rPr>
                <w:sz w:val="20"/>
                <w:szCs w:val="20"/>
              </w:rPr>
            </w:pPr>
            <w:r w:rsidRPr="004A350A">
              <w:rPr>
                <w:sz w:val="20"/>
                <w:szCs w:val="20"/>
              </w:rPr>
              <w:t>Not reported</w:t>
            </w:r>
          </w:p>
        </w:tc>
        <w:tc>
          <w:tcPr>
            <w:tcW w:w="2474" w:type="dxa"/>
            <w:vAlign w:val="center"/>
          </w:tcPr>
          <w:p w:rsidR="004E16D1" w:rsidRPr="004A350A" w:rsidRDefault="004E16D1" w:rsidP="00810DFC">
            <w:pPr>
              <w:jc w:val="center"/>
              <w:rPr>
                <w:sz w:val="20"/>
                <w:szCs w:val="20"/>
              </w:rPr>
            </w:pPr>
            <w:r w:rsidRPr="004A350A">
              <w:rPr>
                <w:sz w:val="20"/>
                <w:szCs w:val="20"/>
              </w:rPr>
              <w:t>Impaired immune response</w:t>
            </w:r>
          </w:p>
        </w:tc>
        <w:tc>
          <w:tcPr>
            <w:tcW w:w="1190" w:type="dxa"/>
            <w:vAlign w:val="center"/>
          </w:tcPr>
          <w:p w:rsidR="004E16D1" w:rsidRPr="004A350A" w:rsidRDefault="00C47EA0" w:rsidP="008A4F5C">
            <w:pPr>
              <w:jc w:val="center"/>
              <w:rPr>
                <w:noProof/>
                <w:color w:val="1C1D1E"/>
                <w:sz w:val="20"/>
                <w:szCs w:val="20"/>
                <w:shd w:val="clear" w:color="auto" w:fill="FFFFFF"/>
              </w:rPr>
            </w:pPr>
            <w:r>
              <w:rPr>
                <w:noProof/>
                <w:color w:val="1C1D1E"/>
                <w:sz w:val="20"/>
                <w:szCs w:val="20"/>
                <w:shd w:val="clear" w:color="auto" w:fill="FFFFFF"/>
              </w:rPr>
              <w:t>ENU</w:t>
            </w:r>
          </w:p>
        </w:tc>
        <w:tc>
          <w:tcPr>
            <w:tcW w:w="1190" w:type="dxa"/>
            <w:vMerge w:val="restart"/>
            <w:tcBorders>
              <w:right w:val="single" w:sz="18" w:space="0" w:color="auto"/>
            </w:tcBorders>
            <w:vAlign w:val="center"/>
          </w:tcPr>
          <w:p w:rsidR="004E16D1" w:rsidRPr="004A350A" w:rsidRDefault="004E16D1" w:rsidP="00810DFC">
            <w:pPr>
              <w:jc w:val="center"/>
              <w:rPr>
                <w:sz w:val="20"/>
                <w:szCs w:val="20"/>
              </w:rPr>
            </w:pPr>
            <w:r w:rsidRPr="004A350A">
              <w:rPr>
                <w:noProof/>
                <w:color w:val="1C1D1E"/>
                <w:sz w:val="20"/>
                <w:szCs w:val="20"/>
                <w:shd w:val="clear" w:color="auto" w:fill="FFFFFF"/>
              </w:rPr>
              <w:t>(Jones et al., 2013)</w:t>
            </w:r>
          </w:p>
          <w:p w:rsidR="004E16D1" w:rsidRPr="004A350A" w:rsidRDefault="004E16D1" w:rsidP="00810DFC">
            <w:pPr>
              <w:jc w:val="center"/>
              <w:rPr>
                <w:sz w:val="20"/>
                <w:szCs w:val="20"/>
              </w:rPr>
            </w:pPr>
          </w:p>
        </w:tc>
      </w:tr>
      <w:tr w:rsidR="004E16D1" w:rsidTr="00F97801">
        <w:trPr>
          <w:trHeight w:val="144"/>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wasp1</w:t>
            </w:r>
            <w:r w:rsidRPr="004A350A">
              <w:rPr>
                <w:sz w:val="20"/>
                <w:szCs w:val="20"/>
                <w:vertAlign w:val="superscript"/>
              </w:rPr>
              <w:t>-/-</w:t>
            </w:r>
            <w:r w:rsidRPr="004A350A">
              <w:rPr>
                <w:sz w:val="20"/>
                <w:szCs w:val="20"/>
              </w:rPr>
              <w:t>; hWASp</w:t>
            </w:r>
          </w:p>
        </w:tc>
        <w:tc>
          <w:tcPr>
            <w:tcW w:w="1800" w:type="dxa"/>
            <w:vMerge/>
            <w:vAlign w:val="center"/>
          </w:tcPr>
          <w:p w:rsidR="004E16D1" w:rsidRPr="004A350A" w:rsidRDefault="004E16D1" w:rsidP="00810DFC">
            <w:pPr>
              <w:jc w:val="center"/>
              <w:rPr>
                <w:sz w:val="20"/>
                <w:szCs w:val="20"/>
              </w:rPr>
            </w:pPr>
          </w:p>
        </w:tc>
        <w:tc>
          <w:tcPr>
            <w:tcW w:w="2474" w:type="dxa"/>
            <w:vAlign w:val="center"/>
          </w:tcPr>
          <w:p w:rsidR="004E16D1" w:rsidRPr="004A350A" w:rsidRDefault="004E16D1" w:rsidP="00810DFC">
            <w:pPr>
              <w:jc w:val="center"/>
              <w:rPr>
                <w:sz w:val="20"/>
                <w:szCs w:val="20"/>
              </w:rPr>
            </w:pPr>
            <w:r w:rsidRPr="004A350A">
              <w:rPr>
                <w:sz w:val="20"/>
                <w:szCs w:val="20"/>
              </w:rPr>
              <w:t>Rescues neutrophil response to a wound site</w:t>
            </w:r>
          </w:p>
        </w:tc>
        <w:tc>
          <w:tcPr>
            <w:tcW w:w="1190" w:type="dxa"/>
            <w:vAlign w:val="center"/>
          </w:tcPr>
          <w:p w:rsidR="00C47EA0" w:rsidRPr="004A350A" w:rsidRDefault="00C47EA0" w:rsidP="008A4F5C">
            <w:pPr>
              <w:jc w:val="center"/>
              <w:rPr>
                <w:sz w:val="20"/>
                <w:szCs w:val="20"/>
              </w:rPr>
            </w:pPr>
            <w:r>
              <w:rPr>
                <w:sz w:val="20"/>
                <w:szCs w:val="20"/>
              </w:rPr>
              <w:t>Breeding, Transgene</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144"/>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wasp1</w:t>
            </w:r>
            <w:r w:rsidRPr="004A350A">
              <w:rPr>
                <w:sz w:val="20"/>
                <w:szCs w:val="20"/>
                <w:vertAlign w:val="superscript"/>
              </w:rPr>
              <w:t>-/-</w:t>
            </w:r>
            <w:r w:rsidRPr="004A350A">
              <w:rPr>
                <w:sz w:val="20"/>
                <w:szCs w:val="20"/>
              </w:rPr>
              <w:t>; hWASp</w:t>
            </w:r>
            <w:r w:rsidRPr="004A350A">
              <w:rPr>
                <w:sz w:val="20"/>
                <w:szCs w:val="20"/>
                <w:vertAlign w:val="superscript"/>
              </w:rPr>
              <w:t>I294T</w:t>
            </w:r>
          </w:p>
        </w:tc>
        <w:tc>
          <w:tcPr>
            <w:tcW w:w="1800" w:type="dxa"/>
            <w:vMerge/>
            <w:vAlign w:val="center"/>
          </w:tcPr>
          <w:p w:rsidR="004E16D1" w:rsidRPr="004A350A" w:rsidRDefault="004E16D1" w:rsidP="00810DFC">
            <w:pPr>
              <w:jc w:val="center"/>
              <w:rPr>
                <w:sz w:val="20"/>
                <w:szCs w:val="20"/>
              </w:rPr>
            </w:pPr>
          </w:p>
        </w:tc>
        <w:tc>
          <w:tcPr>
            <w:tcW w:w="2474" w:type="dxa"/>
            <w:vAlign w:val="center"/>
          </w:tcPr>
          <w:p w:rsidR="004E16D1" w:rsidRPr="004A350A" w:rsidRDefault="004E16D1" w:rsidP="00810DFC">
            <w:pPr>
              <w:jc w:val="center"/>
              <w:rPr>
                <w:sz w:val="20"/>
                <w:szCs w:val="20"/>
              </w:rPr>
            </w:pPr>
            <w:r w:rsidRPr="004A350A">
              <w:rPr>
                <w:sz w:val="20"/>
                <w:szCs w:val="20"/>
              </w:rPr>
              <w:t>Neutropenia</w:t>
            </w:r>
          </w:p>
        </w:tc>
        <w:tc>
          <w:tcPr>
            <w:tcW w:w="1190" w:type="dxa"/>
            <w:vAlign w:val="center"/>
          </w:tcPr>
          <w:p w:rsidR="004E16D1" w:rsidRPr="004A350A" w:rsidRDefault="00C47EA0" w:rsidP="008A4F5C">
            <w:pPr>
              <w:jc w:val="center"/>
              <w:rPr>
                <w:sz w:val="20"/>
                <w:szCs w:val="20"/>
              </w:rPr>
            </w:pPr>
            <w:r>
              <w:rPr>
                <w:sz w:val="20"/>
                <w:szCs w:val="20"/>
              </w:rPr>
              <w:t>Breeding, Transgene</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144"/>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wasp1</w:t>
            </w:r>
            <w:r w:rsidRPr="004A350A">
              <w:rPr>
                <w:sz w:val="20"/>
                <w:szCs w:val="20"/>
                <w:vertAlign w:val="superscript"/>
              </w:rPr>
              <w:t>-/-</w:t>
            </w:r>
            <w:r w:rsidRPr="004A350A">
              <w:rPr>
                <w:sz w:val="20"/>
                <w:szCs w:val="20"/>
              </w:rPr>
              <w:t>; hWASp</w:t>
            </w:r>
            <w:r w:rsidRPr="004A350A">
              <w:rPr>
                <w:sz w:val="20"/>
                <w:szCs w:val="20"/>
                <w:vertAlign w:val="superscript"/>
              </w:rPr>
              <w:t>H246D</w:t>
            </w:r>
          </w:p>
        </w:tc>
        <w:tc>
          <w:tcPr>
            <w:tcW w:w="1800" w:type="dxa"/>
            <w:vMerge/>
            <w:vAlign w:val="center"/>
          </w:tcPr>
          <w:p w:rsidR="004E16D1" w:rsidRPr="004A350A" w:rsidRDefault="004E16D1" w:rsidP="00810DFC">
            <w:pPr>
              <w:jc w:val="center"/>
              <w:rPr>
                <w:sz w:val="20"/>
                <w:szCs w:val="20"/>
              </w:rPr>
            </w:pPr>
          </w:p>
        </w:tc>
        <w:tc>
          <w:tcPr>
            <w:tcW w:w="2474" w:type="dxa"/>
            <w:vAlign w:val="center"/>
          </w:tcPr>
          <w:p w:rsidR="004E16D1" w:rsidRPr="004A350A" w:rsidRDefault="004E16D1" w:rsidP="00810DFC">
            <w:pPr>
              <w:jc w:val="center"/>
              <w:rPr>
                <w:sz w:val="20"/>
                <w:szCs w:val="20"/>
              </w:rPr>
            </w:pPr>
            <w:r w:rsidRPr="004A350A">
              <w:rPr>
                <w:sz w:val="20"/>
                <w:szCs w:val="20"/>
              </w:rPr>
              <w:t>Rescued cell motility and recruitment</w:t>
            </w:r>
          </w:p>
        </w:tc>
        <w:tc>
          <w:tcPr>
            <w:tcW w:w="1190" w:type="dxa"/>
            <w:vAlign w:val="center"/>
          </w:tcPr>
          <w:p w:rsidR="004E16D1" w:rsidRPr="004A350A" w:rsidRDefault="00C47EA0" w:rsidP="008A4F5C">
            <w:pPr>
              <w:jc w:val="center"/>
              <w:rPr>
                <w:sz w:val="20"/>
                <w:szCs w:val="20"/>
              </w:rPr>
            </w:pPr>
            <w:r>
              <w:rPr>
                <w:sz w:val="20"/>
                <w:szCs w:val="20"/>
              </w:rPr>
              <w:t>Breeding, Transgene</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144"/>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wasp1</w:t>
            </w:r>
            <w:r w:rsidRPr="004A350A">
              <w:rPr>
                <w:sz w:val="20"/>
                <w:szCs w:val="20"/>
                <w:vertAlign w:val="superscript"/>
              </w:rPr>
              <w:t>-/-</w:t>
            </w:r>
            <w:r w:rsidRPr="004A350A">
              <w:rPr>
                <w:sz w:val="20"/>
                <w:szCs w:val="20"/>
              </w:rPr>
              <w:t>; hWASp</w:t>
            </w:r>
            <w:r w:rsidRPr="004A350A">
              <w:rPr>
                <w:sz w:val="20"/>
                <w:szCs w:val="20"/>
                <w:vertAlign w:val="superscript"/>
              </w:rPr>
              <w:t>Y291F</w:t>
            </w:r>
          </w:p>
        </w:tc>
        <w:tc>
          <w:tcPr>
            <w:tcW w:w="1800" w:type="dxa"/>
            <w:vMerge/>
            <w:vAlign w:val="center"/>
          </w:tcPr>
          <w:p w:rsidR="004E16D1" w:rsidRPr="004A350A" w:rsidRDefault="004E16D1" w:rsidP="00810DFC">
            <w:pPr>
              <w:jc w:val="center"/>
              <w:rPr>
                <w:sz w:val="20"/>
                <w:szCs w:val="20"/>
              </w:rPr>
            </w:pPr>
          </w:p>
        </w:tc>
        <w:tc>
          <w:tcPr>
            <w:tcW w:w="2474" w:type="dxa"/>
            <w:vAlign w:val="center"/>
          </w:tcPr>
          <w:p w:rsidR="004E16D1" w:rsidRPr="004A350A" w:rsidRDefault="004E16D1" w:rsidP="00810DFC">
            <w:pPr>
              <w:jc w:val="center"/>
              <w:rPr>
                <w:sz w:val="20"/>
                <w:szCs w:val="20"/>
              </w:rPr>
            </w:pPr>
            <w:r w:rsidRPr="004A350A">
              <w:rPr>
                <w:sz w:val="20"/>
                <w:szCs w:val="20"/>
              </w:rPr>
              <w:t>Slight improvement for neutrophil migration</w:t>
            </w:r>
          </w:p>
        </w:tc>
        <w:tc>
          <w:tcPr>
            <w:tcW w:w="1190" w:type="dxa"/>
            <w:vAlign w:val="center"/>
          </w:tcPr>
          <w:p w:rsidR="004E16D1" w:rsidRPr="004A350A" w:rsidRDefault="00C47EA0" w:rsidP="008A4F5C">
            <w:pPr>
              <w:jc w:val="center"/>
              <w:rPr>
                <w:sz w:val="20"/>
                <w:szCs w:val="20"/>
              </w:rPr>
            </w:pPr>
            <w:r>
              <w:rPr>
                <w:sz w:val="20"/>
                <w:szCs w:val="20"/>
              </w:rPr>
              <w:t>Breeding, Transgene</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144"/>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wasp1</w:t>
            </w:r>
            <w:r w:rsidRPr="004A350A">
              <w:rPr>
                <w:sz w:val="20"/>
                <w:szCs w:val="20"/>
                <w:vertAlign w:val="superscript"/>
              </w:rPr>
              <w:t>-/-</w:t>
            </w:r>
            <w:r w:rsidRPr="004A350A">
              <w:rPr>
                <w:sz w:val="20"/>
                <w:szCs w:val="20"/>
              </w:rPr>
              <w:t>; hWASp</w:t>
            </w:r>
            <w:r w:rsidRPr="004A350A">
              <w:rPr>
                <w:sz w:val="20"/>
                <w:szCs w:val="20"/>
                <w:vertAlign w:val="superscript"/>
              </w:rPr>
              <w:t>I294T</w:t>
            </w:r>
          </w:p>
        </w:tc>
        <w:tc>
          <w:tcPr>
            <w:tcW w:w="1800" w:type="dxa"/>
            <w:vMerge/>
            <w:vAlign w:val="center"/>
          </w:tcPr>
          <w:p w:rsidR="004E16D1" w:rsidRPr="004A350A" w:rsidRDefault="004E16D1" w:rsidP="00810DFC">
            <w:pPr>
              <w:jc w:val="center"/>
              <w:rPr>
                <w:sz w:val="20"/>
                <w:szCs w:val="20"/>
              </w:rPr>
            </w:pPr>
          </w:p>
        </w:tc>
        <w:tc>
          <w:tcPr>
            <w:tcW w:w="2474" w:type="dxa"/>
            <w:vAlign w:val="center"/>
          </w:tcPr>
          <w:p w:rsidR="004E16D1" w:rsidRPr="004A350A" w:rsidRDefault="004E16D1" w:rsidP="00810DFC">
            <w:pPr>
              <w:jc w:val="center"/>
              <w:rPr>
                <w:sz w:val="20"/>
                <w:szCs w:val="20"/>
              </w:rPr>
            </w:pPr>
            <w:r w:rsidRPr="004A350A">
              <w:rPr>
                <w:sz w:val="20"/>
                <w:szCs w:val="20"/>
              </w:rPr>
              <w:t>Hyperprotrusive neutrophils with increased velocity during wound response</w:t>
            </w:r>
          </w:p>
        </w:tc>
        <w:tc>
          <w:tcPr>
            <w:tcW w:w="1190" w:type="dxa"/>
            <w:vAlign w:val="center"/>
          </w:tcPr>
          <w:p w:rsidR="004E16D1" w:rsidRPr="004A350A" w:rsidRDefault="00527865" w:rsidP="008A4F5C">
            <w:pPr>
              <w:jc w:val="center"/>
              <w:rPr>
                <w:sz w:val="20"/>
                <w:szCs w:val="20"/>
              </w:rPr>
            </w:pPr>
            <w:r>
              <w:rPr>
                <w:sz w:val="20"/>
                <w:szCs w:val="20"/>
              </w:rPr>
              <w:t>Breeding, Transgene</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144"/>
          <w:jc w:val="center"/>
        </w:trPr>
        <w:tc>
          <w:tcPr>
            <w:tcW w:w="1513" w:type="dxa"/>
            <w:vMerge w:val="restart"/>
            <w:tcBorders>
              <w:left w:val="single" w:sz="18" w:space="0" w:color="auto"/>
            </w:tcBorders>
            <w:vAlign w:val="center"/>
          </w:tcPr>
          <w:p w:rsidR="004E16D1" w:rsidRPr="004A350A" w:rsidRDefault="004E16D1" w:rsidP="00810DFC">
            <w:pPr>
              <w:jc w:val="center"/>
              <w:rPr>
                <w:sz w:val="20"/>
                <w:szCs w:val="20"/>
              </w:rPr>
            </w:pPr>
            <w:r w:rsidRPr="004A350A">
              <w:rPr>
                <w:sz w:val="20"/>
                <w:szCs w:val="20"/>
              </w:rPr>
              <w:t>G</w:t>
            </w:r>
            <w:r>
              <w:rPr>
                <w:sz w:val="20"/>
                <w:szCs w:val="20"/>
              </w:rPr>
              <w:t>ATA</w:t>
            </w:r>
            <w:r w:rsidRPr="004A350A">
              <w:rPr>
                <w:sz w:val="20"/>
                <w:szCs w:val="20"/>
              </w:rPr>
              <w:t>2 Deficiency Syndromes</w:t>
            </w:r>
          </w:p>
        </w:tc>
        <w:tc>
          <w:tcPr>
            <w:tcW w:w="1074" w:type="dxa"/>
            <w:vMerge w:val="restart"/>
            <w:vAlign w:val="center"/>
          </w:tcPr>
          <w:p w:rsidR="004E16D1" w:rsidRPr="004A350A" w:rsidRDefault="004E16D1" w:rsidP="00810DFC">
            <w:pPr>
              <w:jc w:val="center"/>
              <w:rPr>
                <w:i/>
                <w:iCs/>
                <w:sz w:val="20"/>
                <w:szCs w:val="20"/>
              </w:rPr>
            </w:pPr>
            <w:r w:rsidRPr="004A350A">
              <w:rPr>
                <w:i/>
                <w:iCs/>
                <w:sz w:val="20"/>
                <w:szCs w:val="20"/>
              </w:rPr>
              <w:t>G</w:t>
            </w:r>
            <w:r>
              <w:rPr>
                <w:i/>
                <w:iCs/>
                <w:sz w:val="20"/>
                <w:szCs w:val="20"/>
              </w:rPr>
              <w:t>ATA</w:t>
            </w:r>
            <w:r w:rsidRPr="004A350A">
              <w:rPr>
                <w:i/>
                <w:iCs/>
                <w:sz w:val="20"/>
                <w:szCs w:val="20"/>
              </w:rPr>
              <w:t>2</w:t>
            </w:r>
          </w:p>
        </w:tc>
        <w:tc>
          <w:tcPr>
            <w:tcW w:w="1440" w:type="dxa"/>
            <w:vAlign w:val="center"/>
          </w:tcPr>
          <w:p w:rsidR="004E16D1" w:rsidRPr="004A350A" w:rsidRDefault="004E16D1" w:rsidP="00810DFC">
            <w:pPr>
              <w:jc w:val="center"/>
              <w:rPr>
                <w:sz w:val="20"/>
                <w:szCs w:val="20"/>
              </w:rPr>
            </w:pPr>
            <w:r w:rsidRPr="004A350A">
              <w:rPr>
                <w:i/>
                <w:iCs/>
                <w:sz w:val="20"/>
                <w:szCs w:val="20"/>
              </w:rPr>
              <w:t>gata2a</w:t>
            </w:r>
            <w:r w:rsidRPr="004A350A">
              <w:rPr>
                <w:i/>
                <w:iCs/>
                <w:sz w:val="20"/>
                <w:szCs w:val="20"/>
                <w:vertAlign w:val="superscript"/>
              </w:rPr>
              <w:t>Δi4/Δi4</w:t>
            </w:r>
          </w:p>
        </w:tc>
        <w:tc>
          <w:tcPr>
            <w:tcW w:w="1800" w:type="dxa"/>
            <w:vMerge w:val="restart"/>
            <w:vAlign w:val="center"/>
          </w:tcPr>
          <w:p w:rsidR="004E16D1" w:rsidRPr="004A350A" w:rsidRDefault="004E16D1" w:rsidP="00810DFC">
            <w:pPr>
              <w:jc w:val="center"/>
              <w:rPr>
                <w:sz w:val="20"/>
                <w:szCs w:val="20"/>
              </w:rPr>
            </w:pPr>
            <w:r w:rsidRPr="004A350A">
              <w:rPr>
                <w:sz w:val="20"/>
                <w:szCs w:val="20"/>
              </w:rPr>
              <w:t>Not reported</w:t>
            </w:r>
          </w:p>
        </w:tc>
        <w:tc>
          <w:tcPr>
            <w:tcW w:w="2474" w:type="dxa"/>
            <w:vAlign w:val="center"/>
          </w:tcPr>
          <w:p w:rsidR="004E16D1" w:rsidRPr="004A350A" w:rsidRDefault="004E16D1" w:rsidP="00810DFC">
            <w:pPr>
              <w:jc w:val="center"/>
              <w:rPr>
                <w:sz w:val="20"/>
                <w:szCs w:val="20"/>
              </w:rPr>
            </w:pPr>
            <w:r w:rsidRPr="004A350A">
              <w:rPr>
                <w:sz w:val="20"/>
                <w:szCs w:val="20"/>
              </w:rPr>
              <w:t xml:space="preserve">Decreased blood cells in kidney marrow, immune and lymphatic defects </w:t>
            </w:r>
            <w:r>
              <w:rPr>
                <w:sz w:val="20"/>
                <w:szCs w:val="20"/>
              </w:rPr>
              <w:t>similar to GATA2 deficiency syndromes</w:t>
            </w:r>
          </w:p>
        </w:tc>
        <w:tc>
          <w:tcPr>
            <w:tcW w:w="1190" w:type="dxa"/>
            <w:vAlign w:val="center"/>
          </w:tcPr>
          <w:p w:rsidR="004E16D1" w:rsidRPr="004A350A" w:rsidRDefault="004E44AA" w:rsidP="008A4F5C">
            <w:pPr>
              <w:jc w:val="center"/>
              <w:rPr>
                <w:sz w:val="20"/>
                <w:szCs w:val="20"/>
              </w:rPr>
            </w:pPr>
            <w:r>
              <w:rPr>
                <w:sz w:val="20"/>
                <w:szCs w:val="20"/>
              </w:rPr>
              <w:t>CRISPR</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{"citationItems":[{"id":"ITEM-1","itemData":{"DOI":"10.1038/s42003-020-0798-3","author":[{"dropping-particle":"","family":"Dobrzycki","given":"Tomasz","non-dropping-particle":"","parse-names":false,"suffix":""},{"dropping-particle":"","family":"Mahony","given":"Christopher B","non-dropping-particle":"","parse-names":false,"suffix":""},{"dropping-particle":"","family":"Krecsmarik","given":"Monika","non-dropping-particle":"","parse-names":false,"suffix":""},{"dropping-particle":"","family":"Koyunlar","given":"Cansu","non-dropping-particle":"","parse-names":false,"suffix":""},{"dropping-particle":"","family":"Rispoli","given":"Rossella","non-dropping-particle":"","parse-names":false,"suffix":""},{"dropping-particle":"","family":"Peulen-Zink","given":"Joke","non-dropping-particle":"","parse-names":false,"suffix":""},{"dropping-particle":"","family":"Gussinklo","given":"Kirsten","non-dropping-particle":"","parse-names":false,"suffix":""},{"dropping-particle":"","family":"Fedlaoui","given":"Bakhta","non-dropping-particle":"","parse-names":false,"suffix":""},{"dropping-particle":"","family":"Pater","given":"Emma","non-dropping-particle":"de","parse-names":false,"suffix":""},{"dropping-particle":"","family":"Patient","given":"Roger","non-dropping-particle":"","parse-names":false,"suffix":""},{"dropping-particle":"","family":"Monteiro","given":"Rui","non-dropping-particle":"","parse-names":false,"suffix":""}],"container-title":"Communications Biology","id":"ITEM-1","issue":"1","issued":{"date-parts":[["2020"]]},"page":"71","publisher":"Springer US","title":"Deletion of a conserved Gata2 enhancer impairs haemogenic endothelium programming and adult Zebrafish haematopoiesis","type":"article-journal","volume":"3"},"uris":["http://www.mendeley.com/documents/?uuid=47ee411b-6eee-3af2-8a89-f161a3ca0b5b","http://www.mendeley.com/documents/?uuid=5939d5ff-27ca-4cf4-b7e3-11979383b4ad"]}],"mendeley":{"formattedCitation":"(Dobrzycki et al., 2020)","plainTextFormattedCitation":"(Dobrzycki et al., 2020)","previouslyFormattedCitation":"(Dobrzycki et al., 2020)"},"properties":{"noteIndex":0},"schema":"https://github.com/citation-style-language/schema/raw/master/csl-citation.json"}</w:instrText>
            </w:r>
            <w:r w:rsidRPr="004A350A">
              <w:rPr>
                <w:sz w:val="20"/>
                <w:szCs w:val="20"/>
              </w:rPr>
              <w:fldChar w:fldCharType="separate"/>
            </w:r>
            <w:r w:rsidR="004E16D1" w:rsidRPr="002E7A22">
              <w:rPr>
                <w:noProof/>
                <w:sz w:val="20"/>
                <w:szCs w:val="20"/>
              </w:rPr>
              <w:t>(Dobrzycki et al., 2020)</w:t>
            </w:r>
            <w:r w:rsidRPr="004A350A">
              <w:rPr>
                <w:sz w:val="20"/>
                <w:szCs w:val="20"/>
              </w:rPr>
              <w:fldChar w:fldCharType="end"/>
            </w:r>
          </w:p>
        </w:tc>
      </w:tr>
      <w:tr w:rsidR="004E16D1" w:rsidTr="00F97801">
        <w:trPr>
          <w:trHeight w:val="144"/>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vertAlign w:val="superscript"/>
              </w:rPr>
            </w:pPr>
            <w:r w:rsidRPr="004A350A">
              <w:rPr>
                <w:i/>
                <w:iCs/>
                <w:sz w:val="20"/>
                <w:szCs w:val="20"/>
              </w:rPr>
              <w:t>gata2b</w:t>
            </w:r>
            <w:r w:rsidRPr="004A350A">
              <w:rPr>
                <w:sz w:val="20"/>
                <w:szCs w:val="20"/>
                <w:vertAlign w:val="superscript"/>
              </w:rPr>
              <w:t>+/-</w:t>
            </w:r>
          </w:p>
        </w:tc>
        <w:tc>
          <w:tcPr>
            <w:tcW w:w="1800" w:type="dxa"/>
            <w:vMerge/>
            <w:vAlign w:val="center"/>
          </w:tcPr>
          <w:p w:rsidR="004E16D1" w:rsidRPr="004A350A" w:rsidRDefault="004E16D1" w:rsidP="00810DFC">
            <w:pPr>
              <w:jc w:val="center"/>
              <w:rPr>
                <w:sz w:val="20"/>
                <w:szCs w:val="20"/>
              </w:rPr>
            </w:pPr>
          </w:p>
        </w:tc>
        <w:tc>
          <w:tcPr>
            <w:tcW w:w="2474" w:type="dxa"/>
            <w:vAlign w:val="center"/>
          </w:tcPr>
          <w:p w:rsidR="004E16D1" w:rsidRPr="004A350A" w:rsidRDefault="004E16D1" w:rsidP="00810DFC">
            <w:pPr>
              <w:jc w:val="center"/>
              <w:rPr>
                <w:sz w:val="20"/>
                <w:szCs w:val="20"/>
              </w:rPr>
            </w:pPr>
            <w:r w:rsidRPr="004A350A">
              <w:rPr>
                <w:sz w:val="20"/>
                <w:szCs w:val="20"/>
              </w:rPr>
              <w:t xml:space="preserve">Reduced myeloid differentiation and dysplastic myeloid cells in </w:t>
            </w:r>
            <w:r>
              <w:rPr>
                <w:sz w:val="20"/>
                <w:szCs w:val="20"/>
              </w:rPr>
              <w:t>adults</w:t>
            </w:r>
          </w:p>
        </w:tc>
        <w:tc>
          <w:tcPr>
            <w:tcW w:w="1190" w:type="dxa"/>
            <w:vAlign w:val="center"/>
          </w:tcPr>
          <w:p w:rsidR="004E16D1" w:rsidRPr="004A350A" w:rsidRDefault="004E44AA" w:rsidP="008A4F5C">
            <w:pPr>
              <w:jc w:val="center"/>
              <w:rPr>
                <w:noProof/>
                <w:sz w:val="20"/>
                <w:szCs w:val="20"/>
              </w:rPr>
            </w:pPr>
            <w:r>
              <w:rPr>
                <w:noProof/>
                <w:sz w:val="20"/>
                <w:szCs w:val="20"/>
              </w:rPr>
              <w:t>CRISPR</w:t>
            </w:r>
          </w:p>
        </w:tc>
        <w:tc>
          <w:tcPr>
            <w:tcW w:w="1190" w:type="dxa"/>
            <w:tcBorders>
              <w:right w:val="single" w:sz="18" w:space="0" w:color="auto"/>
            </w:tcBorders>
            <w:vAlign w:val="center"/>
          </w:tcPr>
          <w:p w:rsidR="004E16D1" w:rsidRPr="004A350A" w:rsidRDefault="004E16D1" w:rsidP="00810DFC">
            <w:pPr>
              <w:jc w:val="center"/>
              <w:rPr>
                <w:sz w:val="20"/>
                <w:szCs w:val="20"/>
              </w:rPr>
            </w:pPr>
            <w:r w:rsidRPr="004A350A">
              <w:rPr>
                <w:noProof/>
                <w:sz w:val="20"/>
                <w:szCs w:val="20"/>
              </w:rPr>
              <w:t>(Avagyan et al., 2017; Gioacchino et al., 2019)</w:t>
            </w:r>
          </w:p>
        </w:tc>
      </w:tr>
      <w:tr w:rsidR="004E16D1" w:rsidTr="00F97801">
        <w:trPr>
          <w:trHeight w:val="144"/>
          <w:jc w:val="center"/>
        </w:trPr>
        <w:tc>
          <w:tcPr>
            <w:tcW w:w="1513" w:type="dxa"/>
            <w:vMerge w:val="restart"/>
            <w:tcBorders>
              <w:left w:val="single" w:sz="18" w:space="0" w:color="auto"/>
            </w:tcBorders>
            <w:vAlign w:val="center"/>
          </w:tcPr>
          <w:p w:rsidR="004E16D1" w:rsidRPr="004A350A" w:rsidRDefault="004E16D1" w:rsidP="00810DFC">
            <w:pPr>
              <w:jc w:val="center"/>
              <w:rPr>
                <w:sz w:val="20"/>
                <w:szCs w:val="20"/>
              </w:rPr>
            </w:pPr>
            <w:r w:rsidRPr="004A350A">
              <w:rPr>
                <w:sz w:val="20"/>
                <w:szCs w:val="20"/>
              </w:rPr>
              <w:t>Familial AML</w:t>
            </w:r>
          </w:p>
        </w:tc>
        <w:tc>
          <w:tcPr>
            <w:tcW w:w="1074" w:type="dxa"/>
            <w:vMerge w:val="restart"/>
            <w:vAlign w:val="center"/>
          </w:tcPr>
          <w:p w:rsidR="004E16D1" w:rsidRPr="004A350A" w:rsidRDefault="004E16D1" w:rsidP="00810DFC">
            <w:pPr>
              <w:jc w:val="center"/>
              <w:rPr>
                <w:i/>
                <w:iCs/>
                <w:sz w:val="20"/>
                <w:szCs w:val="20"/>
              </w:rPr>
            </w:pPr>
            <w:r w:rsidRPr="004A350A">
              <w:rPr>
                <w:i/>
                <w:iCs/>
                <w:sz w:val="20"/>
                <w:szCs w:val="20"/>
              </w:rPr>
              <w:t>CEBPA</w:t>
            </w:r>
          </w:p>
        </w:tc>
        <w:tc>
          <w:tcPr>
            <w:tcW w:w="1440" w:type="dxa"/>
            <w:vAlign w:val="center"/>
          </w:tcPr>
          <w:p w:rsidR="004E16D1" w:rsidRPr="004A350A" w:rsidRDefault="004E16D1" w:rsidP="00810DFC">
            <w:pPr>
              <w:jc w:val="center"/>
              <w:rPr>
                <w:sz w:val="20"/>
                <w:szCs w:val="20"/>
              </w:rPr>
            </w:pPr>
            <w:r w:rsidRPr="004A350A">
              <w:rPr>
                <w:i/>
                <w:iCs/>
                <w:sz w:val="20"/>
                <w:szCs w:val="20"/>
              </w:rPr>
              <w:t>moli</w:t>
            </w:r>
            <w:r w:rsidRPr="004A350A">
              <w:rPr>
                <w:i/>
                <w:iCs/>
                <w:sz w:val="20"/>
                <w:szCs w:val="20"/>
                <w:vertAlign w:val="superscript"/>
              </w:rPr>
              <w:t>hkz7</w:t>
            </w:r>
          </w:p>
        </w:tc>
        <w:tc>
          <w:tcPr>
            <w:tcW w:w="1800" w:type="dxa"/>
            <w:vMerge w:val="restart"/>
            <w:vAlign w:val="center"/>
          </w:tcPr>
          <w:p w:rsidR="004E16D1" w:rsidRPr="004A350A" w:rsidRDefault="004E16D1" w:rsidP="00810DFC">
            <w:pPr>
              <w:jc w:val="center"/>
              <w:rPr>
                <w:sz w:val="20"/>
                <w:szCs w:val="20"/>
              </w:rPr>
            </w:pPr>
            <w:r w:rsidRPr="004A350A">
              <w:rPr>
                <w:sz w:val="20"/>
                <w:szCs w:val="20"/>
              </w:rPr>
              <w:t>Not reported</w:t>
            </w:r>
          </w:p>
        </w:tc>
        <w:tc>
          <w:tcPr>
            <w:tcW w:w="2474" w:type="dxa"/>
            <w:vMerge w:val="restart"/>
            <w:vAlign w:val="center"/>
          </w:tcPr>
          <w:p w:rsidR="004E16D1" w:rsidRPr="004A350A" w:rsidRDefault="004E16D1" w:rsidP="00810DFC">
            <w:pPr>
              <w:jc w:val="center"/>
              <w:rPr>
                <w:sz w:val="20"/>
                <w:szCs w:val="20"/>
              </w:rPr>
            </w:pPr>
            <w:r w:rsidRPr="004A350A">
              <w:rPr>
                <w:sz w:val="20"/>
                <w:szCs w:val="20"/>
              </w:rPr>
              <w:t>Defects in myeloid progenitor proliferation &amp; differentiation</w:t>
            </w:r>
          </w:p>
        </w:tc>
        <w:tc>
          <w:tcPr>
            <w:tcW w:w="1190" w:type="dxa"/>
            <w:vAlign w:val="center"/>
          </w:tcPr>
          <w:p w:rsidR="004E16D1" w:rsidRPr="00F97801" w:rsidRDefault="008A4F5C" w:rsidP="008A4F5C">
            <w:pPr>
              <w:jc w:val="center"/>
              <w:rPr>
                <w:sz w:val="20"/>
                <w:szCs w:val="20"/>
              </w:rPr>
            </w:pPr>
            <w:r>
              <w:rPr>
                <w:sz w:val="20"/>
                <w:szCs w:val="20"/>
              </w:rPr>
              <w:t>ENU</w:t>
            </w:r>
          </w:p>
        </w:tc>
        <w:tc>
          <w:tcPr>
            <w:tcW w:w="1190" w:type="dxa"/>
            <w:vMerge w:val="restart"/>
            <w:tcBorders>
              <w:right w:val="single" w:sz="18" w:space="0" w:color="auto"/>
            </w:tcBorders>
            <w:vAlign w:val="center"/>
          </w:tcPr>
          <w:p w:rsidR="004E16D1" w:rsidRPr="004A350A" w:rsidRDefault="00A23EBF" w:rsidP="00810DFC">
            <w:pPr>
              <w:jc w:val="center"/>
              <w:rPr>
                <w:sz w:val="20"/>
                <w:szCs w:val="20"/>
              </w:rPr>
            </w:pPr>
            <w:r w:rsidRPr="004A350A">
              <w:rPr>
                <w:i/>
                <w:iCs/>
                <w:sz w:val="20"/>
                <w:szCs w:val="20"/>
              </w:rPr>
              <w:fldChar w:fldCharType="begin" w:fldLock="1"/>
            </w:r>
            <w:r w:rsidR="004E16D1">
              <w:rPr>
                <w:i/>
                <w:iCs/>
                <w:sz w:val="20"/>
                <w:szCs w:val="20"/>
              </w:rPr>
              <w:instrText>ADDIN CSL_CITATION {"citationItems":[{"id":"ITEM-1","itemData":{"DOI":"10.1016/j.jgg.2016.09.001","author":[{"dropping-particle":"","family":"Dai","given":"Yimei","non-dropping-particle":"","parse-names":false,"suffix":""},{"dropping-particle":"","family":"Zhu","given":"Lu","non-dropping-particle":"","parse-names":false,"suffix":""},{"dropping-particle":"","family":"Huang","given":"Zhibin","non-dropping-particle":"","parse-names":false,"suffix":""},{"dropping-particle":"","family":"Zhou","given":"Minyu","non-dropping-particle":"","parse-names":false,"suffix":""},{"dropping-particle":"","family":"Jin","given":"Wan","non-dropping-particle":"","parse-names":false,"suffix":""},{"dropping-particle":"","family":"Liu","given":"Wei","non-dropping-particle":"","parse-names":false,"suffix":""},{"dropping-particle":"","family":"Xu","given":"Mengchang","non-dropping-particle":"","parse-names":false,"suffix":""},{"dropping-particle":"","family":"Yu","given":"Tao","non-dropping-particle":"","parse-names":false,"suffix":""},{"dropping-particle":"","family":"Zhang","given":"Yiyue","non-dropping-particle":"","parse-names":false,"suffix":""},{"dropping-particle":"","family":"Wen","given":"Zilong","non-dropping-particle":"","parse-names":false,"suffix":""},{"dropping-particle":"","family":"Liao","given":"Wangjun","non-dropping-particle":"","parse-names":false,"suffix":""},{"dropping-particle":"","family":"Zhang","given":"Wenqing","non-dropping-particle":"","parse-names":false,"suffix":""}],"container-title":"Journal of Genetics and Genomics","id":"ITEM-1","issue":"10","issued":{"date-parts":[["2016"]]},"page":"593-600","publisher":"Elsevier Limited and Science Press","title":"Cebpα is essential for the embryonic myeloid progenitor and neutrophil maintenance in zebrafish","type":"article-journal","volume":"43"},"uris":["http://www.mendeley.com/documents/?uuid=8d8e1b99-06fd-3c77-9b96-0860d4b8945d","http://www.mendeley.com/documents/?uuid=7105fc1a-2948-44b0-9228-6e5a33725a9e"]}],"mendeley":{"formattedCitation":"(Dai et al., 2016)","plainTextFormattedCitation":"(Dai et al., 2016)","previouslyFormattedCitation":"(Dai et al., 2016)"},"properties":{"noteIndex":0},"schema":"https://github.com/citation-style-language/schema/raw/master/csl-citation.json"}</w:instrText>
            </w:r>
            <w:r w:rsidRPr="004A350A">
              <w:rPr>
                <w:i/>
                <w:iCs/>
                <w:sz w:val="20"/>
                <w:szCs w:val="20"/>
              </w:rPr>
              <w:fldChar w:fldCharType="separate"/>
            </w:r>
            <w:r w:rsidR="004E16D1" w:rsidRPr="004A350A">
              <w:rPr>
                <w:iCs/>
                <w:noProof/>
                <w:sz w:val="20"/>
                <w:szCs w:val="20"/>
              </w:rPr>
              <w:t>(Dai et al., 2016)</w:t>
            </w:r>
            <w:r w:rsidRPr="004A350A">
              <w:rPr>
                <w:i/>
                <w:iCs/>
                <w:sz w:val="20"/>
                <w:szCs w:val="20"/>
              </w:rPr>
              <w:fldChar w:fldCharType="end"/>
            </w:r>
          </w:p>
        </w:tc>
      </w:tr>
      <w:tr w:rsidR="004E16D1" w:rsidTr="00F97801">
        <w:trPr>
          <w:trHeight w:val="144"/>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cebpa</w:t>
            </w:r>
            <w:r w:rsidRPr="004A350A">
              <w:rPr>
                <w:i/>
                <w:iCs/>
                <w:sz w:val="20"/>
                <w:szCs w:val="20"/>
                <w:vertAlign w:val="superscript"/>
              </w:rPr>
              <w:t>sum2</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8A4F5C" w:rsidP="008A4F5C">
            <w:pPr>
              <w:jc w:val="center"/>
              <w:rPr>
                <w:sz w:val="20"/>
                <w:szCs w:val="20"/>
              </w:rPr>
            </w:pPr>
            <w:r>
              <w:rPr>
                <w:sz w:val="20"/>
                <w:szCs w:val="20"/>
              </w:rPr>
              <w:t>TALEN</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144"/>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cebpa</w:t>
            </w:r>
            <w:r w:rsidRPr="004A350A">
              <w:rPr>
                <w:i/>
                <w:iCs/>
                <w:sz w:val="20"/>
                <w:szCs w:val="20"/>
                <w:vertAlign w:val="superscript"/>
              </w:rPr>
              <w:t>sum3</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8A4F5C" w:rsidP="008A4F5C">
            <w:pPr>
              <w:jc w:val="center"/>
              <w:rPr>
                <w:sz w:val="20"/>
                <w:szCs w:val="20"/>
              </w:rPr>
            </w:pPr>
            <w:r>
              <w:rPr>
                <w:sz w:val="20"/>
                <w:szCs w:val="20"/>
              </w:rPr>
              <w:t>TALEN</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144"/>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cebpa</w:t>
            </w:r>
            <w:r w:rsidRPr="004A350A">
              <w:rPr>
                <w:sz w:val="20"/>
                <w:szCs w:val="20"/>
                <w:vertAlign w:val="superscript"/>
              </w:rPr>
              <w:t>Cterm/Nterm</w:t>
            </w:r>
          </w:p>
        </w:tc>
        <w:tc>
          <w:tcPr>
            <w:tcW w:w="1800" w:type="dxa"/>
            <w:vMerge w:val="restart"/>
            <w:vAlign w:val="center"/>
          </w:tcPr>
          <w:p w:rsidR="004E16D1" w:rsidRPr="004A350A" w:rsidRDefault="004E16D1" w:rsidP="00810DFC">
            <w:pPr>
              <w:jc w:val="center"/>
              <w:rPr>
                <w:sz w:val="20"/>
                <w:szCs w:val="20"/>
              </w:rPr>
            </w:pPr>
            <w:r w:rsidRPr="004A350A">
              <w:rPr>
                <w:sz w:val="20"/>
                <w:szCs w:val="20"/>
              </w:rPr>
              <w:t xml:space="preserve">Leukemic transformation </w:t>
            </w:r>
            <w:r w:rsidRPr="004A350A">
              <w:rPr>
                <w:sz w:val="20"/>
                <w:szCs w:val="20"/>
              </w:rPr>
              <w:lastRenderedPageBreak/>
              <w:t>between 4-6 weeks of age</w:t>
            </w:r>
          </w:p>
        </w:tc>
        <w:tc>
          <w:tcPr>
            <w:tcW w:w="2474" w:type="dxa"/>
            <w:vMerge w:val="restart"/>
            <w:vAlign w:val="center"/>
          </w:tcPr>
          <w:p w:rsidR="004E16D1" w:rsidRPr="004A350A" w:rsidRDefault="004E16D1" w:rsidP="00810DFC">
            <w:pPr>
              <w:jc w:val="center"/>
              <w:rPr>
                <w:sz w:val="20"/>
                <w:szCs w:val="20"/>
              </w:rPr>
            </w:pPr>
            <w:r w:rsidRPr="004A350A">
              <w:rPr>
                <w:sz w:val="20"/>
                <w:szCs w:val="20"/>
              </w:rPr>
              <w:lastRenderedPageBreak/>
              <w:t xml:space="preserve">Defects in mature </w:t>
            </w:r>
            <w:r w:rsidRPr="004A350A">
              <w:rPr>
                <w:sz w:val="20"/>
                <w:szCs w:val="20"/>
              </w:rPr>
              <w:lastRenderedPageBreak/>
              <w:t>myelocytes and monocytes</w:t>
            </w:r>
          </w:p>
        </w:tc>
        <w:tc>
          <w:tcPr>
            <w:tcW w:w="1190" w:type="dxa"/>
            <w:vAlign w:val="center"/>
          </w:tcPr>
          <w:p w:rsidR="004E16D1" w:rsidRPr="004A350A" w:rsidRDefault="008A4F5C" w:rsidP="008A4F5C">
            <w:pPr>
              <w:jc w:val="center"/>
              <w:rPr>
                <w:noProof/>
                <w:sz w:val="20"/>
                <w:szCs w:val="20"/>
              </w:rPr>
            </w:pPr>
            <w:r>
              <w:rPr>
                <w:noProof/>
                <w:sz w:val="20"/>
                <w:szCs w:val="20"/>
              </w:rPr>
              <w:lastRenderedPageBreak/>
              <w:t>TALEN</w:t>
            </w:r>
          </w:p>
        </w:tc>
        <w:tc>
          <w:tcPr>
            <w:tcW w:w="1190" w:type="dxa"/>
            <w:vMerge w:val="restart"/>
            <w:tcBorders>
              <w:right w:val="single" w:sz="18" w:space="0" w:color="auto"/>
            </w:tcBorders>
            <w:vAlign w:val="center"/>
          </w:tcPr>
          <w:p w:rsidR="004E16D1" w:rsidRPr="004A350A" w:rsidRDefault="004E16D1" w:rsidP="00810DFC">
            <w:pPr>
              <w:jc w:val="center"/>
              <w:rPr>
                <w:sz w:val="20"/>
                <w:szCs w:val="20"/>
              </w:rPr>
            </w:pPr>
            <w:r w:rsidRPr="004A350A">
              <w:rPr>
                <w:noProof/>
                <w:sz w:val="20"/>
                <w:szCs w:val="20"/>
              </w:rPr>
              <w:t xml:space="preserve">(Hockings </w:t>
            </w:r>
            <w:r w:rsidRPr="004A350A">
              <w:rPr>
                <w:noProof/>
                <w:sz w:val="20"/>
                <w:szCs w:val="20"/>
              </w:rPr>
              <w:lastRenderedPageBreak/>
              <w:t>et al., 2018)</w:t>
            </w:r>
          </w:p>
        </w:tc>
      </w:tr>
      <w:tr w:rsidR="004E16D1" w:rsidTr="00F97801">
        <w:trPr>
          <w:trHeight w:val="144"/>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rPr>
            </w:pPr>
            <w:r w:rsidRPr="004A350A">
              <w:rPr>
                <w:i/>
                <w:iCs/>
                <w:sz w:val="20"/>
                <w:szCs w:val="20"/>
              </w:rPr>
              <w:t>cebpa</w:t>
            </w:r>
            <w:r w:rsidRPr="004A350A">
              <w:rPr>
                <w:sz w:val="20"/>
                <w:szCs w:val="20"/>
                <w:vertAlign w:val="superscript"/>
              </w:rPr>
              <w:t>Nterm/Nterm</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8A4F5C" w:rsidP="008A4F5C">
            <w:pPr>
              <w:jc w:val="center"/>
              <w:rPr>
                <w:sz w:val="20"/>
                <w:szCs w:val="20"/>
              </w:rPr>
            </w:pPr>
            <w:r>
              <w:rPr>
                <w:sz w:val="20"/>
                <w:szCs w:val="20"/>
              </w:rPr>
              <w:t>TALEN</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920"/>
          <w:jc w:val="center"/>
        </w:trPr>
        <w:tc>
          <w:tcPr>
            <w:tcW w:w="1513" w:type="dxa"/>
            <w:tcBorders>
              <w:left w:val="single" w:sz="18" w:space="0" w:color="auto"/>
            </w:tcBorders>
            <w:vAlign w:val="center"/>
          </w:tcPr>
          <w:p w:rsidR="004E16D1" w:rsidRPr="004A350A" w:rsidRDefault="004E16D1" w:rsidP="00810DFC">
            <w:pPr>
              <w:jc w:val="center"/>
              <w:rPr>
                <w:sz w:val="20"/>
                <w:szCs w:val="20"/>
              </w:rPr>
            </w:pPr>
            <w:r w:rsidRPr="004A350A">
              <w:rPr>
                <w:sz w:val="20"/>
                <w:szCs w:val="20"/>
              </w:rPr>
              <w:lastRenderedPageBreak/>
              <w:t>Familial Platelet Disorder with Predisposition to AML</w:t>
            </w:r>
          </w:p>
        </w:tc>
        <w:tc>
          <w:tcPr>
            <w:tcW w:w="1074" w:type="dxa"/>
            <w:vAlign w:val="center"/>
          </w:tcPr>
          <w:p w:rsidR="004E16D1" w:rsidRPr="004A350A" w:rsidRDefault="004E16D1" w:rsidP="00810DFC">
            <w:pPr>
              <w:jc w:val="center"/>
              <w:rPr>
                <w:i/>
                <w:iCs/>
                <w:sz w:val="20"/>
                <w:szCs w:val="20"/>
              </w:rPr>
            </w:pPr>
            <w:r w:rsidRPr="004A350A">
              <w:rPr>
                <w:i/>
                <w:iCs/>
                <w:sz w:val="20"/>
                <w:szCs w:val="20"/>
              </w:rPr>
              <w:t>RUNX1</w:t>
            </w:r>
          </w:p>
        </w:tc>
        <w:tc>
          <w:tcPr>
            <w:tcW w:w="1440" w:type="dxa"/>
            <w:vAlign w:val="center"/>
          </w:tcPr>
          <w:p w:rsidR="004E16D1" w:rsidRPr="004A350A" w:rsidRDefault="004E16D1" w:rsidP="00810DFC">
            <w:pPr>
              <w:jc w:val="center"/>
              <w:rPr>
                <w:sz w:val="20"/>
                <w:szCs w:val="20"/>
              </w:rPr>
            </w:pPr>
            <w:r w:rsidRPr="004A350A">
              <w:rPr>
                <w:i/>
                <w:iCs/>
                <w:sz w:val="20"/>
                <w:szCs w:val="20"/>
              </w:rPr>
              <w:t>runx1</w:t>
            </w:r>
            <w:r>
              <w:rPr>
                <w:sz w:val="20"/>
                <w:szCs w:val="20"/>
                <w:vertAlign w:val="superscript"/>
              </w:rPr>
              <w:t>W</w:t>
            </w:r>
            <w:r w:rsidRPr="00665085">
              <w:rPr>
                <w:sz w:val="20"/>
                <w:szCs w:val="20"/>
                <w:vertAlign w:val="superscript"/>
              </w:rPr>
              <w:t>84</w:t>
            </w:r>
            <w:r>
              <w:rPr>
                <w:sz w:val="20"/>
                <w:szCs w:val="20"/>
                <w:vertAlign w:val="superscript"/>
              </w:rPr>
              <w:t>X/W</w:t>
            </w:r>
            <w:r w:rsidRPr="00665085">
              <w:rPr>
                <w:sz w:val="20"/>
                <w:szCs w:val="20"/>
                <w:vertAlign w:val="superscript"/>
              </w:rPr>
              <w:t>84</w:t>
            </w:r>
            <w:r>
              <w:rPr>
                <w:sz w:val="20"/>
                <w:szCs w:val="20"/>
                <w:vertAlign w:val="superscript"/>
              </w:rPr>
              <w:t>X</w:t>
            </w:r>
          </w:p>
        </w:tc>
        <w:tc>
          <w:tcPr>
            <w:tcW w:w="1800" w:type="dxa"/>
            <w:vAlign w:val="center"/>
          </w:tcPr>
          <w:p w:rsidR="004E16D1" w:rsidRPr="004A350A" w:rsidRDefault="004E16D1" w:rsidP="00810DFC">
            <w:pPr>
              <w:jc w:val="center"/>
              <w:rPr>
                <w:sz w:val="20"/>
                <w:szCs w:val="20"/>
              </w:rPr>
            </w:pPr>
            <w:r w:rsidRPr="004A350A">
              <w:rPr>
                <w:sz w:val="20"/>
                <w:szCs w:val="20"/>
              </w:rPr>
              <w:t>Not reported</w:t>
            </w:r>
          </w:p>
        </w:tc>
        <w:tc>
          <w:tcPr>
            <w:tcW w:w="2474" w:type="dxa"/>
            <w:vAlign w:val="center"/>
          </w:tcPr>
          <w:p w:rsidR="004E16D1" w:rsidRPr="004A350A" w:rsidRDefault="004E16D1" w:rsidP="00810DFC">
            <w:pPr>
              <w:jc w:val="center"/>
              <w:rPr>
                <w:sz w:val="20"/>
                <w:szCs w:val="20"/>
              </w:rPr>
            </w:pPr>
            <w:r w:rsidRPr="004A350A">
              <w:rPr>
                <w:sz w:val="20"/>
                <w:szCs w:val="20"/>
              </w:rPr>
              <w:t>Reduced number of neutrophils, thrombocytes, and B-cells</w:t>
            </w:r>
          </w:p>
        </w:tc>
        <w:tc>
          <w:tcPr>
            <w:tcW w:w="1190" w:type="dxa"/>
            <w:vAlign w:val="center"/>
          </w:tcPr>
          <w:p w:rsidR="004E16D1" w:rsidRDefault="008A4F5C" w:rsidP="008A4F5C">
            <w:pPr>
              <w:jc w:val="center"/>
              <w:rPr>
                <w:noProof/>
                <w:sz w:val="20"/>
                <w:szCs w:val="20"/>
              </w:rPr>
            </w:pPr>
            <w:r>
              <w:rPr>
                <w:noProof/>
                <w:sz w:val="20"/>
                <w:szCs w:val="20"/>
              </w:rPr>
              <w:t>ENU</w:t>
            </w:r>
          </w:p>
        </w:tc>
        <w:tc>
          <w:tcPr>
            <w:tcW w:w="1190" w:type="dxa"/>
            <w:tcBorders>
              <w:right w:val="single" w:sz="18" w:space="0" w:color="auto"/>
            </w:tcBorders>
            <w:vAlign w:val="center"/>
          </w:tcPr>
          <w:p w:rsidR="004E16D1" w:rsidRPr="004A350A" w:rsidRDefault="00A23EBF" w:rsidP="00810DFC">
            <w:pPr>
              <w:jc w:val="center"/>
              <w:rPr>
                <w:sz w:val="20"/>
                <w:szCs w:val="20"/>
              </w:rPr>
            </w:pPr>
            <w:r>
              <w:rPr>
                <w:noProof/>
                <w:sz w:val="20"/>
                <w:szCs w:val="20"/>
              </w:rPr>
              <w:fldChar w:fldCharType="begin" w:fldLock="1"/>
            </w:r>
            <w:r w:rsidR="004E16D1">
              <w:rPr>
                <w:noProof/>
                <w:sz w:val="20"/>
                <w:szCs w:val="20"/>
              </w:rPr>
              <w:instrText>ADDIN CSL_CITATION {"citationItems":[{"id":"ITEM-1","itemData":{"DOI":"10.1182/blood-2011-12-398362","abstract":"Proper cell fate choice in myelopoiesis is essential for generating correct numbers of distinct myeloid subsets manifesting a wide spectrum of subset-specific activities during development and adulthood. Studies have suggested that myeloid fate choice is primarily regulated by transcription factors; however, new intrinsic regulators and their underlying mechanisms remain to be elucidated. Zebrafish embryonic myelopoiesis gives rise to neutrophils and macrophages and represents a promising system to derive new regulatory mechanisms for myeloid fate decision in vertebrates. Here we present an in vivo study of cell fate specification during zebrafish embryonic myelopoiesis through characterization of the embryos with altered Pu.1, Runx1 activity alone, or their combinations. Genetic analysis shows that low and high Pu.1 activities determine embryonic neutrophilic granulocyte and macrophage fate, respectively. Inactivation and overexpression of Runx1 in zebrafish uncover Runx1 as a key embryonic myeloid fate determinant that favors neutrophil over macrophage fate. Runx1 is induced by high Pu.1 level and in turn transrepresses pu.1 expression, thus constituting a negative feedback loop that fashions a favorable Pu.1 level required for balanced fate commitment to neutrophils versus macrophages. Our findings define a Pu.1-Runx1 regulatory loop that governs the equilibrium between distinct myeloid fates by assuring an appropriate Pu.1 dosage.","author":[{"dropping-particle":"","family":"Jin","given":"Hao","non-dropping-particle":"","parse-names":false,"suffix":""},{"dropping-particle":"","family":"Li","given":"Li","non-dropping-particle":"","parse-names":false,"suffix":""},{"dropping-particle":"","family":"Xu","given":"Jin","non-dropping-particle":"","parse-names":false,"suffix":""},{"dropping-particle":"","family":"Zhen","given":"Fenghua","non-dropping-particle":"","parse-names":false,"suffix":""},{"dropping-particle":"","family":"Zhu","given":"Lu","non-dropping-particle":"","parse-names":false,"suffix":""},{"dropping-particle":"","family":"Liu","given":"P Paul","non-dropping-particle":"","parse-names":false,"suffix":""},{"dropping-particle":"","family":"Zhang","given":"Mingjie","non-dropping-particle":"","parse-names":false,"suffix":""},{"dropping-particle":"","family":"Zhang","given":"Wenqing","non-dropping-particle":"","parse-names":false,"suffix":""},{"dropping-particle":"","family":"Wen","given":"Zilong","non-dropping-particle":"","parse-names":false,"suffix":""}],"container-title":"Blood","id":"ITEM-1","issue":"22","issued":{"date-parts":[["2012"]]},"page":"5239-5249","title":"Runx1 regulates embryonic myeloid fate choice in zebrafish through a negative feedback loop inhibiting Pu.1 expression","type":"article-journal","volume":"119"},"uris":["http://www.mendeley.com/documents/?uuid=3864ffb0-13de-30aa-a033-f01423db1cb0"]},{"id":"ITEM-2","itemData":{"DOI":"10.1098/rsob.180043","abstract":"Transcription factor RUNX1 holds an integral role in multiple-lineage haematopoiesis and is implicated as a cofactor in V(D)J rearrangements during lymphocyte development. Runx1 deficiencies resulted in immaturity and reduction of lymphocytes in mice. In this study, we found that runx1 W84X/W84X mutation led to the reduction and disordering of B cells, as well as the failure of V(D)J rearrangements in B cells but not T cells, resulting in antibody-inadequate-mediated immunodeficiency in adult zebrafish. By contrast, T cell development was not affected. The decreased number of B cells mainly results from excessive apoptosis in immature B cells. Disrupted B cell development results in runx1 W84X/W84X mutants displaying a similar phenotype to common variable immunodeficiency—a primary immunodeficiency disease primarily characterized by frequent susceptibility to infection and deficient immune response, with marked reduction of antibody production of IgG, IgA and/or IgM. Our studies demonstrated an evolutionarily conserved function of runx1 in maturation and differentiation of B cells in adult zebrafish, which will serve as a valuable model for the study of immune deficiency diseases and their treatments.","author":[{"dropping-particle":"","family":"Chi","given":"Yali","non-dropping-particle":"","parse-names":false,"suffix":""},{"dropping-particle":"","family":"Huang","given":"Zhibin","non-dropping-particle":"","parse-names":false,"suffix":""},{"dropping-particle":"","family":"Chen","given":"Qi","non-dropping-particle":"","parse-names":false,"suffix":""},{"dropping-particle":"","family":"Xiong","given":"Xiaojie","non-dropping-particle":"","parse-names":false,"suffix":""},{"dropping-particle":"","family":"Chen","given":"Kemin","non-dropping-particle":"","parse-names":false,"suffix":""},{"dropping-particle":"","family":"Xu","given":"Jin","non-dropping-particle":"","parse-names":false,"suffix":""},{"dropping-particle":"","family":"Zhang","given":"Yiyue","non-dropping-particle":"","parse-names":false,"suffix":""},{"dropping-particle":"","family":"Zhang","given":"Wenqing","non-dropping-particle":"","parse-names":false,"suffix":""}],"container-title":"Open Biology","id":"ITEM-2","issue":"7","issued":{"date-parts":[["2018"]]},"page":"180043","title":"Loss of runx1 function results in B cell immunodeficiency but not T cell in adult zebrafish","type":"article-journal","volume":"8"},"uris":["http://www.mendeley.com/documents/?uuid=5222c9d1-7535-3639-a445-76aa5a931e8f"]},{"id":"ITEM-3","itemData":{"DOI":"10.1182/blood-2009-08-236729","abstract":"Runx1 is required for the emergence of hematopoietic stem cells (HSCs) from hemogenic endothelium during embryogenesis. However, its role in the generation and maintenance of HSCs during adult hematopoiesis remains uncertain. Here, we present analysis of a zebrafish mutant line carrying a truncation mutation, W84X, in runx1. The runx1W84X/W84X embryos showed blockage in the initiation of definitive hematopoiesis, but some embryos were able to recover from a larval “bloodless” phase and develop to fertile adults with multilineage hematopoiesis. Using cd41–green fluorescent protein transgenic zebrafish and lineage tracing, we demonstrated that the runx1W84X/W84X embryos developed cd41+ HSCs in the aorta-gonad-mesonephros region, which later migrated to the kidney, the site of adult hematopoiesis. Overall, our data suggest that in zebrafish adult HSCs can be formed without an intact runx1.","author":[{"dropping-particle":"","family":"Sood","given":"Raman","non-dropping-particle":"","parse-names":false,"suffix":""},{"dropping-particle":"","family":"English","given":"Milton A","non-dropping-particle":"","parse-names":false,"suffix":""},{"dropping-particle":"","family":"Belele","given":"Christiane L","non-dropping-particle":"","parse-names":false,"suffix":""},{"dropping-particle":"","family":"Jin","given":"Hao","non-dropping-particle":"","parse-names":false,"suffix":""},{"dropping-particle":"","family":"Bishop","given":"Kevin","non-dropping-particle":"","parse-names":false,"suffix":""},{"dropping-particle":"","family":"Haskins","given":"Rebecca","non-dropping-particle":"","parse-names":false,"suffix":""},{"dropping-particle":"","family":"McKinney","given":"Mary Cathleen","non-dropping-particle":"","parse-names":false,"suffix":""},{"dropping-particle":"","family":"Chahal","given":"Jagman","non-dropping-particle":"","parse-names":false,"suffix":""},{"dropping-particle":"","family":"Weinstein","given":"Brant M","non-dropping-particle":"","parse-names":false,"suffix":""},{"dropping-particle":"","family":"Wen","given":"Zilong","non-dropping-particle":"","parse-names":false,"suffix":""},{"dropping-particle":"","family":"Liu","given":"P Paul","non-dropping-particle":"","parse-names":false,"suffix":""}],"container-title":"Blood","id":"ITEM-3","issue":"14","issued":{"date-parts":[["2010"]]},"page":"2806-2809","title":"Development of multilineage adult hematopoiesis in the zebrafish with a runx1 truncation mutation","type":"article-journal","volume":"115"},"uris":["http://www.mendeley.com/documents/?uuid=f88476bf-86bf-39c1-a174-96adb5ad2894"]}],"mendeley":{"formattedCitation":"(Sood et al., 2010; Jin et al., 2012; Chi et al., 2018)","plainTextFormattedCitation":"(Sood et al., 2010; Jin et al., 2012; Chi et al., 2018)","previouslyFormattedCitation":"(Sood et al., 2010; Jin et al., 2012; Chi et al., 2018)"},"properties":{"noteIndex":0},"schema":"https://github.com/citation-style-language/schema/raw/master/csl-citation.json"}</w:instrText>
            </w:r>
            <w:r>
              <w:rPr>
                <w:noProof/>
                <w:sz w:val="20"/>
                <w:szCs w:val="20"/>
              </w:rPr>
              <w:fldChar w:fldCharType="separate"/>
            </w:r>
            <w:r w:rsidR="004E16D1" w:rsidRPr="003C5BEE">
              <w:rPr>
                <w:noProof/>
                <w:sz w:val="20"/>
                <w:szCs w:val="20"/>
              </w:rPr>
              <w:t>(Sood et al., 2010; Jin et al., 2012; Chi et al., 2018)</w:t>
            </w:r>
            <w:r>
              <w:rPr>
                <w:noProof/>
                <w:sz w:val="20"/>
                <w:szCs w:val="20"/>
              </w:rPr>
              <w:fldChar w:fldCharType="end"/>
            </w:r>
          </w:p>
        </w:tc>
      </w:tr>
      <w:tr w:rsidR="004E16D1" w:rsidTr="00F97801">
        <w:trPr>
          <w:trHeight w:val="1135"/>
          <w:jc w:val="center"/>
        </w:trPr>
        <w:tc>
          <w:tcPr>
            <w:tcW w:w="1513" w:type="dxa"/>
            <w:tcBorders>
              <w:left w:val="single" w:sz="18" w:space="0" w:color="auto"/>
            </w:tcBorders>
            <w:vAlign w:val="center"/>
          </w:tcPr>
          <w:p w:rsidR="004E16D1" w:rsidRPr="004A350A" w:rsidRDefault="004E16D1" w:rsidP="003C5BEE">
            <w:pPr>
              <w:jc w:val="center"/>
              <w:rPr>
                <w:sz w:val="20"/>
                <w:szCs w:val="20"/>
              </w:rPr>
            </w:pPr>
            <w:r w:rsidRPr="004A350A">
              <w:rPr>
                <w:sz w:val="20"/>
                <w:szCs w:val="20"/>
              </w:rPr>
              <w:t>Congenital Amegakaryocytic Thrombocytopenia</w:t>
            </w:r>
          </w:p>
        </w:tc>
        <w:tc>
          <w:tcPr>
            <w:tcW w:w="1074" w:type="dxa"/>
            <w:vAlign w:val="center"/>
          </w:tcPr>
          <w:p w:rsidR="004E16D1" w:rsidRPr="004A350A" w:rsidRDefault="004E16D1" w:rsidP="003C5BEE">
            <w:pPr>
              <w:jc w:val="center"/>
              <w:rPr>
                <w:i/>
                <w:iCs/>
                <w:sz w:val="20"/>
                <w:szCs w:val="20"/>
              </w:rPr>
            </w:pPr>
            <w:r w:rsidRPr="004A350A">
              <w:rPr>
                <w:i/>
                <w:iCs/>
                <w:sz w:val="20"/>
                <w:szCs w:val="20"/>
              </w:rPr>
              <w:t>MPL</w:t>
            </w:r>
          </w:p>
        </w:tc>
        <w:tc>
          <w:tcPr>
            <w:tcW w:w="1440" w:type="dxa"/>
            <w:vAlign w:val="center"/>
          </w:tcPr>
          <w:p w:rsidR="004E16D1" w:rsidRPr="004A350A" w:rsidRDefault="004E16D1" w:rsidP="00810DFC">
            <w:pPr>
              <w:jc w:val="center"/>
              <w:rPr>
                <w:sz w:val="20"/>
                <w:szCs w:val="20"/>
              </w:rPr>
            </w:pPr>
            <w:r w:rsidRPr="004A350A">
              <w:rPr>
                <w:i/>
                <w:iCs/>
                <w:sz w:val="20"/>
                <w:szCs w:val="20"/>
              </w:rPr>
              <w:t>mpl</w:t>
            </w:r>
            <w:r w:rsidRPr="004A350A">
              <w:rPr>
                <w:sz w:val="20"/>
                <w:szCs w:val="20"/>
                <w:vertAlign w:val="superscript"/>
              </w:rPr>
              <w:t>smu3</w:t>
            </w:r>
          </w:p>
        </w:tc>
        <w:tc>
          <w:tcPr>
            <w:tcW w:w="1800" w:type="dxa"/>
            <w:vAlign w:val="center"/>
          </w:tcPr>
          <w:p w:rsidR="004E16D1" w:rsidRPr="004A350A" w:rsidRDefault="004E16D1" w:rsidP="00810DFC">
            <w:pPr>
              <w:jc w:val="center"/>
              <w:rPr>
                <w:sz w:val="20"/>
                <w:szCs w:val="20"/>
              </w:rPr>
            </w:pPr>
            <w:r w:rsidRPr="004A350A">
              <w:rPr>
                <w:sz w:val="20"/>
                <w:szCs w:val="20"/>
              </w:rPr>
              <w:t>Not reported</w:t>
            </w:r>
          </w:p>
        </w:tc>
        <w:tc>
          <w:tcPr>
            <w:tcW w:w="2474" w:type="dxa"/>
            <w:vAlign w:val="center"/>
          </w:tcPr>
          <w:p w:rsidR="004E16D1" w:rsidRPr="004A350A" w:rsidRDefault="004E16D1" w:rsidP="00810DFC">
            <w:pPr>
              <w:jc w:val="center"/>
              <w:rPr>
                <w:sz w:val="20"/>
                <w:szCs w:val="20"/>
              </w:rPr>
            </w:pPr>
            <w:r w:rsidRPr="004A350A">
              <w:rPr>
                <w:sz w:val="20"/>
                <w:szCs w:val="20"/>
              </w:rPr>
              <w:t>Severe thrombocytopenia, reduced homeostasis and abnormal bleeding</w:t>
            </w:r>
          </w:p>
        </w:tc>
        <w:tc>
          <w:tcPr>
            <w:tcW w:w="1190" w:type="dxa"/>
            <w:vAlign w:val="center"/>
          </w:tcPr>
          <w:p w:rsidR="004E16D1" w:rsidRPr="004A350A" w:rsidRDefault="008A4F5C" w:rsidP="008A4F5C">
            <w:pPr>
              <w:jc w:val="center"/>
              <w:rPr>
                <w:sz w:val="20"/>
                <w:szCs w:val="20"/>
              </w:rPr>
            </w:pPr>
            <w:r>
              <w:rPr>
                <w:sz w:val="20"/>
                <w:szCs w:val="20"/>
              </w:rPr>
              <w:t>TALEN</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{"citationItems":[{"id":"ITEM-1","itemData":{"DOI":"10.1038/leu.2016.320","abstract":"Mutations in the human myeloproliferative leukemia (MPL) protein gene are known to cause congenital amegakaryocytic thrombocytopenia (CAMT). The prognosis of this heritable disorder is poor and bone marrow transplantation is the only effective treatment. Here, by using the TALEN (transcription activator-like effector nuclease) technology, we created a zebrafish mpl mutant to model human CAMT. Disruption of zebrafish mpl lead to a severe reduction in thrombocytes and a high bleeding tendency, as well as deficiencies in adult hematopoietic stem/progenitor cells. We further demonstrated that thrombocytopenia in mpl mutant zebrafish was caused by impaired Tpo/Mpl/Jak2 signaling, resulting in reduced proliferation of thrombocyte precursors. These results indicate that mpl mutant zebrafish develop thrombocytopenia resembling the human CAMT. To utilize fully zebrafish to study thrombocyte biology and thrombocytopenia disorders, we generated a transgenic reporter line Tg(mpl:eGFP)smu4, in which green fluorescent protein (GFP) expression was driven by the mpl promoter. Detailed characterization of Tg(mpl:eGFP)smu4 fish confirmed that the thrombocyte lineage was specifically marked by GFP expression. In conclusion, we generated the first transmissible congenital thrombocytopenia zebrafish model mimicking human CAMT and a thrombocyte-specific transgenic line. Together with Tg(mpl:eGFP)smu4, mpl mutant zebrafish provide a useful tool for drug screening and study of thrombocytopoiesis.","author":[{"dropping-particle":"","family":"Lin","given":"Q","non-dropping-particle":"","parse-names":false,"suffix":""},{"dropping-particle":"","family":"Zhang","given":"Y","non-dropping-particle":"","parse-names":false,"suffix":""},{"dropping-particle":"","family":"Zhou","given":"R","non-dropping-particle":"","parse-names":false,"suffix":""},{"dropping-particle":"","family":"Zheng","given":"Y","non-dropping-particle":"","parse-names":false,"suffix":""},{"dropping-particle":"","family":"Zhao","given":"L","non-dropping-particle":"","parse-names":false,"suffix":""},{"dropping-particle":"","family":"Huang","given":"M","non-dropping-particle":"","parse-names":false,"suffix":""},{"dropping-particle":"","family":"Zhang","given":"X","non-dropping-particle":"","parse-names":false,"suffix":""},{"dropping-particle":"","family":"Leung","given":"A Y H H","non-dropping-particle":"","parse-names":false,"suffix":""},{"dropping-particle":"","family":"Zhang","given":"W","non-dropping-particle":"","parse-names":false,"suffix":""},{"dropping-particle":"","family":"Zhang","given":"Y","non-dropping-particle":"","parse-names":false,"suffix":""}],"container-title":"Leukemia","id":"ITEM-1","issue":"5","issued":{"date-parts":[["2017"]]},"page":"1206-1216","title":"Establishment of a congenital amegakaryocytic thrombocytopenia model and a thrombocyte-specific reporter line in zebrafish","type":"article-journal","volume":"31"},"uris":["http://www.mendeley.com/documents/?uuid=76920699-c465-341a-b4bb-7142dc4536e6"]}],"mendeley":{"formattedCitation":"(Lin et al., 2017)","plainTextFormattedCitation":"(Lin et al., 2017)","previouslyFormattedCitation":"(Lin et al., 2017)"},"properties":{"noteIndex":0},"schema":"https://github.com/citation-style-language/schema/raw/master/csl-citation.json"}</w:instrText>
            </w:r>
            <w:r w:rsidRPr="004A350A">
              <w:rPr>
                <w:sz w:val="20"/>
                <w:szCs w:val="20"/>
              </w:rPr>
              <w:fldChar w:fldCharType="separate"/>
            </w:r>
            <w:r w:rsidR="004E16D1" w:rsidRPr="003C5BEE">
              <w:rPr>
                <w:noProof/>
                <w:sz w:val="20"/>
                <w:szCs w:val="20"/>
              </w:rPr>
              <w:t>(Lin et al., 2017)</w:t>
            </w:r>
            <w:r w:rsidRPr="004A350A">
              <w:rPr>
                <w:sz w:val="20"/>
                <w:szCs w:val="20"/>
              </w:rPr>
              <w:fldChar w:fldCharType="end"/>
            </w:r>
          </w:p>
        </w:tc>
      </w:tr>
      <w:tr w:rsidR="004E16D1" w:rsidTr="00F97801">
        <w:trPr>
          <w:trHeight w:val="230"/>
          <w:jc w:val="center"/>
        </w:trPr>
        <w:tc>
          <w:tcPr>
            <w:tcW w:w="1513" w:type="dxa"/>
            <w:vMerge w:val="restart"/>
            <w:tcBorders>
              <w:left w:val="single" w:sz="18" w:space="0" w:color="auto"/>
            </w:tcBorders>
            <w:vAlign w:val="center"/>
          </w:tcPr>
          <w:p w:rsidR="004E16D1" w:rsidRPr="004A350A" w:rsidRDefault="004E16D1" w:rsidP="00810DFC">
            <w:pPr>
              <w:jc w:val="center"/>
              <w:rPr>
                <w:sz w:val="20"/>
                <w:szCs w:val="20"/>
              </w:rPr>
            </w:pPr>
          </w:p>
          <w:p w:rsidR="004E16D1" w:rsidRPr="004A350A" w:rsidRDefault="004E16D1" w:rsidP="00810DFC">
            <w:pPr>
              <w:jc w:val="center"/>
              <w:rPr>
                <w:sz w:val="20"/>
                <w:szCs w:val="20"/>
              </w:rPr>
            </w:pPr>
          </w:p>
          <w:p w:rsidR="004E16D1" w:rsidRPr="004A350A" w:rsidRDefault="004E16D1" w:rsidP="00810DFC">
            <w:pPr>
              <w:jc w:val="center"/>
              <w:rPr>
                <w:sz w:val="20"/>
                <w:szCs w:val="20"/>
              </w:rPr>
            </w:pPr>
          </w:p>
          <w:p w:rsidR="004E16D1" w:rsidRPr="004A350A" w:rsidRDefault="004E16D1" w:rsidP="003C5BEE">
            <w:pPr>
              <w:jc w:val="center"/>
              <w:rPr>
                <w:sz w:val="20"/>
                <w:szCs w:val="20"/>
              </w:rPr>
            </w:pPr>
            <w:r w:rsidRPr="004A350A">
              <w:rPr>
                <w:sz w:val="20"/>
                <w:szCs w:val="20"/>
              </w:rPr>
              <w:t>Fanconi Anemia</w:t>
            </w:r>
          </w:p>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FANCA</w:t>
            </w:r>
          </w:p>
        </w:tc>
        <w:tc>
          <w:tcPr>
            <w:tcW w:w="1440" w:type="dxa"/>
            <w:vAlign w:val="center"/>
          </w:tcPr>
          <w:p w:rsidR="004E16D1" w:rsidRPr="004A350A" w:rsidRDefault="004E16D1" w:rsidP="00810DFC">
            <w:pPr>
              <w:jc w:val="center"/>
              <w:rPr>
                <w:sz w:val="20"/>
                <w:szCs w:val="20"/>
              </w:rPr>
            </w:pPr>
            <w:r w:rsidRPr="004A350A">
              <w:rPr>
                <w:i/>
                <w:iCs/>
                <w:sz w:val="20"/>
                <w:szCs w:val="20"/>
              </w:rPr>
              <w:t>fanca</w:t>
            </w:r>
            <w:r w:rsidRPr="004A350A">
              <w:rPr>
                <w:sz w:val="20"/>
                <w:szCs w:val="20"/>
              </w:rPr>
              <w:t>_hg41</w:t>
            </w:r>
          </w:p>
        </w:tc>
        <w:tc>
          <w:tcPr>
            <w:tcW w:w="1800" w:type="dxa"/>
            <w:vMerge w:val="restart"/>
            <w:vAlign w:val="center"/>
          </w:tcPr>
          <w:p w:rsidR="004E16D1" w:rsidRPr="004A350A" w:rsidRDefault="004E16D1" w:rsidP="00810DFC">
            <w:pPr>
              <w:jc w:val="center"/>
              <w:rPr>
                <w:sz w:val="20"/>
                <w:szCs w:val="20"/>
              </w:rPr>
            </w:pPr>
            <w:r w:rsidRPr="004A350A">
              <w:rPr>
                <w:sz w:val="20"/>
                <w:szCs w:val="20"/>
              </w:rPr>
              <w:t>Not reported</w:t>
            </w:r>
          </w:p>
        </w:tc>
        <w:tc>
          <w:tcPr>
            <w:tcW w:w="2474" w:type="dxa"/>
            <w:vMerge w:val="restart"/>
            <w:vAlign w:val="center"/>
          </w:tcPr>
          <w:p w:rsidR="004E16D1" w:rsidRPr="004A350A" w:rsidRDefault="004E16D1" w:rsidP="00810DFC">
            <w:pPr>
              <w:jc w:val="center"/>
              <w:rPr>
                <w:sz w:val="20"/>
                <w:szCs w:val="20"/>
              </w:rPr>
            </w:pPr>
          </w:p>
          <w:p w:rsidR="004E16D1" w:rsidRPr="004A350A" w:rsidRDefault="004E16D1" w:rsidP="00810DFC">
            <w:pPr>
              <w:jc w:val="center"/>
              <w:rPr>
                <w:sz w:val="20"/>
                <w:szCs w:val="20"/>
              </w:rPr>
            </w:pPr>
            <w:r w:rsidRPr="004A350A">
              <w:rPr>
                <w:sz w:val="20"/>
                <w:szCs w:val="20"/>
              </w:rPr>
              <w:t>Female-to-male sex reversal</w:t>
            </w:r>
          </w:p>
        </w:tc>
        <w:tc>
          <w:tcPr>
            <w:tcW w:w="1190" w:type="dxa"/>
            <w:vAlign w:val="center"/>
          </w:tcPr>
          <w:p w:rsidR="004E16D1" w:rsidRPr="004A350A" w:rsidRDefault="00527865" w:rsidP="008A4F5C">
            <w:pPr>
              <w:jc w:val="center"/>
              <w:rPr>
                <w:sz w:val="20"/>
                <w:szCs w:val="20"/>
              </w:rPr>
            </w:pPr>
            <w:r>
              <w:rPr>
                <w:sz w:val="20"/>
                <w:szCs w:val="20"/>
              </w:rPr>
              <w:t>CRISPR</w:t>
            </w:r>
          </w:p>
        </w:tc>
        <w:tc>
          <w:tcPr>
            <w:tcW w:w="1190" w:type="dxa"/>
            <w:vMerge w:val="restart"/>
            <w:tcBorders>
              <w:right w:val="single" w:sz="18" w:space="0" w:color="auto"/>
            </w:tcBorders>
            <w:vAlign w:val="center"/>
          </w:tcPr>
          <w:p w:rsidR="004E16D1" w:rsidRPr="004A350A" w:rsidRDefault="004E16D1" w:rsidP="00810DFC">
            <w:pPr>
              <w:jc w:val="center"/>
              <w:rPr>
                <w:sz w:val="20"/>
                <w:szCs w:val="20"/>
              </w:rPr>
            </w:pPr>
          </w:p>
          <w:p w:rsidR="004E16D1" w:rsidRPr="004A350A" w:rsidRDefault="004E16D1" w:rsidP="00810DFC">
            <w:pPr>
              <w:jc w:val="center"/>
              <w:rPr>
                <w:sz w:val="20"/>
                <w:szCs w:val="20"/>
              </w:rPr>
            </w:pPr>
          </w:p>
          <w:p w:rsidR="004E16D1" w:rsidRPr="004A350A" w:rsidRDefault="004E16D1" w:rsidP="00810DFC">
            <w:pPr>
              <w:jc w:val="center"/>
              <w:rPr>
                <w:sz w:val="20"/>
                <w:szCs w:val="20"/>
              </w:rPr>
            </w:pPr>
          </w:p>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{"citationItems":[{"id":"ITEM-1","itemData":{"DOI":"10.1371/journal.pgen.1007821","ISSN":"15537404","abstract":"Fanconi Anemia (FA) is a genomic instability syndrome resulting in aplastic anemia, developmental abnormalities, and predisposition to hematological and other solid organ malignancies. Mutations in genes that encode proteins of the FA pathway fail to orchestrate the repair of DNA damage caused by DNA interstrand crosslinks. Zebrafish harbor homologs for nearly all known FA genes. We used multiplexed CRISPR/Cas9-mediated mutagenesis to generate loss-of-function mutants for 17 FA genes: fanca, fancb, fancc, fancd1/brca2, fancd2, fance, fancf, fancg, fanci, fancj/brip1, fancl, fancm, fancn/palb2, fanco/rad51c, fancp/slx4, fancq/ercc4, fanct/ube2t, and two genes encoding FA-associated proteins: faap100 and faap24. We selected two indel mutations predicted to cause premature truncations for all but two of the genes, and a total of 36 mutant lines were generated for 19 genes. Generating two independent mutant lines for each gene was important to validate their phenotypic consequences. RT-PCR from homozygous mutant fish confirmed the presence of transcripts with indels in all genes. Interestingly, 4 of the indel mutations led to aberrant splicing, which may produce a different protein than predicted from the genomic sequence. Analysis of RNA is thus critical in proper evaluation of the consequences of the mutations introduced in zebrafish genome. We used fluorescent reporter assay, and western blots to confirm loss-of-function for several mutants. Additionally, we developed a DEB treatment assay by evaluating morphological changes in embryos and confirmed that homozygous mutants from all the FA genes that could be tested (11/17), displayed hypersensitivity and thus were indeed null alleles. Our multiplexing strategy helped us to evaluate 11 multiple gene knockout combinations without additional breeding. Homozygous zebrafish for all 19 single and 11 multi-gene knockouts were adult viable, indicating FA genes in zebrafish are generally not essential for early development. None of the mutant fish displayed gross developmental abnormalities except for fancp -/- fish, which were significantly smaller in length than their wildtype clutch mates. Complete female-to-male sex reversal was observed in knockouts for 12/17 FA genes, while partial sex reversal was seen for the other five gene knockouts. All adult females were fertile, and among the adult males, all were fertile except for the fancd1 mutants and one of the fancj mutants. We report here generation and charac…","author":[{"dropping-particle":"","family":"Ramanagoudr-Bhojappa","given":"Ramanagouda","non-dropping-particle":"","parse-names":false,"suffix":""},{"dropping-particle":"","family":"Carrington","given":"Blake","non-dropping-particle":"","parse-names":false,"suffix":""},{"dropping-particle":"","family":"Ramaswami","given":"Mukundhan","non-dropping-particle":"","parse-names":false,"suffix":""},{"dropping-particle":"","family":"Bishop","given":"Kevin","non-dropping-particle":"","parse-names":false,"suffix":""},{"dropping-particle":"","family":"Robbins","given":"Gabrielle M.","non-dropping-particle":"","parse-names":false,"suffix":""},{"dropping-particle":"","family":"Jones","given":"Mary Pat","non-dropping-particle":"","parse-names":false,"suffix":""},{"dropping-particle":"","family":"Harper","given":"Ursula","non-dropping-particle":"","parse-names":false,"suffix":""},{"dropping-particle":"","family":"Frederickson","given":"Stephen C.","non-dropping-particle":"","parse-names":false,"suffix":""},{"dropping-particle":"","family":"Kimble","given":"Danielle C.","non-dropping-particle":"","parse-names":false,"suffix":""},{"dropping-particle":"","family":"Sood","given":"Raman","non-dropping-particle":"","parse-names":false,"suffix":""},{"dropping-particle":"","family":"Chandrasekharappa","given":"Settara C.","non-dropping-particle":"","parse-names":false,"suffix":""}],"container-title":"PLoS Genetics","id":"ITEM-1","issue":"12","issued":{"date-parts":[["2018","12","1"]]},"publisher":"Public Library of Science","title":"Multiplexed CRISPR/Cas9-mediated knockout of 19 Fanconi anemia pathway genes in zebrafish revealed their roles in growth, sexual development and fertility","type":"article-journal","volume":"14"},"uris":["http://www.mendeley.com/documents/?uuid=beb399a4-b4dc-3d61-9be8-b5649c5f2cec","http://www.mendeley.com/documents/?uuid=0993c562-faea-4290-a171-112686cae3a6"]}],"mendeley":{"formattedCitation":"(Ramanagoudr-Bhojappa et al., 2018)","plainTextFormattedCitation":"(Ramanagoudr-Bhojappa et al., 2018)","previouslyFormattedCitation":"(Ramanagoudr-Bhojappa et al., 2018)"},"properties":{"noteIndex":0},"schema":"https://github.com/citation-style-language/schema/raw/master/csl-citation.json"}</w:instrText>
            </w:r>
            <w:r w:rsidRPr="004A350A">
              <w:rPr>
                <w:sz w:val="20"/>
                <w:szCs w:val="20"/>
              </w:rPr>
              <w:fldChar w:fldCharType="separate"/>
            </w:r>
            <w:r w:rsidR="004E16D1" w:rsidRPr="004A350A">
              <w:rPr>
                <w:noProof/>
                <w:sz w:val="20"/>
                <w:szCs w:val="20"/>
              </w:rPr>
              <w:t>(Ramanagoudr-Bhojappa et al., 2018)</w:t>
            </w:r>
            <w:r w:rsidRPr="004A350A">
              <w:rPr>
                <w:sz w:val="20"/>
                <w:szCs w:val="20"/>
              </w:rPr>
              <w:fldChar w:fldCharType="end"/>
            </w:r>
          </w:p>
          <w:p w:rsidR="004E16D1" w:rsidRPr="004A350A" w:rsidRDefault="004E16D1" w:rsidP="00810DFC">
            <w:pPr>
              <w:jc w:val="center"/>
              <w:rPr>
                <w:sz w:val="20"/>
                <w:szCs w:val="20"/>
              </w:rPr>
            </w:pPr>
          </w:p>
          <w:p w:rsidR="004E16D1" w:rsidRPr="004A350A" w:rsidRDefault="004E16D1" w:rsidP="00810DFC">
            <w:pPr>
              <w:jc w:val="center"/>
              <w:rPr>
                <w:sz w:val="20"/>
                <w:szCs w:val="20"/>
              </w:rPr>
            </w:pPr>
          </w:p>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FANCB</w:t>
            </w:r>
          </w:p>
        </w:tc>
        <w:tc>
          <w:tcPr>
            <w:tcW w:w="1440" w:type="dxa"/>
            <w:vAlign w:val="center"/>
          </w:tcPr>
          <w:p w:rsidR="004E16D1" w:rsidRPr="004A350A" w:rsidRDefault="004E16D1" w:rsidP="00810DFC">
            <w:pPr>
              <w:jc w:val="center"/>
              <w:rPr>
                <w:sz w:val="20"/>
                <w:szCs w:val="20"/>
              </w:rPr>
            </w:pPr>
            <w:r w:rsidRPr="004A350A">
              <w:rPr>
                <w:i/>
                <w:iCs/>
                <w:sz w:val="20"/>
                <w:szCs w:val="20"/>
              </w:rPr>
              <w:t>fancb</w:t>
            </w:r>
            <w:r w:rsidRPr="004A350A">
              <w:rPr>
                <w:sz w:val="20"/>
                <w:szCs w:val="20"/>
              </w:rPr>
              <w:t>_hg42</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527865"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FANCC</w:t>
            </w:r>
          </w:p>
        </w:tc>
        <w:tc>
          <w:tcPr>
            <w:tcW w:w="1440" w:type="dxa"/>
            <w:vAlign w:val="center"/>
          </w:tcPr>
          <w:p w:rsidR="004E16D1" w:rsidRPr="004A350A" w:rsidRDefault="004E16D1" w:rsidP="00810DFC">
            <w:pPr>
              <w:jc w:val="center"/>
              <w:rPr>
                <w:sz w:val="20"/>
                <w:szCs w:val="20"/>
              </w:rPr>
            </w:pPr>
            <w:r w:rsidRPr="004A350A">
              <w:rPr>
                <w:i/>
                <w:iCs/>
                <w:sz w:val="20"/>
                <w:szCs w:val="20"/>
              </w:rPr>
              <w:t>fancc</w:t>
            </w:r>
            <w:r w:rsidRPr="004A350A">
              <w:rPr>
                <w:sz w:val="20"/>
                <w:szCs w:val="20"/>
              </w:rPr>
              <w:t>_hg43</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527865"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FANCD2</w:t>
            </w:r>
          </w:p>
        </w:tc>
        <w:tc>
          <w:tcPr>
            <w:tcW w:w="1440" w:type="dxa"/>
            <w:vAlign w:val="center"/>
          </w:tcPr>
          <w:p w:rsidR="004E16D1" w:rsidRPr="004A350A" w:rsidRDefault="004E16D1" w:rsidP="00810DFC">
            <w:pPr>
              <w:jc w:val="center"/>
              <w:rPr>
                <w:i/>
                <w:iCs/>
                <w:sz w:val="20"/>
                <w:szCs w:val="20"/>
              </w:rPr>
            </w:pPr>
            <w:r w:rsidRPr="004A350A">
              <w:rPr>
                <w:i/>
                <w:iCs/>
                <w:sz w:val="20"/>
                <w:szCs w:val="20"/>
              </w:rPr>
              <w:t>fancd2</w:t>
            </w:r>
            <w:r w:rsidRPr="004A350A">
              <w:rPr>
                <w:sz w:val="20"/>
                <w:szCs w:val="20"/>
              </w:rPr>
              <w:t>_hg47</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527865"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FANCE</w:t>
            </w:r>
          </w:p>
        </w:tc>
        <w:tc>
          <w:tcPr>
            <w:tcW w:w="1440" w:type="dxa"/>
            <w:vAlign w:val="center"/>
          </w:tcPr>
          <w:p w:rsidR="004E16D1" w:rsidRPr="004A350A" w:rsidRDefault="004E16D1" w:rsidP="00810DFC">
            <w:pPr>
              <w:jc w:val="center"/>
              <w:rPr>
                <w:i/>
                <w:iCs/>
                <w:sz w:val="20"/>
                <w:szCs w:val="20"/>
              </w:rPr>
            </w:pPr>
            <w:r w:rsidRPr="004A350A">
              <w:rPr>
                <w:i/>
                <w:iCs/>
                <w:sz w:val="20"/>
                <w:szCs w:val="20"/>
              </w:rPr>
              <w:t>fance_hg48</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527865"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FANCF</w:t>
            </w:r>
          </w:p>
        </w:tc>
        <w:tc>
          <w:tcPr>
            <w:tcW w:w="1440" w:type="dxa"/>
            <w:vAlign w:val="center"/>
          </w:tcPr>
          <w:p w:rsidR="004E16D1" w:rsidRPr="004A350A" w:rsidRDefault="004E16D1" w:rsidP="00810DFC">
            <w:pPr>
              <w:jc w:val="center"/>
              <w:rPr>
                <w:i/>
                <w:iCs/>
                <w:sz w:val="20"/>
                <w:szCs w:val="20"/>
              </w:rPr>
            </w:pPr>
            <w:r w:rsidRPr="004A350A">
              <w:rPr>
                <w:i/>
                <w:iCs/>
                <w:sz w:val="20"/>
                <w:szCs w:val="20"/>
              </w:rPr>
              <w:t>fancf_hg50</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1913AA"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FANCG</w:t>
            </w:r>
          </w:p>
        </w:tc>
        <w:tc>
          <w:tcPr>
            <w:tcW w:w="1440" w:type="dxa"/>
            <w:vAlign w:val="center"/>
          </w:tcPr>
          <w:p w:rsidR="004E16D1" w:rsidRPr="004A350A" w:rsidRDefault="004E16D1" w:rsidP="00810DFC">
            <w:pPr>
              <w:jc w:val="center"/>
              <w:rPr>
                <w:i/>
                <w:iCs/>
                <w:sz w:val="20"/>
                <w:szCs w:val="20"/>
              </w:rPr>
            </w:pPr>
            <w:r w:rsidRPr="004A350A">
              <w:rPr>
                <w:i/>
                <w:iCs/>
                <w:sz w:val="20"/>
                <w:szCs w:val="20"/>
              </w:rPr>
              <w:t>fancg_hg53</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1913AA"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FANCI</w:t>
            </w:r>
          </w:p>
        </w:tc>
        <w:tc>
          <w:tcPr>
            <w:tcW w:w="1440" w:type="dxa"/>
            <w:vAlign w:val="center"/>
          </w:tcPr>
          <w:p w:rsidR="004E16D1" w:rsidRPr="004A350A" w:rsidRDefault="004E16D1" w:rsidP="00810DFC">
            <w:pPr>
              <w:jc w:val="center"/>
              <w:rPr>
                <w:i/>
                <w:iCs/>
                <w:sz w:val="20"/>
                <w:szCs w:val="20"/>
              </w:rPr>
            </w:pPr>
            <w:r w:rsidRPr="004A350A">
              <w:rPr>
                <w:i/>
                <w:iCs/>
                <w:sz w:val="20"/>
                <w:szCs w:val="20"/>
              </w:rPr>
              <w:t>fanci_hg54</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1913AA"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ind w:right="33"/>
              <w:jc w:val="center"/>
              <w:rPr>
                <w:i/>
                <w:iCs/>
                <w:sz w:val="20"/>
                <w:szCs w:val="20"/>
              </w:rPr>
            </w:pPr>
            <w:r w:rsidRPr="004A350A">
              <w:rPr>
                <w:i/>
                <w:iCs/>
                <w:sz w:val="20"/>
                <w:szCs w:val="20"/>
              </w:rPr>
              <w:t>FANCJ/ BRIP1</w:t>
            </w:r>
          </w:p>
        </w:tc>
        <w:tc>
          <w:tcPr>
            <w:tcW w:w="1440" w:type="dxa"/>
            <w:vAlign w:val="center"/>
          </w:tcPr>
          <w:p w:rsidR="004E16D1" w:rsidRPr="004A350A" w:rsidRDefault="004E16D1" w:rsidP="00810DFC">
            <w:pPr>
              <w:jc w:val="center"/>
              <w:rPr>
                <w:i/>
                <w:iCs/>
                <w:sz w:val="20"/>
                <w:szCs w:val="20"/>
              </w:rPr>
            </w:pPr>
            <w:r w:rsidRPr="004A350A">
              <w:rPr>
                <w:i/>
                <w:iCs/>
                <w:sz w:val="20"/>
                <w:szCs w:val="20"/>
              </w:rPr>
              <w:t>fancj_hg56</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1913AA"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FANCJ/ BRIP1</w:t>
            </w:r>
          </w:p>
        </w:tc>
        <w:tc>
          <w:tcPr>
            <w:tcW w:w="1440" w:type="dxa"/>
            <w:vAlign w:val="center"/>
          </w:tcPr>
          <w:p w:rsidR="004E16D1" w:rsidRPr="004A350A" w:rsidRDefault="004E16D1" w:rsidP="00810DFC">
            <w:pPr>
              <w:jc w:val="center"/>
              <w:rPr>
                <w:i/>
                <w:iCs/>
                <w:sz w:val="20"/>
                <w:szCs w:val="20"/>
              </w:rPr>
            </w:pPr>
            <w:r w:rsidRPr="004A350A">
              <w:rPr>
                <w:i/>
                <w:iCs/>
                <w:sz w:val="20"/>
                <w:szCs w:val="20"/>
              </w:rPr>
              <w:t>fancj_hg57</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1913AA"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FANCL</w:t>
            </w:r>
          </w:p>
        </w:tc>
        <w:tc>
          <w:tcPr>
            <w:tcW w:w="1440" w:type="dxa"/>
            <w:vAlign w:val="center"/>
          </w:tcPr>
          <w:p w:rsidR="004E16D1" w:rsidRPr="004A350A" w:rsidRDefault="004E16D1" w:rsidP="00810DFC">
            <w:pPr>
              <w:jc w:val="center"/>
              <w:rPr>
                <w:i/>
                <w:iCs/>
                <w:sz w:val="20"/>
                <w:szCs w:val="20"/>
              </w:rPr>
            </w:pPr>
            <w:r w:rsidRPr="004A350A">
              <w:rPr>
                <w:i/>
                <w:iCs/>
                <w:sz w:val="20"/>
                <w:szCs w:val="20"/>
              </w:rPr>
              <w:t>fancl_hg59</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1913AA"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FANCM</w:t>
            </w:r>
          </w:p>
        </w:tc>
        <w:tc>
          <w:tcPr>
            <w:tcW w:w="1440" w:type="dxa"/>
            <w:vAlign w:val="center"/>
          </w:tcPr>
          <w:p w:rsidR="004E16D1" w:rsidRPr="004A350A" w:rsidRDefault="004E16D1" w:rsidP="00810DFC">
            <w:pPr>
              <w:jc w:val="center"/>
              <w:rPr>
                <w:i/>
                <w:iCs/>
                <w:sz w:val="20"/>
                <w:szCs w:val="20"/>
              </w:rPr>
            </w:pPr>
            <w:r w:rsidRPr="004A350A">
              <w:rPr>
                <w:i/>
                <w:iCs/>
                <w:sz w:val="20"/>
                <w:szCs w:val="20"/>
              </w:rPr>
              <w:t>fancm_hg60</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1913AA"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FANCN/ PALB2</w:t>
            </w:r>
          </w:p>
        </w:tc>
        <w:tc>
          <w:tcPr>
            <w:tcW w:w="1440" w:type="dxa"/>
            <w:vAlign w:val="center"/>
          </w:tcPr>
          <w:p w:rsidR="004E16D1" w:rsidRPr="004A350A" w:rsidRDefault="004E16D1" w:rsidP="00810DFC">
            <w:pPr>
              <w:jc w:val="center"/>
              <w:rPr>
                <w:i/>
                <w:iCs/>
                <w:sz w:val="20"/>
                <w:szCs w:val="20"/>
              </w:rPr>
            </w:pPr>
            <w:r w:rsidRPr="004A350A">
              <w:rPr>
                <w:i/>
                <w:iCs/>
                <w:sz w:val="20"/>
                <w:szCs w:val="20"/>
              </w:rPr>
              <w:t>fancn_hg62</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1913AA"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FANCO/ RAD51C</w:t>
            </w:r>
          </w:p>
        </w:tc>
        <w:tc>
          <w:tcPr>
            <w:tcW w:w="1440" w:type="dxa"/>
            <w:vAlign w:val="center"/>
          </w:tcPr>
          <w:p w:rsidR="004E16D1" w:rsidRPr="004A350A" w:rsidRDefault="004E16D1" w:rsidP="00810DFC">
            <w:pPr>
              <w:jc w:val="center"/>
              <w:rPr>
                <w:i/>
                <w:iCs/>
                <w:sz w:val="20"/>
                <w:szCs w:val="20"/>
              </w:rPr>
            </w:pPr>
            <w:r w:rsidRPr="004A350A">
              <w:rPr>
                <w:i/>
                <w:iCs/>
                <w:sz w:val="20"/>
                <w:szCs w:val="20"/>
              </w:rPr>
              <w:t>fanco_hg65</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1913AA"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FANCP/ SLX4</w:t>
            </w:r>
          </w:p>
        </w:tc>
        <w:tc>
          <w:tcPr>
            <w:tcW w:w="1440" w:type="dxa"/>
            <w:vAlign w:val="center"/>
          </w:tcPr>
          <w:p w:rsidR="004E16D1" w:rsidRPr="004A350A" w:rsidRDefault="004E16D1" w:rsidP="00810DFC">
            <w:pPr>
              <w:jc w:val="center"/>
              <w:rPr>
                <w:i/>
                <w:iCs/>
                <w:sz w:val="20"/>
                <w:szCs w:val="20"/>
              </w:rPr>
            </w:pPr>
            <w:r w:rsidRPr="004A350A">
              <w:rPr>
                <w:i/>
                <w:iCs/>
                <w:sz w:val="20"/>
                <w:szCs w:val="20"/>
              </w:rPr>
              <w:t>fancp_hg66</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1913AA"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FANCT/ UBE2T</w:t>
            </w:r>
          </w:p>
        </w:tc>
        <w:tc>
          <w:tcPr>
            <w:tcW w:w="1440" w:type="dxa"/>
            <w:vAlign w:val="center"/>
          </w:tcPr>
          <w:p w:rsidR="004E16D1" w:rsidRPr="004A350A" w:rsidRDefault="004E16D1" w:rsidP="00810DFC">
            <w:pPr>
              <w:jc w:val="center"/>
              <w:rPr>
                <w:i/>
                <w:iCs/>
                <w:sz w:val="20"/>
                <w:szCs w:val="20"/>
              </w:rPr>
            </w:pPr>
            <w:r w:rsidRPr="004A350A">
              <w:rPr>
                <w:i/>
                <w:iCs/>
                <w:sz w:val="20"/>
                <w:szCs w:val="20"/>
              </w:rPr>
              <w:t>fanct_hg70</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1913AA"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FAAP24</w:t>
            </w:r>
          </w:p>
        </w:tc>
        <w:tc>
          <w:tcPr>
            <w:tcW w:w="1440" w:type="dxa"/>
            <w:vAlign w:val="center"/>
          </w:tcPr>
          <w:p w:rsidR="004E16D1" w:rsidRPr="004A350A" w:rsidRDefault="004E16D1" w:rsidP="00810DFC">
            <w:pPr>
              <w:jc w:val="center"/>
              <w:rPr>
                <w:i/>
                <w:iCs/>
                <w:sz w:val="20"/>
                <w:szCs w:val="20"/>
              </w:rPr>
            </w:pPr>
            <w:r w:rsidRPr="004A350A">
              <w:rPr>
                <w:i/>
                <w:iCs/>
                <w:sz w:val="20"/>
                <w:szCs w:val="20"/>
              </w:rPr>
              <w:t>faap24</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1913AA"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FAAP100</w:t>
            </w:r>
          </w:p>
        </w:tc>
        <w:tc>
          <w:tcPr>
            <w:tcW w:w="1440" w:type="dxa"/>
            <w:vAlign w:val="center"/>
          </w:tcPr>
          <w:p w:rsidR="004E16D1" w:rsidRPr="004A350A" w:rsidRDefault="004E16D1" w:rsidP="00810DFC">
            <w:pPr>
              <w:jc w:val="center"/>
              <w:rPr>
                <w:i/>
                <w:iCs/>
                <w:sz w:val="20"/>
                <w:szCs w:val="20"/>
              </w:rPr>
            </w:pPr>
            <w:r w:rsidRPr="004A350A">
              <w:rPr>
                <w:i/>
                <w:iCs/>
                <w:sz w:val="20"/>
                <w:szCs w:val="20"/>
              </w:rPr>
              <w:t>faap100</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1913AA"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restart"/>
            <w:vAlign w:val="center"/>
          </w:tcPr>
          <w:p w:rsidR="004E16D1" w:rsidRPr="004A350A" w:rsidRDefault="004E16D1" w:rsidP="00810DFC">
            <w:pPr>
              <w:jc w:val="center"/>
              <w:rPr>
                <w:i/>
                <w:iCs/>
                <w:sz w:val="20"/>
                <w:szCs w:val="20"/>
              </w:rPr>
            </w:pPr>
            <w:r w:rsidRPr="004A350A">
              <w:rPr>
                <w:i/>
                <w:iCs/>
                <w:sz w:val="20"/>
                <w:szCs w:val="20"/>
              </w:rPr>
              <w:t>FANCD1/BRCA2</w:t>
            </w:r>
          </w:p>
        </w:tc>
        <w:tc>
          <w:tcPr>
            <w:tcW w:w="1440" w:type="dxa"/>
            <w:vAlign w:val="center"/>
          </w:tcPr>
          <w:p w:rsidR="004E16D1" w:rsidRPr="004A350A" w:rsidRDefault="004E16D1" w:rsidP="00810DFC">
            <w:pPr>
              <w:jc w:val="center"/>
              <w:rPr>
                <w:i/>
                <w:iCs/>
                <w:sz w:val="20"/>
                <w:szCs w:val="20"/>
              </w:rPr>
            </w:pPr>
            <w:r w:rsidRPr="004A350A">
              <w:rPr>
                <w:i/>
                <w:iCs/>
                <w:sz w:val="20"/>
                <w:szCs w:val="20"/>
              </w:rPr>
              <w:t>fancd1</w:t>
            </w:r>
            <w:r w:rsidRPr="004A350A">
              <w:rPr>
                <w:sz w:val="20"/>
                <w:szCs w:val="20"/>
              </w:rPr>
              <w:t>_hg45</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1913AA" w:rsidP="008A4F5C">
            <w:pPr>
              <w:jc w:val="center"/>
              <w:rPr>
                <w:sz w:val="20"/>
                <w:szCs w:val="20"/>
              </w:rPr>
            </w:pPr>
            <w:r>
              <w:rPr>
                <w:sz w:val="20"/>
                <w:szCs w:val="20"/>
              </w:rPr>
              <w:t>CRISPR</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i/>
                <w:iCs/>
                <w:sz w:val="20"/>
                <w:szCs w:val="20"/>
              </w:rPr>
            </w:pPr>
          </w:p>
        </w:tc>
        <w:tc>
          <w:tcPr>
            <w:tcW w:w="1440" w:type="dxa"/>
            <w:vAlign w:val="center"/>
          </w:tcPr>
          <w:p w:rsidR="004E16D1" w:rsidRPr="004A350A" w:rsidRDefault="004E16D1" w:rsidP="00810DFC">
            <w:pPr>
              <w:jc w:val="center"/>
              <w:rPr>
                <w:sz w:val="20"/>
                <w:szCs w:val="20"/>
                <w:vertAlign w:val="superscript"/>
              </w:rPr>
            </w:pPr>
            <w:r w:rsidRPr="004A350A">
              <w:rPr>
                <w:i/>
                <w:iCs/>
                <w:sz w:val="20"/>
                <w:szCs w:val="20"/>
              </w:rPr>
              <w:t>brca2</w:t>
            </w:r>
            <w:r w:rsidRPr="004A350A">
              <w:rPr>
                <w:sz w:val="20"/>
                <w:szCs w:val="20"/>
                <w:vertAlign w:val="superscript"/>
              </w:rPr>
              <w:t>Q658X</w:t>
            </w:r>
            <w:r>
              <w:rPr>
                <w:sz w:val="20"/>
                <w:szCs w:val="20"/>
                <w:vertAlign w:val="superscript"/>
              </w:rPr>
              <w:t>/Q658X</w:t>
            </w:r>
          </w:p>
        </w:tc>
        <w:tc>
          <w:tcPr>
            <w:tcW w:w="1800" w:type="dxa"/>
            <w:vAlign w:val="center"/>
          </w:tcPr>
          <w:p w:rsidR="004E16D1" w:rsidRPr="004A350A" w:rsidRDefault="004E16D1" w:rsidP="00810DFC">
            <w:pPr>
              <w:jc w:val="center"/>
              <w:rPr>
                <w:sz w:val="20"/>
                <w:szCs w:val="20"/>
              </w:rPr>
            </w:pPr>
            <w:r w:rsidRPr="004A350A">
              <w:rPr>
                <w:sz w:val="20"/>
                <w:szCs w:val="20"/>
              </w:rPr>
              <w:t xml:space="preserve">Testicular </w:t>
            </w:r>
            <w:r>
              <w:rPr>
                <w:sz w:val="20"/>
                <w:szCs w:val="20"/>
              </w:rPr>
              <w:t>neoplasia</w:t>
            </w:r>
          </w:p>
        </w:tc>
        <w:tc>
          <w:tcPr>
            <w:tcW w:w="2474" w:type="dxa"/>
            <w:vAlign w:val="center"/>
          </w:tcPr>
          <w:p w:rsidR="004E16D1" w:rsidRPr="004A350A" w:rsidRDefault="004E16D1" w:rsidP="00810DFC">
            <w:pPr>
              <w:jc w:val="center"/>
              <w:rPr>
                <w:sz w:val="20"/>
                <w:szCs w:val="20"/>
              </w:rPr>
            </w:pPr>
            <w:r w:rsidRPr="004A350A">
              <w:rPr>
                <w:sz w:val="20"/>
                <w:szCs w:val="20"/>
              </w:rPr>
              <w:t>Female-to-male sex reversal</w:t>
            </w:r>
          </w:p>
        </w:tc>
        <w:tc>
          <w:tcPr>
            <w:tcW w:w="1190" w:type="dxa"/>
            <w:vAlign w:val="center"/>
          </w:tcPr>
          <w:p w:rsidR="004E16D1" w:rsidRPr="004A350A" w:rsidRDefault="001913AA" w:rsidP="008A4F5C">
            <w:pPr>
              <w:jc w:val="center"/>
              <w:rPr>
                <w:noProof/>
                <w:sz w:val="20"/>
                <w:szCs w:val="20"/>
              </w:rPr>
            </w:pPr>
            <w:r>
              <w:rPr>
                <w:noProof/>
                <w:sz w:val="20"/>
                <w:szCs w:val="20"/>
              </w:rPr>
              <w:t>ENU</w:t>
            </w:r>
          </w:p>
        </w:tc>
        <w:tc>
          <w:tcPr>
            <w:tcW w:w="1190" w:type="dxa"/>
            <w:tcBorders>
              <w:right w:val="single" w:sz="18" w:space="0" w:color="auto"/>
            </w:tcBorders>
            <w:vAlign w:val="center"/>
          </w:tcPr>
          <w:p w:rsidR="004E16D1" w:rsidRPr="004A350A" w:rsidRDefault="004E16D1" w:rsidP="00810DFC">
            <w:pPr>
              <w:jc w:val="center"/>
              <w:rPr>
                <w:sz w:val="20"/>
                <w:szCs w:val="20"/>
              </w:rPr>
            </w:pPr>
            <w:r w:rsidRPr="004A350A">
              <w:rPr>
                <w:noProof/>
                <w:sz w:val="20"/>
                <w:szCs w:val="20"/>
              </w:rPr>
              <w:t>(Shive et al., 2010)</w:t>
            </w: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i/>
                <w:iCs/>
                <w:sz w:val="20"/>
                <w:szCs w:val="20"/>
              </w:rPr>
            </w:pPr>
          </w:p>
        </w:tc>
        <w:tc>
          <w:tcPr>
            <w:tcW w:w="1440" w:type="dxa"/>
            <w:vAlign w:val="center"/>
          </w:tcPr>
          <w:p w:rsidR="004E16D1" w:rsidRPr="004A350A" w:rsidRDefault="004E16D1" w:rsidP="00810DFC">
            <w:pPr>
              <w:jc w:val="center"/>
              <w:rPr>
                <w:sz w:val="20"/>
                <w:szCs w:val="20"/>
                <w:vertAlign w:val="superscript"/>
              </w:rPr>
            </w:pPr>
            <w:r w:rsidRPr="004A350A">
              <w:rPr>
                <w:i/>
                <w:iCs/>
                <w:sz w:val="20"/>
                <w:szCs w:val="20"/>
              </w:rPr>
              <w:t>brca2</w:t>
            </w:r>
            <w:r w:rsidRPr="004A350A">
              <w:rPr>
                <w:sz w:val="20"/>
                <w:szCs w:val="20"/>
                <w:vertAlign w:val="superscript"/>
              </w:rPr>
              <w:t>Q658X</w:t>
            </w:r>
            <w:r>
              <w:rPr>
                <w:sz w:val="20"/>
                <w:szCs w:val="20"/>
                <w:vertAlign w:val="superscript"/>
              </w:rPr>
              <w:t>/Q658X</w:t>
            </w:r>
            <w:r w:rsidRPr="004A350A">
              <w:rPr>
                <w:sz w:val="20"/>
                <w:szCs w:val="20"/>
              </w:rPr>
              <w:t xml:space="preserve">; </w:t>
            </w:r>
            <w:r w:rsidRPr="007F4029">
              <w:rPr>
                <w:sz w:val="20"/>
                <w:szCs w:val="20"/>
              </w:rPr>
              <w:t>tp53</w:t>
            </w:r>
            <w:r>
              <w:rPr>
                <w:sz w:val="20"/>
                <w:szCs w:val="20"/>
                <w:vertAlign w:val="superscript"/>
              </w:rPr>
              <w:t>+/M</w:t>
            </w:r>
            <w:r w:rsidRPr="007F4029">
              <w:rPr>
                <w:sz w:val="20"/>
                <w:szCs w:val="20"/>
                <w:vertAlign w:val="superscript"/>
              </w:rPr>
              <w:t>214K</w:t>
            </w:r>
          </w:p>
        </w:tc>
        <w:tc>
          <w:tcPr>
            <w:tcW w:w="1800" w:type="dxa"/>
            <w:vAlign w:val="center"/>
          </w:tcPr>
          <w:p w:rsidR="004E16D1" w:rsidRPr="004A350A" w:rsidRDefault="004E16D1" w:rsidP="00810DFC">
            <w:pPr>
              <w:jc w:val="center"/>
              <w:rPr>
                <w:sz w:val="20"/>
                <w:szCs w:val="20"/>
              </w:rPr>
            </w:pPr>
            <w:r w:rsidRPr="004A350A">
              <w:rPr>
                <w:sz w:val="20"/>
                <w:szCs w:val="20"/>
              </w:rPr>
              <w:t>MPNSTs, sarcomas, nephroblastomas</w:t>
            </w:r>
          </w:p>
        </w:tc>
        <w:tc>
          <w:tcPr>
            <w:tcW w:w="2474" w:type="dxa"/>
            <w:vAlign w:val="center"/>
          </w:tcPr>
          <w:p w:rsidR="004E16D1" w:rsidRPr="004A350A" w:rsidRDefault="004E16D1" w:rsidP="00810DFC">
            <w:pPr>
              <w:jc w:val="center"/>
              <w:rPr>
                <w:sz w:val="20"/>
                <w:szCs w:val="20"/>
              </w:rPr>
            </w:pPr>
            <w:r w:rsidRPr="004A350A">
              <w:rPr>
                <w:sz w:val="20"/>
                <w:szCs w:val="20"/>
              </w:rPr>
              <w:t>Accelerated tumorigenesis</w:t>
            </w:r>
          </w:p>
        </w:tc>
        <w:tc>
          <w:tcPr>
            <w:tcW w:w="1190" w:type="dxa"/>
            <w:vAlign w:val="center"/>
          </w:tcPr>
          <w:p w:rsidR="004E16D1" w:rsidRPr="004A350A" w:rsidRDefault="00F46636" w:rsidP="008A4F5C">
            <w:pPr>
              <w:jc w:val="center"/>
              <w:rPr>
                <w:noProof/>
                <w:sz w:val="20"/>
                <w:szCs w:val="20"/>
              </w:rPr>
            </w:pPr>
            <w:r>
              <w:rPr>
                <w:noProof/>
                <w:sz w:val="20"/>
                <w:szCs w:val="20"/>
              </w:rPr>
              <w:t>Breeding</w:t>
            </w:r>
          </w:p>
        </w:tc>
        <w:tc>
          <w:tcPr>
            <w:tcW w:w="1190" w:type="dxa"/>
            <w:tcBorders>
              <w:right w:val="single" w:sz="18" w:space="0" w:color="auto"/>
            </w:tcBorders>
            <w:vAlign w:val="center"/>
          </w:tcPr>
          <w:p w:rsidR="004E16D1" w:rsidRPr="004A350A" w:rsidRDefault="004E16D1" w:rsidP="00810DFC">
            <w:pPr>
              <w:jc w:val="center"/>
              <w:rPr>
                <w:noProof/>
                <w:sz w:val="20"/>
                <w:szCs w:val="20"/>
              </w:rPr>
            </w:pPr>
            <w:r w:rsidRPr="004A350A">
              <w:rPr>
                <w:noProof/>
                <w:sz w:val="20"/>
                <w:szCs w:val="20"/>
              </w:rPr>
              <w:t>(Shive et al., 2010, 2014)</w:t>
            </w: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vertAlign w:val="superscript"/>
              </w:rPr>
            </w:pPr>
            <w:r w:rsidRPr="004A350A">
              <w:rPr>
                <w:i/>
                <w:iCs/>
                <w:sz w:val="20"/>
                <w:szCs w:val="20"/>
              </w:rPr>
              <w:t>brca2</w:t>
            </w:r>
            <w:r w:rsidRPr="004A350A">
              <w:rPr>
                <w:sz w:val="20"/>
                <w:szCs w:val="20"/>
                <w:vertAlign w:val="superscript"/>
              </w:rPr>
              <w:t>-/-</w:t>
            </w:r>
          </w:p>
        </w:tc>
        <w:tc>
          <w:tcPr>
            <w:tcW w:w="1800" w:type="dxa"/>
            <w:vAlign w:val="center"/>
          </w:tcPr>
          <w:p w:rsidR="004E16D1" w:rsidRPr="004A350A" w:rsidRDefault="004E16D1" w:rsidP="00810DFC">
            <w:pPr>
              <w:jc w:val="center"/>
              <w:rPr>
                <w:sz w:val="20"/>
                <w:szCs w:val="20"/>
              </w:rPr>
            </w:pPr>
            <w:r w:rsidRPr="004A350A">
              <w:rPr>
                <w:sz w:val="20"/>
                <w:szCs w:val="20"/>
              </w:rPr>
              <w:t xml:space="preserve">Testicular </w:t>
            </w:r>
            <w:r>
              <w:rPr>
                <w:sz w:val="20"/>
                <w:szCs w:val="20"/>
              </w:rPr>
              <w:t>neoplasia</w:t>
            </w:r>
          </w:p>
        </w:tc>
        <w:tc>
          <w:tcPr>
            <w:tcW w:w="2474" w:type="dxa"/>
            <w:vAlign w:val="center"/>
          </w:tcPr>
          <w:p w:rsidR="004E16D1" w:rsidRPr="004A350A" w:rsidRDefault="004E16D1" w:rsidP="00810DFC">
            <w:pPr>
              <w:jc w:val="center"/>
              <w:rPr>
                <w:sz w:val="20"/>
                <w:szCs w:val="20"/>
              </w:rPr>
            </w:pPr>
            <w:r w:rsidRPr="004A350A">
              <w:rPr>
                <w:sz w:val="20"/>
                <w:szCs w:val="20"/>
              </w:rPr>
              <w:t>Female-to-male sex reversal, genome instability</w:t>
            </w:r>
            <w:r w:rsidRPr="004A350A">
              <w:rPr>
                <w:color w:val="000000" w:themeColor="text1"/>
                <w:sz w:val="20"/>
                <w:szCs w:val="20"/>
              </w:rPr>
              <w:t>, male sterility</w:t>
            </w:r>
          </w:p>
        </w:tc>
        <w:tc>
          <w:tcPr>
            <w:tcW w:w="1190" w:type="dxa"/>
            <w:vAlign w:val="center"/>
          </w:tcPr>
          <w:p w:rsidR="004E16D1" w:rsidRPr="004A350A" w:rsidRDefault="00F46636" w:rsidP="008A4F5C">
            <w:pPr>
              <w:jc w:val="center"/>
              <w:rPr>
                <w:noProof/>
                <w:sz w:val="20"/>
                <w:szCs w:val="20"/>
              </w:rPr>
            </w:pPr>
            <w:r>
              <w:rPr>
                <w:noProof/>
                <w:sz w:val="20"/>
                <w:szCs w:val="20"/>
              </w:rPr>
              <w:t>Retroviral insertion</w:t>
            </w:r>
          </w:p>
        </w:tc>
        <w:tc>
          <w:tcPr>
            <w:tcW w:w="1190" w:type="dxa"/>
            <w:vMerge w:val="restart"/>
            <w:tcBorders>
              <w:right w:val="single" w:sz="18" w:space="0" w:color="auto"/>
            </w:tcBorders>
            <w:vAlign w:val="center"/>
          </w:tcPr>
          <w:p w:rsidR="004E16D1" w:rsidRPr="004A350A" w:rsidRDefault="004E16D1" w:rsidP="00810DFC">
            <w:pPr>
              <w:jc w:val="center"/>
              <w:rPr>
                <w:sz w:val="20"/>
                <w:szCs w:val="20"/>
              </w:rPr>
            </w:pPr>
            <w:r w:rsidRPr="004A350A">
              <w:rPr>
                <w:noProof/>
                <w:sz w:val="20"/>
                <w:szCs w:val="20"/>
              </w:rPr>
              <w:t>(Rodríguez-Marí et al., 2011)</w:t>
            </w:r>
          </w:p>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sz w:val="20"/>
                <w:szCs w:val="20"/>
                <w:vertAlign w:val="superscript"/>
              </w:rPr>
            </w:pPr>
            <w:r w:rsidRPr="004A350A">
              <w:rPr>
                <w:i/>
                <w:iCs/>
                <w:sz w:val="20"/>
                <w:szCs w:val="20"/>
              </w:rPr>
              <w:t>brca2</w:t>
            </w:r>
            <w:r w:rsidRPr="004A350A">
              <w:rPr>
                <w:i/>
                <w:iCs/>
                <w:sz w:val="20"/>
                <w:szCs w:val="20"/>
                <w:vertAlign w:val="superscript"/>
              </w:rPr>
              <w:t>-/-</w:t>
            </w:r>
            <w:r w:rsidRPr="004A350A">
              <w:rPr>
                <w:i/>
                <w:iCs/>
                <w:sz w:val="20"/>
                <w:szCs w:val="20"/>
              </w:rPr>
              <w:t>; tp53</w:t>
            </w:r>
            <w:r w:rsidRPr="004A350A">
              <w:rPr>
                <w:sz w:val="20"/>
                <w:szCs w:val="20"/>
                <w:vertAlign w:val="superscript"/>
              </w:rPr>
              <w:t>M214K</w:t>
            </w:r>
            <w:r>
              <w:rPr>
                <w:sz w:val="20"/>
                <w:szCs w:val="20"/>
                <w:vertAlign w:val="superscript"/>
              </w:rPr>
              <w:t>/M214K</w:t>
            </w:r>
          </w:p>
        </w:tc>
        <w:tc>
          <w:tcPr>
            <w:tcW w:w="1800" w:type="dxa"/>
            <w:vAlign w:val="center"/>
          </w:tcPr>
          <w:p w:rsidR="004E16D1" w:rsidRPr="004A350A" w:rsidRDefault="004E16D1" w:rsidP="00810DFC">
            <w:pPr>
              <w:jc w:val="center"/>
              <w:rPr>
                <w:sz w:val="20"/>
                <w:szCs w:val="20"/>
              </w:rPr>
            </w:pPr>
            <w:r w:rsidRPr="004A350A">
              <w:rPr>
                <w:sz w:val="20"/>
                <w:szCs w:val="20"/>
              </w:rPr>
              <w:t>Testicular and invasive ovarian tumours</w:t>
            </w:r>
          </w:p>
        </w:tc>
        <w:tc>
          <w:tcPr>
            <w:tcW w:w="2474" w:type="dxa"/>
            <w:vAlign w:val="center"/>
          </w:tcPr>
          <w:p w:rsidR="004E16D1" w:rsidRPr="004A350A" w:rsidRDefault="004E16D1" w:rsidP="00810DFC">
            <w:pPr>
              <w:jc w:val="center"/>
              <w:rPr>
                <w:sz w:val="20"/>
                <w:szCs w:val="20"/>
              </w:rPr>
            </w:pPr>
            <w:r w:rsidRPr="004A350A">
              <w:rPr>
                <w:sz w:val="20"/>
                <w:szCs w:val="20"/>
              </w:rPr>
              <w:t>Rescued ovarian development</w:t>
            </w:r>
            <w:r>
              <w:rPr>
                <w:sz w:val="20"/>
                <w:szCs w:val="20"/>
              </w:rPr>
              <w:t xml:space="preserve"> but females were sterile</w:t>
            </w:r>
            <w:r w:rsidRPr="004A350A">
              <w:rPr>
                <w:sz w:val="20"/>
                <w:szCs w:val="20"/>
              </w:rPr>
              <w:t>,</w:t>
            </w:r>
            <w:r>
              <w:rPr>
                <w:sz w:val="20"/>
                <w:szCs w:val="20"/>
              </w:rPr>
              <w:t xml:space="preserve"> male sterility,</w:t>
            </w:r>
            <w:r w:rsidRPr="004A350A">
              <w:rPr>
                <w:sz w:val="20"/>
                <w:szCs w:val="20"/>
              </w:rPr>
              <w:t xml:space="preserve"> reduced apoptosis, accelerated tumorigenesis</w:t>
            </w:r>
          </w:p>
        </w:tc>
        <w:tc>
          <w:tcPr>
            <w:tcW w:w="1190" w:type="dxa"/>
            <w:vAlign w:val="center"/>
          </w:tcPr>
          <w:p w:rsidR="004E16D1" w:rsidRPr="004A350A" w:rsidRDefault="00F46636" w:rsidP="008A4F5C">
            <w:pPr>
              <w:jc w:val="center"/>
              <w:rPr>
                <w:sz w:val="20"/>
                <w:szCs w:val="20"/>
              </w:rPr>
            </w:pPr>
            <w:r>
              <w:rPr>
                <w:sz w:val="20"/>
                <w:szCs w:val="20"/>
              </w:rPr>
              <w:t>Breeding</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sz w:val="20"/>
                <w:szCs w:val="20"/>
              </w:rPr>
            </w:pPr>
          </w:p>
        </w:tc>
        <w:tc>
          <w:tcPr>
            <w:tcW w:w="1440" w:type="dxa"/>
            <w:vAlign w:val="center"/>
          </w:tcPr>
          <w:p w:rsidR="004E16D1" w:rsidRPr="004A350A" w:rsidRDefault="004E16D1" w:rsidP="00810DFC">
            <w:pPr>
              <w:jc w:val="center"/>
              <w:rPr>
                <w:i/>
                <w:iCs/>
                <w:sz w:val="20"/>
                <w:szCs w:val="20"/>
              </w:rPr>
            </w:pPr>
            <w:r w:rsidRPr="004A350A">
              <w:rPr>
                <w:i/>
                <w:iCs/>
                <w:sz w:val="20"/>
                <w:szCs w:val="20"/>
              </w:rPr>
              <w:t>zeppelin</w:t>
            </w:r>
          </w:p>
        </w:tc>
        <w:tc>
          <w:tcPr>
            <w:tcW w:w="1800" w:type="dxa"/>
            <w:vAlign w:val="center"/>
          </w:tcPr>
          <w:p w:rsidR="004E16D1" w:rsidRPr="004A350A" w:rsidRDefault="004E16D1" w:rsidP="00810DFC">
            <w:pPr>
              <w:jc w:val="center"/>
              <w:rPr>
                <w:sz w:val="20"/>
                <w:szCs w:val="20"/>
              </w:rPr>
            </w:pPr>
            <w:r w:rsidRPr="004A350A">
              <w:rPr>
                <w:sz w:val="20"/>
                <w:szCs w:val="20"/>
              </w:rPr>
              <w:t>Not reported</w:t>
            </w:r>
          </w:p>
        </w:tc>
        <w:tc>
          <w:tcPr>
            <w:tcW w:w="2474" w:type="dxa"/>
            <w:vAlign w:val="center"/>
          </w:tcPr>
          <w:p w:rsidR="004E16D1" w:rsidRPr="004A350A" w:rsidRDefault="004E16D1" w:rsidP="00810DFC">
            <w:pPr>
              <w:jc w:val="center"/>
              <w:rPr>
                <w:sz w:val="20"/>
                <w:szCs w:val="20"/>
              </w:rPr>
            </w:pPr>
            <w:r w:rsidRPr="004A350A">
              <w:rPr>
                <w:sz w:val="20"/>
                <w:szCs w:val="20"/>
              </w:rPr>
              <w:t>Defects in kidney development, interrenal gland expansion</w:t>
            </w:r>
          </w:p>
        </w:tc>
        <w:tc>
          <w:tcPr>
            <w:tcW w:w="1190" w:type="dxa"/>
            <w:vAlign w:val="center"/>
          </w:tcPr>
          <w:p w:rsidR="004E16D1" w:rsidRPr="004A350A" w:rsidRDefault="00F46636" w:rsidP="008A4F5C">
            <w:pPr>
              <w:jc w:val="center"/>
              <w:rPr>
                <w:sz w:val="20"/>
                <w:szCs w:val="20"/>
              </w:rPr>
            </w:pPr>
            <w:r>
              <w:rPr>
                <w:sz w:val="20"/>
                <w:szCs w:val="20"/>
              </w:rPr>
              <w:t>ENU</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{"citationItems":[{"id":"ITEM-1","itemData":{"DOI":"10.1016/j.ydbio.2017.05.025","ISSN":"1095564X","PMID":"28579318","abstract":"The zebrafish kidney is conserved with other vertebrates, making it an excellent genetic model to study renal development. The kidney collects metabolic waste using a blood filter with specialized epithelial cells known as podocytes. Podocyte formation is poorly understood but relevant to many kidney diseases, as podocyte injury leads to progressive scarring and organ failure. zeppelin (zep) was isolated in a forward screen for kidney mutants and identified as a homozygous recessive lethal allele that causes reduced podocyte numbers, deficient filtration, and fluid imbalance. Interestingly, zep mutants had a larger interrenal gland, the teleostean counterpart of the mammalian adrenal gland, which suggested a fate switch with the related podocyte lineage since cell proliferation and cell death were unchanged within the shared progenitor field from which these two identities arise. Cloning of zep by whole genome sequencing (WGS) identified a splicing mutation in breast cancer 2, early onset (brca2)/fancd1, which was confirmed by sequencing of individual fish. Several independent brca2 morpholinos (MOs) phenocopied zep, causing edema, reduced podocyte number, and increased interrenal cell number. Complementation analysis between zep and brca2ZM_00057434 -/- zebrafish, which have an insertional mutation, revealed that the interrenal lineage was expanded. Importantly, overexpression of brca2 rescued podocyte formation in zep mutants, providing critical evidence that the brca2 lesion encoded by zep specifically disrupts the balance of nephrogenesis. Taken together, these data suggest for the first time that brca2/fancd1 is essential for vertebrate kidney ontogeny. Thus, our findings impart novel insights into the genetic components that impact renal development, and because BRCA2/FANCD1 mutations in humans cause Fanconi anemia and several common cancers, this work has identified a new zebrafish model to further study brca2/fancd1 in disease.","author":[{"dropping-particle":"","family":"Kroeger","given":"Paul T.","non-dropping-particle":"","parse-names":false,"suffix":""},{"dropping-particle":"","family":"Drummond","given":"Bridgette E.","non-dropping-particle":"","parse-names":false,"suffix":""},{"dropping-particle":"","family":"Miceli","given":"Rachel","non-dropping-particle":"","parse-names":false,"suffix":""},{"dropping-particle":"","family":"McKernan","given":"Michael","non-dropping-particle":"","parse-names":false,"suffix":""},{"dropping-particle":"","family":"Gerlach","given":"Gary F.","non-dropping-particle":"","parse-names":false,"suffix":""},{"dropping-particle":"","family":"Marra","given":"Amanda N.","non-dropping-particle":"","parse-names":false,"suffix":""},{"dropping-particle":"","family":"Fox","given":"Annemarie","non-dropping-particle":"","parse-names":false,"suffix":""},{"dropping-particle":"","family":"McCampbell","given":"Kristen K.","non-dropping-particle":"","parse-names":false,"suffix":""},{"dropping-particle":"","family":"Leshchiner","given":"Ignaty","non-dropping-particle":"","parse-names":false,"suffix":""},{"dropping-particle":"","family":"Rodriguez-Mari","given":"Adriana","non-dropping-particle":"","parse-names":false,"suffix":""},{"dropping-particle":"","family":"BreMiller","given":"Ruth","non-dropping-particle":"","parse-names":false,"suffix":""},{"dropping-particle":"","family":"Thummel","given":"Ryan","non-dropping-particle":"","parse-names":false,"suffix":""},{"dropping-particle":"","family":"Davidson","given":"Alan J.","non-dropping-particle":"","parse-names":false,"suffix":""},{"dropping-particle":"","family":"Postlethwait","given":"John","non-dropping-particle":"","parse-names":false,"suffix":""},{"dropping-particle":"","family":"Goessling","given":"Wolfram","non-dropping-particle":"","parse-names":false,"suffix":""},{"dropping-particle":"","family":"Wingert","given":"Rebecca A.","non-dropping-particle":"","parse-names":false,"suffix":""}],"container-title":"Developmental Biology","id":"ITEM-1","issue":"1","issued":{"date-parts":[["2017","8","1"]]},"page":"148-163","publisher":"Academic Press Inc.","title":"The zebrafish kidney mutant zeppelin reveals that brca2/fancd1 is essential for pronephros development","type":"article-journal","volume":"428"},"uris":["http://www.mendeley.com/documents/?uuid=1bd25f68-feab-3d42-af55-75a0aff15650","http://www.mendeley.com/documents/?uuid=78959443-1750-44b3-8da6-283915cf380f"]}],"mendeley":{"formattedCitation":"(Kroeger et al., 2017)","plainTextFormattedCitation":"(Kroeger et al., 2017)","previouslyFormattedCitation":"(Kroeger et al., 2017)"},"properties":{"noteIndex":0},"schema":"https://github.com/citation-style-language/schema/raw/master/csl-citation.json"}</w:instrText>
            </w:r>
            <w:r w:rsidRPr="004A350A">
              <w:rPr>
                <w:sz w:val="20"/>
                <w:szCs w:val="20"/>
              </w:rPr>
              <w:fldChar w:fldCharType="separate"/>
            </w:r>
            <w:r w:rsidR="004E16D1" w:rsidRPr="004A350A">
              <w:rPr>
                <w:noProof/>
                <w:sz w:val="20"/>
                <w:szCs w:val="20"/>
              </w:rPr>
              <w:t>(Kroeger et al., 2017)</w:t>
            </w:r>
            <w:r w:rsidRPr="004A350A">
              <w:rPr>
                <w:sz w:val="20"/>
                <w:szCs w:val="20"/>
              </w:rPr>
              <w:fldChar w:fldCharType="end"/>
            </w: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restart"/>
            <w:vAlign w:val="center"/>
          </w:tcPr>
          <w:p w:rsidR="004E16D1" w:rsidRPr="004A350A" w:rsidRDefault="004E16D1" w:rsidP="00D0428B">
            <w:pPr>
              <w:jc w:val="center"/>
              <w:rPr>
                <w:i/>
                <w:iCs/>
                <w:sz w:val="20"/>
                <w:szCs w:val="20"/>
              </w:rPr>
            </w:pPr>
            <w:r w:rsidRPr="004A350A">
              <w:rPr>
                <w:i/>
                <w:iCs/>
                <w:sz w:val="20"/>
                <w:szCs w:val="20"/>
              </w:rPr>
              <w:t>FANCR/ RAD51</w:t>
            </w:r>
          </w:p>
        </w:tc>
        <w:tc>
          <w:tcPr>
            <w:tcW w:w="1440" w:type="dxa"/>
            <w:vAlign w:val="center"/>
          </w:tcPr>
          <w:p w:rsidR="004E16D1" w:rsidRPr="004A350A" w:rsidRDefault="004E16D1" w:rsidP="00810DFC">
            <w:pPr>
              <w:jc w:val="center"/>
              <w:rPr>
                <w:sz w:val="20"/>
                <w:szCs w:val="20"/>
              </w:rPr>
            </w:pPr>
            <w:r w:rsidRPr="004A350A">
              <w:rPr>
                <w:i/>
                <w:iCs/>
                <w:sz w:val="20"/>
                <w:szCs w:val="20"/>
              </w:rPr>
              <w:t>rad51</w:t>
            </w:r>
            <w:r w:rsidRPr="004A350A">
              <w:rPr>
                <w:sz w:val="20"/>
                <w:szCs w:val="20"/>
                <w:vertAlign w:val="superscript"/>
              </w:rPr>
              <w:t>-/-</w:t>
            </w:r>
          </w:p>
        </w:tc>
        <w:tc>
          <w:tcPr>
            <w:tcW w:w="1800" w:type="dxa"/>
            <w:vAlign w:val="center"/>
          </w:tcPr>
          <w:p w:rsidR="004E16D1" w:rsidRPr="004A350A" w:rsidRDefault="004E16D1" w:rsidP="00810DFC">
            <w:pPr>
              <w:jc w:val="center"/>
              <w:rPr>
                <w:sz w:val="20"/>
                <w:szCs w:val="20"/>
              </w:rPr>
            </w:pPr>
            <w:r w:rsidRPr="004A350A">
              <w:rPr>
                <w:sz w:val="20"/>
                <w:szCs w:val="20"/>
              </w:rPr>
              <w:t>Not reported</w:t>
            </w:r>
          </w:p>
        </w:tc>
        <w:tc>
          <w:tcPr>
            <w:tcW w:w="2474" w:type="dxa"/>
            <w:vAlign w:val="center"/>
          </w:tcPr>
          <w:p w:rsidR="004E16D1" w:rsidRPr="004A350A" w:rsidRDefault="004E16D1" w:rsidP="00810DFC">
            <w:pPr>
              <w:jc w:val="center"/>
              <w:rPr>
                <w:sz w:val="20"/>
                <w:szCs w:val="20"/>
              </w:rPr>
            </w:pPr>
            <w:r w:rsidRPr="004A350A">
              <w:rPr>
                <w:sz w:val="20"/>
                <w:szCs w:val="20"/>
              </w:rPr>
              <w:t>Female-to-male sex reversal</w:t>
            </w:r>
            <w:r>
              <w:rPr>
                <w:sz w:val="20"/>
                <w:szCs w:val="20"/>
              </w:rPr>
              <w:t>, i</w:t>
            </w:r>
            <w:r w:rsidRPr="004A350A">
              <w:rPr>
                <w:sz w:val="20"/>
                <w:szCs w:val="20"/>
              </w:rPr>
              <w:t xml:space="preserve">ncreased chromosomal aberrations following induction of DNA damage, </w:t>
            </w:r>
            <w:r>
              <w:rPr>
                <w:sz w:val="20"/>
                <w:szCs w:val="20"/>
              </w:rPr>
              <w:t xml:space="preserve">size defects, </w:t>
            </w:r>
            <w:r w:rsidRPr="004A350A">
              <w:rPr>
                <w:sz w:val="20"/>
                <w:szCs w:val="20"/>
              </w:rPr>
              <w:t>decreased blood cells in adult kidney marrow</w:t>
            </w:r>
          </w:p>
        </w:tc>
        <w:tc>
          <w:tcPr>
            <w:tcW w:w="1190" w:type="dxa"/>
            <w:vAlign w:val="center"/>
          </w:tcPr>
          <w:p w:rsidR="004E16D1" w:rsidRPr="004A350A" w:rsidRDefault="00F46636" w:rsidP="008A4F5C">
            <w:pPr>
              <w:jc w:val="center"/>
              <w:rPr>
                <w:sz w:val="20"/>
                <w:szCs w:val="20"/>
              </w:rPr>
            </w:pPr>
            <w:r>
              <w:rPr>
                <w:sz w:val="20"/>
                <w:szCs w:val="20"/>
              </w:rPr>
              <w:t>ENU</w:t>
            </w:r>
          </w:p>
        </w:tc>
        <w:tc>
          <w:tcPr>
            <w:tcW w:w="1190" w:type="dxa"/>
            <w:vMerge w:val="restart"/>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{"citationItems":[{"id":"ITEM-1","itemData":{"DOI":"10.1073/pnas.1620631114","ISSN":"10916490","PMID":"28512217","abstract":"RAD51 is an indispensable homologous recombination protein, necessary for strand invasion and crossing over. It has recently been designated as a Fanconi anemia (FA) gene, following the discovery of two patients carrying dominant-negative mutations. FA is a hereditary DNA-repair disorder characterized by various congenital abnormalities, progressive bone marrow failure, and cancer predisposition. In this report, we describe a viable vertebrate model of RAD51 loss. Zebrafish rad51 loss-of-function mutants developed key features of FA, including hypocellular kidney marrow, sensitivity to cross-linking agents, and decreased size. We show that some of these symptoms stem from both decreased proliferation and increased apoptosis of embryonic hematopoietic stem and progenitor cells. Comutation of p53 was able to rescue the hematopoietic defects seen in the single mutants, but led to tumor development. We further demonstrate that prolonged inflammatory stress can exacerbate the hematological impairment, leading to an additional decrease in kidney marrow cell numbers. These findings strengthen the assignment of RAD51 as a Fanconi gene and provide more evidence for the notion that aberrant p53 signaling during embryogenesis leads to the hematological defects seen later in life in FA. Further research on this zebrafish FA model will lead to a deeper understanding of the molecular basis of bone marrow failure in FA and the cellular role of RAD51.","author":[{"dropping-particle":"","family":"Botthof","given":"Jan Gregor","non-dropping-particle":"","parse-names":false,"suffix":""},{"dropping-particle":"","family":"Bielczyk-Maczynska","given":"Ewa","non-dropping-particle":"","parse-names":false,"suffix":""},{"dropping-particle":"","family":"Ferreira","given":"Lauren","non-dropping-particle":"","parse-names":false,"suffix":""},{"dropping-particle":"","family":"Cvejic","given":"Ana","non-dropping-particle":"","parse-names":false,"suffix":""}],"container-title":"Proceedings of the National Academy of Sciences of the United States of America","id":"ITEM-1","issue":"22","issued":{"date-parts":[["2017","5","30"]]},"page":"E4452-E4461","publisher":"National Academy of Sciences","title":"Loss of the homologous recombination gene rad51 leads to Fanconi anemia-like symptoms in zebrafish","type":"article-journal","volume":"114"},"uris":["http://www.mendeley.com/documents/?uuid=c57eaa6a-c652-3993-ab7a-48eb1ee68628","http://www.mendeley.com/documents/?uuid=799a7c52-a81a-4144-94f1-05d3e34bf53e"]}],"mendeley":{"formattedCitation":"(Botthof et al., 2017)","plainTextFormattedCitation":"(Botthof et al., 2017)","previouslyFormattedCitation":"(Botthof et al., 2017)"},"properties":{"noteIndex":0},"schema":"https://github.com/citation-style-language/schema/raw/master/csl-citation.json"}</w:instrText>
            </w:r>
            <w:r w:rsidRPr="004A350A">
              <w:rPr>
                <w:sz w:val="20"/>
                <w:szCs w:val="20"/>
              </w:rPr>
              <w:fldChar w:fldCharType="separate"/>
            </w:r>
            <w:r w:rsidR="004E16D1" w:rsidRPr="004A350A">
              <w:rPr>
                <w:noProof/>
                <w:sz w:val="20"/>
                <w:szCs w:val="20"/>
              </w:rPr>
              <w:t>(Botthof et al., 2017)</w:t>
            </w:r>
            <w:r w:rsidRPr="004A350A">
              <w:rPr>
                <w:sz w:val="20"/>
                <w:szCs w:val="20"/>
              </w:rPr>
              <w:fldChar w:fldCharType="end"/>
            </w: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i/>
                <w:iCs/>
                <w:sz w:val="20"/>
                <w:szCs w:val="20"/>
              </w:rPr>
            </w:pPr>
          </w:p>
        </w:tc>
        <w:tc>
          <w:tcPr>
            <w:tcW w:w="1440" w:type="dxa"/>
            <w:vAlign w:val="center"/>
          </w:tcPr>
          <w:p w:rsidR="004E16D1" w:rsidRPr="00D0428B" w:rsidRDefault="004E16D1" w:rsidP="00810DFC">
            <w:pPr>
              <w:jc w:val="center"/>
              <w:rPr>
                <w:sz w:val="20"/>
                <w:szCs w:val="20"/>
                <w:vertAlign w:val="superscript"/>
              </w:rPr>
            </w:pPr>
            <w:r w:rsidRPr="004A350A">
              <w:rPr>
                <w:i/>
                <w:iCs/>
                <w:sz w:val="20"/>
                <w:szCs w:val="20"/>
              </w:rPr>
              <w:t>rad51</w:t>
            </w:r>
            <w:r w:rsidRPr="004A350A">
              <w:rPr>
                <w:sz w:val="20"/>
                <w:szCs w:val="20"/>
                <w:vertAlign w:val="superscript"/>
              </w:rPr>
              <w:t>-/-</w:t>
            </w:r>
            <w:r>
              <w:rPr>
                <w:sz w:val="20"/>
                <w:szCs w:val="20"/>
              </w:rPr>
              <w:t>;</w:t>
            </w:r>
            <w:r>
              <w:rPr>
                <w:i/>
                <w:iCs/>
                <w:sz w:val="20"/>
                <w:szCs w:val="20"/>
              </w:rPr>
              <w:t xml:space="preserve"> tp53</w:t>
            </w:r>
            <w:r>
              <w:rPr>
                <w:sz w:val="20"/>
                <w:szCs w:val="20"/>
                <w:vertAlign w:val="superscript"/>
              </w:rPr>
              <w:t>M214K/M214K</w:t>
            </w:r>
          </w:p>
        </w:tc>
        <w:tc>
          <w:tcPr>
            <w:tcW w:w="1800" w:type="dxa"/>
            <w:vAlign w:val="center"/>
          </w:tcPr>
          <w:p w:rsidR="004E16D1" w:rsidRPr="004A350A" w:rsidRDefault="004E16D1" w:rsidP="00810DFC">
            <w:pPr>
              <w:jc w:val="center"/>
              <w:rPr>
                <w:sz w:val="20"/>
                <w:szCs w:val="20"/>
              </w:rPr>
            </w:pPr>
            <w:r>
              <w:rPr>
                <w:sz w:val="20"/>
                <w:szCs w:val="20"/>
              </w:rPr>
              <w:t>MPNSTs</w:t>
            </w:r>
          </w:p>
        </w:tc>
        <w:tc>
          <w:tcPr>
            <w:tcW w:w="2474" w:type="dxa"/>
            <w:vAlign w:val="center"/>
          </w:tcPr>
          <w:p w:rsidR="004E16D1" w:rsidRPr="007947C4" w:rsidRDefault="004E16D1" w:rsidP="00810DFC">
            <w:pPr>
              <w:jc w:val="center"/>
              <w:rPr>
                <w:sz w:val="20"/>
                <w:szCs w:val="20"/>
              </w:rPr>
            </w:pPr>
            <w:r>
              <w:rPr>
                <w:sz w:val="20"/>
                <w:szCs w:val="20"/>
              </w:rPr>
              <w:t xml:space="preserve">Rescued HSPC defects and sex reversal, adult sterility, size defects, decreased time to tumor onset compared to </w:t>
            </w:r>
            <w:r>
              <w:rPr>
                <w:i/>
                <w:iCs/>
                <w:sz w:val="20"/>
                <w:szCs w:val="20"/>
              </w:rPr>
              <w:t xml:space="preserve">tp53 </w:t>
            </w:r>
            <w:r>
              <w:rPr>
                <w:sz w:val="20"/>
                <w:szCs w:val="20"/>
              </w:rPr>
              <w:t>mutants</w:t>
            </w:r>
          </w:p>
        </w:tc>
        <w:tc>
          <w:tcPr>
            <w:tcW w:w="1190" w:type="dxa"/>
            <w:vAlign w:val="center"/>
          </w:tcPr>
          <w:p w:rsidR="004E16D1" w:rsidRPr="004A350A" w:rsidRDefault="00F46636" w:rsidP="008A4F5C">
            <w:pPr>
              <w:jc w:val="center"/>
              <w:rPr>
                <w:sz w:val="20"/>
                <w:szCs w:val="20"/>
              </w:rPr>
            </w:pPr>
            <w:r>
              <w:rPr>
                <w:sz w:val="20"/>
                <w:szCs w:val="20"/>
              </w:rPr>
              <w:t>Breeding</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920"/>
          <w:jc w:val="center"/>
        </w:trPr>
        <w:tc>
          <w:tcPr>
            <w:tcW w:w="1513" w:type="dxa"/>
            <w:vMerge w:val="restart"/>
            <w:tcBorders>
              <w:left w:val="single" w:sz="18" w:space="0" w:color="auto"/>
            </w:tcBorders>
            <w:vAlign w:val="center"/>
          </w:tcPr>
          <w:p w:rsidR="004E16D1" w:rsidRPr="004A350A" w:rsidRDefault="004E16D1" w:rsidP="00810DFC">
            <w:pPr>
              <w:jc w:val="center"/>
              <w:rPr>
                <w:sz w:val="20"/>
                <w:szCs w:val="20"/>
              </w:rPr>
            </w:pPr>
            <w:r w:rsidRPr="004A350A">
              <w:rPr>
                <w:sz w:val="20"/>
                <w:szCs w:val="20"/>
              </w:rPr>
              <w:t xml:space="preserve">CPGs not associated with a cancer </w:t>
            </w:r>
            <w:r w:rsidRPr="004A350A">
              <w:rPr>
                <w:sz w:val="20"/>
                <w:szCs w:val="20"/>
              </w:rPr>
              <w:lastRenderedPageBreak/>
              <w:t>predisposition syndrome</w:t>
            </w:r>
          </w:p>
        </w:tc>
        <w:tc>
          <w:tcPr>
            <w:tcW w:w="1074" w:type="dxa"/>
            <w:vAlign w:val="center"/>
          </w:tcPr>
          <w:p w:rsidR="004E16D1" w:rsidRPr="004A350A" w:rsidRDefault="004E16D1" w:rsidP="00810DFC">
            <w:pPr>
              <w:jc w:val="center"/>
              <w:rPr>
                <w:i/>
                <w:iCs/>
                <w:sz w:val="20"/>
                <w:szCs w:val="20"/>
              </w:rPr>
            </w:pPr>
            <w:r w:rsidRPr="004A350A">
              <w:rPr>
                <w:i/>
                <w:iCs/>
                <w:sz w:val="20"/>
                <w:szCs w:val="20"/>
              </w:rPr>
              <w:lastRenderedPageBreak/>
              <w:t>MLH1</w:t>
            </w:r>
          </w:p>
        </w:tc>
        <w:tc>
          <w:tcPr>
            <w:tcW w:w="1440" w:type="dxa"/>
            <w:vAlign w:val="center"/>
          </w:tcPr>
          <w:p w:rsidR="004E16D1" w:rsidRPr="004A350A" w:rsidRDefault="004E16D1" w:rsidP="00810DFC">
            <w:pPr>
              <w:jc w:val="center"/>
              <w:rPr>
                <w:sz w:val="20"/>
                <w:szCs w:val="20"/>
                <w:vertAlign w:val="superscript"/>
              </w:rPr>
            </w:pPr>
            <w:r w:rsidRPr="004A350A">
              <w:rPr>
                <w:i/>
                <w:iCs/>
                <w:sz w:val="20"/>
                <w:szCs w:val="20"/>
              </w:rPr>
              <w:t>mlh1</w:t>
            </w:r>
            <w:r w:rsidRPr="004A350A">
              <w:rPr>
                <w:sz w:val="20"/>
                <w:szCs w:val="20"/>
                <w:vertAlign w:val="superscript"/>
              </w:rPr>
              <w:t>-/-</w:t>
            </w:r>
          </w:p>
        </w:tc>
        <w:tc>
          <w:tcPr>
            <w:tcW w:w="1800" w:type="dxa"/>
            <w:vMerge w:val="restart"/>
            <w:vAlign w:val="center"/>
          </w:tcPr>
          <w:p w:rsidR="004E16D1" w:rsidRPr="004A350A" w:rsidRDefault="004E16D1" w:rsidP="00810DFC">
            <w:pPr>
              <w:jc w:val="center"/>
              <w:rPr>
                <w:sz w:val="20"/>
                <w:szCs w:val="20"/>
              </w:rPr>
            </w:pPr>
            <w:r w:rsidRPr="004A350A">
              <w:rPr>
                <w:sz w:val="20"/>
                <w:szCs w:val="20"/>
              </w:rPr>
              <w:t>Neurofibromas, MPNSTs</w:t>
            </w:r>
            <w:r>
              <w:rPr>
                <w:sz w:val="20"/>
                <w:szCs w:val="20"/>
              </w:rPr>
              <w:t xml:space="preserve">, PNETs, </w:t>
            </w:r>
            <w:r>
              <w:rPr>
                <w:sz w:val="20"/>
                <w:szCs w:val="20"/>
              </w:rPr>
              <w:lastRenderedPageBreak/>
              <w:t>hemangiosarcomas</w:t>
            </w:r>
          </w:p>
        </w:tc>
        <w:tc>
          <w:tcPr>
            <w:tcW w:w="2474" w:type="dxa"/>
            <w:vAlign w:val="center"/>
          </w:tcPr>
          <w:p w:rsidR="004E16D1" w:rsidRPr="004A350A" w:rsidRDefault="004E16D1" w:rsidP="00810DFC">
            <w:pPr>
              <w:jc w:val="center"/>
              <w:rPr>
                <w:sz w:val="20"/>
                <w:szCs w:val="20"/>
              </w:rPr>
            </w:pPr>
            <w:r w:rsidRPr="004A350A">
              <w:rPr>
                <w:sz w:val="20"/>
                <w:szCs w:val="20"/>
              </w:rPr>
              <w:lastRenderedPageBreak/>
              <w:t>Males are infertile with abnormal testis histology</w:t>
            </w:r>
            <w:r>
              <w:rPr>
                <w:sz w:val="20"/>
                <w:szCs w:val="20"/>
              </w:rPr>
              <w:t xml:space="preserve">, females are fertile but </w:t>
            </w:r>
            <w:r>
              <w:rPr>
                <w:sz w:val="20"/>
                <w:szCs w:val="20"/>
              </w:rPr>
              <w:lastRenderedPageBreak/>
              <w:t>produce triploid embryos</w:t>
            </w:r>
          </w:p>
        </w:tc>
        <w:tc>
          <w:tcPr>
            <w:tcW w:w="1190" w:type="dxa"/>
            <w:vAlign w:val="center"/>
          </w:tcPr>
          <w:p w:rsidR="004E16D1" w:rsidRPr="004A350A" w:rsidRDefault="00F46636" w:rsidP="008A4F5C">
            <w:pPr>
              <w:jc w:val="center"/>
              <w:rPr>
                <w:noProof/>
                <w:sz w:val="20"/>
                <w:szCs w:val="20"/>
              </w:rPr>
            </w:pPr>
            <w:r>
              <w:rPr>
                <w:noProof/>
                <w:sz w:val="20"/>
                <w:szCs w:val="20"/>
              </w:rPr>
              <w:lastRenderedPageBreak/>
              <w:t>ENU</w:t>
            </w:r>
          </w:p>
        </w:tc>
        <w:tc>
          <w:tcPr>
            <w:tcW w:w="1190" w:type="dxa"/>
            <w:tcBorders>
              <w:right w:val="single" w:sz="18" w:space="0" w:color="auto"/>
            </w:tcBorders>
            <w:vAlign w:val="center"/>
          </w:tcPr>
          <w:p w:rsidR="004E16D1" w:rsidRPr="004A350A" w:rsidRDefault="004E16D1" w:rsidP="00810DFC">
            <w:pPr>
              <w:jc w:val="center"/>
              <w:rPr>
                <w:sz w:val="20"/>
                <w:szCs w:val="20"/>
              </w:rPr>
            </w:pPr>
            <w:r w:rsidRPr="004A350A">
              <w:rPr>
                <w:noProof/>
                <w:sz w:val="20"/>
                <w:szCs w:val="20"/>
              </w:rPr>
              <w:t xml:space="preserve">(Feitsma et al., 2007, 2008; Leal </w:t>
            </w:r>
            <w:r w:rsidRPr="004A350A">
              <w:rPr>
                <w:noProof/>
                <w:sz w:val="20"/>
                <w:szCs w:val="20"/>
              </w:rPr>
              <w:lastRenderedPageBreak/>
              <w:t>et al., 2008)</w:t>
            </w:r>
          </w:p>
        </w:tc>
      </w:tr>
      <w:tr w:rsidR="004E16D1" w:rsidTr="00F97801">
        <w:trPr>
          <w:trHeight w:val="230"/>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MSH2</w:t>
            </w:r>
          </w:p>
        </w:tc>
        <w:tc>
          <w:tcPr>
            <w:tcW w:w="1440" w:type="dxa"/>
            <w:vAlign w:val="center"/>
          </w:tcPr>
          <w:p w:rsidR="004E16D1" w:rsidRPr="004A350A" w:rsidRDefault="004E16D1" w:rsidP="00810DFC">
            <w:pPr>
              <w:jc w:val="center"/>
              <w:rPr>
                <w:sz w:val="20"/>
                <w:szCs w:val="20"/>
                <w:vertAlign w:val="superscript"/>
              </w:rPr>
            </w:pPr>
            <w:r w:rsidRPr="004A350A">
              <w:rPr>
                <w:i/>
                <w:iCs/>
                <w:sz w:val="20"/>
                <w:szCs w:val="20"/>
              </w:rPr>
              <w:t>msh2</w:t>
            </w:r>
            <w:r w:rsidRPr="004A350A">
              <w:rPr>
                <w:sz w:val="20"/>
                <w:szCs w:val="20"/>
                <w:vertAlign w:val="superscript"/>
              </w:rPr>
              <w:t>-/-</w:t>
            </w:r>
          </w:p>
        </w:tc>
        <w:tc>
          <w:tcPr>
            <w:tcW w:w="1800" w:type="dxa"/>
            <w:vMerge/>
            <w:vAlign w:val="center"/>
          </w:tcPr>
          <w:p w:rsidR="004E16D1" w:rsidRPr="004A350A" w:rsidRDefault="004E16D1" w:rsidP="00810DFC">
            <w:pPr>
              <w:jc w:val="center"/>
              <w:rPr>
                <w:sz w:val="20"/>
                <w:szCs w:val="20"/>
              </w:rPr>
            </w:pPr>
          </w:p>
        </w:tc>
        <w:tc>
          <w:tcPr>
            <w:tcW w:w="2474" w:type="dxa"/>
            <w:vMerge w:val="restart"/>
            <w:vAlign w:val="center"/>
          </w:tcPr>
          <w:p w:rsidR="004E16D1" w:rsidRPr="004A350A" w:rsidRDefault="004E16D1" w:rsidP="00810DFC">
            <w:pPr>
              <w:jc w:val="center"/>
              <w:rPr>
                <w:sz w:val="20"/>
                <w:szCs w:val="20"/>
              </w:rPr>
            </w:pPr>
            <w:r w:rsidRPr="004A350A">
              <w:rPr>
                <w:sz w:val="20"/>
                <w:szCs w:val="20"/>
              </w:rPr>
              <w:t>Microsatellite instability in mutant male progeny</w:t>
            </w:r>
          </w:p>
        </w:tc>
        <w:tc>
          <w:tcPr>
            <w:tcW w:w="1190" w:type="dxa"/>
            <w:vAlign w:val="center"/>
          </w:tcPr>
          <w:p w:rsidR="004E16D1" w:rsidRPr="004A350A" w:rsidRDefault="00F46636" w:rsidP="008A4F5C">
            <w:pPr>
              <w:jc w:val="center"/>
              <w:rPr>
                <w:noProof/>
                <w:sz w:val="20"/>
                <w:szCs w:val="20"/>
              </w:rPr>
            </w:pPr>
            <w:r>
              <w:rPr>
                <w:noProof/>
                <w:sz w:val="20"/>
                <w:szCs w:val="20"/>
              </w:rPr>
              <w:t>ENU</w:t>
            </w:r>
          </w:p>
        </w:tc>
        <w:tc>
          <w:tcPr>
            <w:tcW w:w="1190" w:type="dxa"/>
            <w:vMerge w:val="restart"/>
            <w:tcBorders>
              <w:right w:val="single" w:sz="18" w:space="0" w:color="auto"/>
            </w:tcBorders>
            <w:vAlign w:val="center"/>
          </w:tcPr>
          <w:p w:rsidR="004E16D1" w:rsidRPr="004A350A" w:rsidRDefault="004E16D1" w:rsidP="00810DFC">
            <w:pPr>
              <w:jc w:val="center"/>
              <w:rPr>
                <w:sz w:val="20"/>
                <w:szCs w:val="20"/>
              </w:rPr>
            </w:pPr>
            <w:r w:rsidRPr="004A350A">
              <w:rPr>
                <w:noProof/>
                <w:sz w:val="20"/>
                <w:szCs w:val="20"/>
              </w:rPr>
              <w:t>(Feitsma et al., 2008)</w:t>
            </w:r>
          </w:p>
        </w:tc>
      </w:tr>
      <w:tr w:rsidR="004E16D1" w:rsidTr="00F97801">
        <w:trPr>
          <w:trHeight w:val="245"/>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MSH6</w:t>
            </w:r>
          </w:p>
        </w:tc>
        <w:tc>
          <w:tcPr>
            <w:tcW w:w="1440" w:type="dxa"/>
            <w:vAlign w:val="center"/>
          </w:tcPr>
          <w:p w:rsidR="004E16D1" w:rsidRPr="004A350A" w:rsidRDefault="004E16D1" w:rsidP="00810DFC">
            <w:pPr>
              <w:jc w:val="center"/>
              <w:rPr>
                <w:sz w:val="20"/>
                <w:szCs w:val="20"/>
                <w:vertAlign w:val="superscript"/>
              </w:rPr>
            </w:pPr>
            <w:r w:rsidRPr="004A350A">
              <w:rPr>
                <w:i/>
                <w:iCs/>
                <w:sz w:val="20"/>
                <w:szCs w:val="20"/>
              </w:rPr>
              <w:t>msh6</w:t>
            </w:r>
            <w:r w:rsidRPr="004A350A">
              <w:rPr>
                <w:sz w:val="20"/>
                <w:szCs w:val="20"/>
                <w:vertAlign w:val="superscript"/>
              </w:rPr>
              <w:t>-/-</w:t>
            </w:r>
          </w:p>
        </w:tc>
        <w:tc>
          <w:tcPr>
            <w:tcW w:w="1800" w:type="dxa"/>
            <w:vMerge/>
            <w:vAlign w:val="center"/>
          </w:tcPr>
          <w:p w:rsidR="004E16D1" w:rsidRPr="004A350A" w:rsidRDefault="004E16D1" w:rsidP="00810DFC">
            <w:pPr>
              <w:jc w:val="center"/>
              <w:rPr>
                <w:sz w:val="20"/>
                <w:szCs w:val="20"/>
              </w:rPr>
            </w:pPr>
          </w:p>
        </w:tc>
        <w:tc>
          <w:tcPr>
            <w:tcW w:w="2474" w:type="dxa"/>
            <w:vMerge/>
            <w:vAlign w:val="center"/>
          </w:tcPr>
          <w:p w:rsidR="004E16D1" w:rsidRPr="004A350A" w:rsidRDefault="004E16D1" w:rsidP="00810DFC">
            <w:pPr>
              <w:jc w:val="center"/>
              <w:rPr>
                <w:sz w:val="20"/>
                <w:szCs w:val="20"/>
              </w:rPr>
            </w:pPr>
          </w:p>
        </w:tc>
        <w:tc>
          <w:tcPr>
            <w:tcW w:w="1190" w:type="dxa"/>
            <w:vAlign w:val="center"/>
          </w:tcPr>
          <w:p w:rsidR="004E16D1" w:rsidRPr="004A350A" w:rsidRDefault="00F46636" w:rsidP="008A4F5C">
            <w:pPr>
              <w:jc w:val="center"/>
              <w:rPr>
                <w:sz w:val="20"/>
                <w:szCs w:val="20"/>
              </w:rPr>
            </w:pPr>
            <w:r>
              <w:rPr>
                <w:sz w:val="20"/>
                <w:szCs w:val="20"/>
              </w:rPr>
              <w:t>ENU</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705"/>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restart"/>
            <w:vAlign w:val="center"/>
          </w:tcPr>
          <w:p w:rsidR="004E16D1" w:rsidRPr="004A350A" w:rsidRDefault="004E16D1" w:rsidP="00810DFC">
            <w:pPr>
              <w:jc w:val="center"/>
              <w:rPr>
                <w:i/>
                <w:iCs/>
                <w:sz w:val="20"/>
                <w:szCs w:val="20"/>
              </w:rPr>
            </w:pPr>
            <w:r w:rsidRPr="004A350A">
              <w:rPr>
                <w:i/>
                <w:iCs/>
                <w:sz w:val="20"/>
                <w:szCs w:val="20"/>
              </w:rPr>
              <w:t>ATRX</w:t>
            </w:r>
          </w:p>
        </w:tc>
        <w:tc>
          <w:tcPr>
            <w:tcW w:w="1440" w:type="dxa"/>
            <w:vAlign w:val="center"/>
          </w:tcPr>
          <w:p w:rsidR="004E16D1" w:rsidRPr="004A350A" w:rsidRDefault="004E16D1" w:rsidP="00810DFC">
            <w:pPr>
              <w:jc w:val="center"/>
              <w:rPr>
                <w:sz w:val="20"/>
                <w:szCs w:val="20"/>
                <w:vertAlign w:val="superscript"/>
              </w:rPr>
            </w:pPr>
            <w:r w:rsidRPr="004A350A">
              <w:rPr>
                <w:i/>
                <w:iCs/>
                <w:sz w:val="20"/>
                <w:szCs w:val="20"/>
              </w:rPr>
              <w:t>atrx</w:t>
            </w:r>
            <w:r w:rsidRPr="004A350A">
              <w:rPr>
                <w:sz w:val="20"/>
                <w:szCs w:val="20"/>
                <w:vertAlign w:val="superscript"/>
              </w:rPr>
              <w:t>-/-</w:t>
            </w:r>
          </w:p>
        </w:tc>
        <w:tc>
          <w:tcPr>
            <w:tcW w:w="1800" w:type="dxa"/>
            <w:vAlign w:val="center"/>
          </w:tcPr>
          <w:p w:rsidR="004E16D1" w:rsidRPr="004A350A" w:rsidRDefault="004E16D1" w:rsidP="00810DFC">
            <w:pPr>
              <w:jc w:val="center"/>
              <w:rPr>
                <w:sz w:val="20"/>
                <w:szCs w:val="20"/>
              </w:rPr>
            </w:pPr>
            <w:r w:rsidRPr="004A350A">
              <w:rPr>
                <w:sz w:val="20"/>
                <w:szCs w:val="20"/>
              </w:rPr>
              <w:t>None</w:t>
            </w:r>
          </w:p>
        </w:tc>
        <w:tc>
          <w:tcPr>
            <w:tcW w:w="2474" w:type="dxa"/>
            <w:vAlign w:val="center"/>
          </w:tcPr>
          <w:p w:rsidR="004E16D1" w:rsidRPr="004A350A" w:rsidRDefault="004E16D1" w:rsidP="00810DFC">
            <w:pPr>
              <w:jc w:val="center"/>
              <w:rPr>
                <w:sz w:val="20"/>
                <w:szCs w:val="20"/>
              </w:rPr>
            </w:pPr>
            <w:r w:rsidRPr="004A350A">
              <w:rPr>
                <w:sz w:val="20"/>
                <w:szCs w:val="20"/>
              </w:rPr>
              <w:t>Do not survive past larvae stages, erythrocytes are more spherical</w:t>
            </w:r>
          </w:p>
        </w:tc>
        <w:tc>
          <w:tcPr>
            <w:tcW w:w="1190" w:type="dxa"/>
            <w:vAlign w:val="center"/>
          </w:tcPr>
          <w:p w:rsidR="004E16D1" w:rsidRPr="004A350A" w:rsidRDefault="00F840A7" w:rsidP="008A4F5C">
            <w:pPr>
              <w:jc w:val="center"/>
              <w:rPr>
                <w:sz w:val="20"/>
                <w:szCs w:val="20"/>
              </w:rPr>
            </w:pPr>
            <w:r>
              <w:rPr>
                <w:sz w:val="20"/>
                <w:szCs w:val="20"/>
              </w:rPr>
              <w:t>CRISPR</w:t>
            </w:r>
          </w:p>
        </w:tc>
        <w:tc>
          <w:tcPr>
            <w:tcW w:w="1190" w:type="dxa"/>
            <w:vMerge w:val="restart"/>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{"citationItems":[{"id":"ITEM-1","itemData":{"DOI":"10.1371/journal.pgen.1008039","ISBN":"1111111111","ISSN":"15537404","PMID":"30970016","abstract":"The SWI/SNF-family chromatin remodeling protein ATRX is a tumor suppressor in sarcomas, gliomas and other malignancies. Its loss of function facilitates the alternative lengthening of telomeres (ALT) pathway in tumor cells, while it also affects Polycomb repressive complex 2 (PRC2) silencing of its target genes. To further define the role of inactivating ATRX mutations in carcinogenesis, we knocked out atrx in our previously reported p53/nf1-deficient zebrafish line that develops malignant peripheral nerve sheath tumors and gliomas. Complete inactivation of atrx using CRISPR/Cas9 was lethal in developing fish and resulted in an alpha-thalassemia-like phenotype including reduced alpha-globin expression. In p53/nf1-deficient zebrafish neither peripheral nerve sheath tumors nor gliomas showed accelerated onset in atrx+/- fish, but these fish developed various tumors that were not observed in their atrx+/+ siblings, including epithelioid sarcoma, angiosarcoma, undifferentiated pleomorphic sarcoma and rare types of carcinoma. These cancer types are included in the AACR Genie database of human tumors associated with mutant ATRX, indicating that our zebrafish model reliably mimics a role for ATRX-loss in the early pathogenesis of these human cancer types. RNA-seq of p53/nf1- and p53/nf1/atrx-deficient tumors revealed that down-regulation of telomerase accompanied ALT-mediated lengthening of the telomeres in atrx-mutant samples. Moreover, inactivating mutations in atrx disturbed PRC2-target gene silencing, indicating a connection between ATRX loss and PRC2 dysfunction in cancer development.","author":[{"dropping-particle":"","family":"Oppel","given":"Felix","non-dropping-particle":"","parse-names":false,"suffix":""},{"dropping-particle":"","family":"Tao","given":"Ting","non-dropping-particle":"","parse-names":false,"suffix":""},{"dropping-particle":"","family":"Shi","given":"Hui","non-dropping-particle":"","parse-names":false,"suffix":""},{"dropping-particle":"","family":"Ross","given":"Kenneth N.","non-dropping-particle":"","parse-names":false,"suffix":""},{"dropping-particle":"","family":"Zimmerman","given":"Mark W.","non-dropping-particle":"","parse-names":false,"suffix":""},{"dropping-particle":"","family":"He","given":"Shuning","non-dropping-particle":"","parse-names":false,"suffix":""},{"dropping-particle":"","family":"Tong","given":"Guangxiang","non-dropping-particle":"","parse-names":false,"suffix":""},{"dropping-particle":"","family":"Aster","given":"Jon C.","non-dropping-particle":"","parse-names":false,"suffix":""},{"dropping-particle":"","family":"Thomas Look","given":"A.","non-dropping-particle":"","parse-names":false,"suffix":""}],"container-title":"PLoS Genetics","id":"ITEM-1","issue":"4","issued":{"date-parts":[["2019"]]},"page":"1-22","title":"Loss of atrx cooperates with p53-deficiency to promote the development of sarcomas and other malignancies","type":"article-journal","volume":"15"},"uris":["http://www.mendeley.com/documents/?uuid=e8440acf-ae1c-4686-99b4-35b78481937f","http://www.mendeley.com/documents/?uuid=bc31e8bc-f175-474b-8318-094c1d737066","http://www.mendeley.com/documents/?uuid=aee1dd4e-f532-4091-9436-ee3f9dec1889"]}],"mendeley":{"formattedCitation":"(Oppel et al., 2019)","plainTextFormattedCitation":"(Oppel et al., 2019)","previouslyFormattedCitation":"(Oppel et al., 2019)"},"properties":{"noteIndex":0},"schema":"https://github.com/citation-style-language/schema/raw/master/csl-citation.json"}</w:instrText>
            </w:r>
            <w:r w:rsidRPr="004A350A">
              <w:rPr>
                <w:sz w:val="20"/>
                <w:szCs w:val="20"/>
              </w:rPr>
              <w:fldChar w:fldCharType="separate"/>
            </w:r>
            <w:r w:rsidR="004E16D1" w:rsidRPr="004A350A">
              <w:rPr>
                <w:noProof/>
                <w:sz w:val="20"/>
                <w:szCs w:val="20"/>
              </w:rPr>
              <w:t>(Oppel et al., 2019)</w:t>
            </w:r>
            <w:r w:rsidRPr="004A350A">
              <w:rPr>
                <w:sz w:val="20"/>
                <w:szCs w:val="20"/>
              </w:rPr>
              <w:fldChar w:fldCharType="end"/>
            </w:r>
          </w:p>
        </w:tc>
      </w:tr>
      <w:tr w:rsidR="004E16D1" w:rsidTr="00F97801">
        <w:trPr>
          <w:trHeight w:val="705"/>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Merge/>
            <w:vAlign w:val="center"/>
          </w:tcPr>
          <w:p w:rsidR="004E16D1" w:rsidRPr="004A350A" w:rsidRDefault="004E16D1" w:rsidP="00810DFC">
            <w:pPr>
              <w:jc w:val="center"/>
              <w:rPr>
                <w:i/>
                <w:iCs/>
                <w:sz w:val="20"/>
                <w:szCs w:val="20"/>
              </w:rPr>
            </w:pPr>
          </w:p>
        </w:tc>
        <w:tc>
          <w:tcPr>
            <w:tcW w:w="1440" w:type="dxa"/>
            <w:vAlign w:val="center"/>
          </w:tcPr>
          <w:p w:rsidR="004E16D1" w:rsidRPr="00B95E99" w:rsidRDefault="004E16D1" w:rsidP="00810DFC">
            <w:pPr>
              <w:jc w:val="center"/>
              <w:rPr>
                <w:i/>
                <w:iCs/>
                <w:sz w:val="20"/>
                <w:szCs w:val="20"/>
              </w:rPr>
            </w:pPr>
            <w:r w:rsidRPr="00B95E99">
              <w:rPr>
                <w:i/>
                <w:iCs/>
                <w:sz w:val="20"/>
                <w:szCs w:val="20"/>
              </w:rPr>
              <w:t>tp</w:t>
            </w:r>
            <w:r>
              <w:rPr>
                <w:i/>
                <w:iCs/>
                <w:sz w:val="20"/>
                <w:szCs w:val="20"/>
              </w:rPr>
              <w:t>53</w:t>
            </w:r>
            <w:r>
              <w:rPr>
                <w:sz w:val="20"/>
                <w:szCs w:val="20"/>
                <w:vertAlign w:val="superscript"/>
              </w:rPr>
              <w:t>M214K/M214K</w:t>
            </w:r>
            <w:r w:rsidRPr="00B95E99">
              <w:rPr>
                <w:i/>
                <w:iCs/>
                <w:sz w:val="20"/>
                <w:szCs w:val="20"/>
              </w:rPr>
              <w:t>;nf1b</w:t>
            </w:r>
            <w:r w:rsidRPr="00B95E99">
              <w:rPr>
                <w:i/>
                <w:iCs/>
                <w:sz w:val="20"/>
                <w:szCs w:val="20"/>
                <w:vertAlign w:val="superscript"/>
              </w:rPr>
              <w:t>-/-</w:t>
            </w:r>
            <w:r w:rsidRPr="00B95E99">
              <w:rPr>
                <w:i/>
                <w:iCs/>
                <w:sz w:val="20"/>
                <w:szCs w:val="20"/>
              </w:rPr>
              <w:t>;nf1a</w:t>
            </w:r>
            <w:r w:rsidRPr="00B95E99">
              <w:rPr>
                <w:i/>
                <w:iCs/>
                <w:sz w:val="20"/>
                <w:szCs w:val="20"/>
                <w:vertAlign w:val="superscript"/>
              </w:rPr>
              <w:t>+/-</w:t>
            </w:r>
            <w:r w:rsidRPr="00B95E99">
              <w:rPr>
                <w:i/>
                <w:iCs/>
                <w:sz w:val="20"/>
                <w:szCs w:val="20"/>
              </w:rPr>
              <w:t>;atrx</w:t>
            </w:r>
            <w:r w:rsidRPr="00B95E99">
              <w:rPr>
                <w:i/>
                <w:iCs/>
                <w:sz w:val="20"/>
                <w:szCs w:val="20"/>
                <w:vertAlign w:val="superscript"/>
              </w:rPr>
              <w:t>+/-</w:t>
            </w:r>
          </w:p>
        </w:tc>
        <w:tc>
          <w:tcPr>
            <w:tcW w:w="1800" w:type="dxa"/>
            <w:vAlign w:val="center"/>
          </w:tcPr>
          <w:p w:rsidR="004E16D1" w:rsidRPr="004A350A" w:rsidRDefault="004E16D1" w:rsidP="00810DFC">
            <w:pPr>
              <w:jc w:val="center"/>
              <w:rPr>
                <w:sz w:val="20"/>
                <w:szCs w:val="20"/>
              </w:rPr>
            </w:pPr>
            <w:r>
              <w:rPr>
                <w:sz w:val="20"/>
                <w:szCs w:val="20"/>
              </w:rPr>
              <w:t>E</w:t>
            </w:r>
            <w:r w:rsidRPr="00B95E99">
              <w:rPr>
                <w:sz w:val="20"/>
                <w:szCs w:val="20"/>
              </w:rPr>
              <w:t>pithelioid sarcoma</w:t>
            </w:r>
            <w:r>
              <w:rPr>
                <w:sz w:val="20"/>
                <w:szCs w:val="20"/>
              </w:rPr>
              <w:t>s</w:t>
            </w:r>
            <w:r w:rsidRPr="00B95E99">
              <w:rPr>
                <w:sz w:val="20"/>
                <w:szCs w:val="20"/>
              </w:rPr>
              <w:t>, angiosarcoma</w:t>
            </w:r>
            <w:r>
              <w:rPr>
                <w:sz w:val="20"/>
                <w:szCs w:val="20"/>
              </w:rPr>
              <w:t>s</w:t>
            </w:r>
            <w:r w:rsidRPr="00B95E99">
              <w:rPr>
                <w:sz w:val="20"/>
                <w:szCs w:val="20"/>
              </w:rPr>
              <w:t>, and rare carcinomas</w:t>
            </w:r>
          </w:p>
        </w:tc>
        <w:tc>
          <w:tcPr>
            <w:tcW w:w="2474" w:type="dxa"/>
            <w:vAlign w:val="center"/>
          </w:tcPr>
          <w:p w:rsidR="004E16D1" w:rsidRPr="004A350A" w:rsidRDefault="004E16D1" w:rsidP="00810DFC">
            <w:pPr>
              <w:jc w:val="center"/>
              <w:rPr>
                <w:sz w:val="20"/>
                <w:szCs w:val="20"/>
              </w:rPr>
            </w:pPr>
            <w:r>
              <w:rPr>
                <w:sz w:val="20"/>
                <w:szCs w:val="20"/>
              </w:rPr>
              <w:t>Wider spectrum of tumor types, lengthening of telomeres</w:t>
            </w:r>
          </w:p>
        </w:tc>
        <w:tc>
          <w:tcPr>
            <w:tcW w:w="1190" w:type="dxa"/>
            <w:vAlign w:val="center"/>
          </w:tcPr>
          <w:p w:rsidR="004E16D1" w:rsidRPr="004A350A" w:rsidRDefault="00F46636" w:rsidP="008A4F5C">
            <w:pPr>
              <w:jc w:val="center"/>
              <w:rPr>
                <w:sz w:val="20"/>
                <w:szCs w:val="20"/>
              </w:rPr>
            </w:pPr>
            <w:r>
              <w:rPr>
                <w:sz w:val="20"/>
                <w:szCs w:val="20"/>
              </w:rPr>
              <w:t>Breeding</w:t>
            </w:r>
          </w:p>
        </w:tc>
        <w:tc>
          <w:tcPr>
            <w:tcW w:w="1190" w:type="dxa"/>
            <w:vMerge/>
            <w:tcBorders>
              <w:right w:val="single" w:sz="18" w:space="0" w:color="auto"/>
            </w:tcBorders>
            <w:vAlign w:val="center"/>
          </w:tcPr>
          <w:p w:rsidR="004E16D1" w:rsidRPr="004A350A" w:rsidRDefault="004E16D1" w:rsidP="00810DFC">
            <w:pPr>
              <w:jc w:val="center"/>
              <w:rPr>
                <w:sz w:val="20"/>
                <w:szCs w:val="20"/>
              </w:rPr>
            </w:pPr>
          </w:p>
        </w:tc>
      </w:tr>
      <w:tr w:rsidR="004E16D1" w:rsidTr="00F97801">
        <w:trPr>
          <w:trHeight w:val="689"/>
          <w:jc w:val="center"/>
        </w:trPr>
        <w:tc>
          <w:tcPr>
            <w:tcW w:w="1513" w:type="dxa"/>
            <w:vMerge/>
            <w:tcBorders>
              <w:left w:val="single" w:sz="18" w:space="0" w:color="auto"/>
            </w:tcBorders>
            <w:vAlign w:val="center"/>
          </w:tcPr>
          <w:p w:rsidR="004E16D1" w:rsidRPr="004A350A" w:rsidRDefault="004E16D1" w:rsidP="00810DFC">
            <w:pPr>
              <w:jc w:val="center"/>
              <w:rPr>
                <w:sz w:val="20"/>
                <w:szCs w:val="20"/>
              </w:rPr>
            </w:pPr>
          </w:p>
        </w:tc>
        <w:tc>
          <w:tcPr>
            <w:tcW w:w="1074" w:type="dxa"/>
            <w:vAlign w:val="center"/>
          </w:tcPr>
          <w:p w:rsidR="004E16D1" w:rsidRPr="004A350A" w:rsidRDefault="004E16D1" w:rsidP="00810DFC">
            <w:pPr>
              <w:jc w:val="center"/>
              <w:rPr>
                <w:i/>
                <w:iCs/>
                <w:sz w:val="20"/>
                <w:szCs w:val="20"/>
              </w:rPr>
            </w:pPr>
            <w:r w:rsidRPr="004A350A">
              <w:rPr>
                <w:i/>
                <w:iCs/>
                <w:sz w:val="20"/>
                <w:szCs w:val="20"/>
              </w:rPr>
              <w:t>VHL</w:t>
            </w:r>
          </w:p>
        </w:tc>
        <w:tc>
          <w:tcPr>
            <w:tcW w:w="1440" w:type="dxa"/>
            <w:vAlign w:val="center"/>
          </w:tcPr>
          <w:p w:rsidR="004E16D1" w:rsidRPr="004A350A" w:rsidRDefault="004E16D1" w:rsidP="00810DFC">
            <w:pPr>
              <w:jc w:val="center"/>
              <w:rPr>
                <w:i/>
                <w:iCs/>
                <w:sz w:val="20"/>
                <w:szCs w:val="20"/>
              </w:rPr>
            </w:pPr>
            <w:r w:rsidRPr="004A350A">
              <w:rPr>
                <w:i/>
                <w:iCs/>
                <w:sz w:val="20"/>
                <w:szCs w:val="20"/>
              </w:rPr>
              <w:t>vhl</w:t>
            </w:r>
            <w:r w:rsidRPr="004A350A">
              <w:rPr>
                <w:i/>
                <w:iCs/>
                <w:sz w:val="20"/>
                <w:szCs w:val="20"/>
                <w:vertAlign w:val="superscript"/>
              </w:rPr>
              <w:t>-/-</w:t>
            </w:r>
            <w:r w:rsidRPr="004A350A">
              <w:rPr>
                <w:sz w:val="20"/>
                <w:szCs w:val="20"/>
              </w:rPr>
              <w:t xml:space="preserve">; </w:t>
            </w:r>
            <w:r w:rsidRPr="004A350A">
              <w:rPr>
                <w:i/>
                <w:iCs/>
                <w:sz w:val="20"/>
                <w:szCs w:val="20"/>
              </w:rPr>
              <w:t>vll</w:t>
            </w:r>
            <w:r w:rsidRPr="004A350A">
              <w:rPr>
                <w:i/>
                <w:iCs/>
                <w:sz w:val="20"/>
                <w:szCs w:val="20"/>
                <w:vertAlign w:val="superscript"/>
              </w:rPr>
              <w:t>-/-</w:t>
            </w:r>
          </w:p>
        </w:tc>
        <w:tc>
          <w:tcPr>
            <w:tcW w:w="1800" w:type="dxa"/>
            <w:vAlign w:val="center"/>
          </w:tcPr>
          <w:p w:rsidR="004E16D1" w:rsidRPr="004A350A" w:rsidRDefault="004E16D1" w:rsidP="00810DFC">
            <w:pPr>
              <w:jc w:val="center"/>
              <w:rPr>
                <w:sz w:val="20"/>
                <w:szCs w:val="20"/>
              </w:rPr>
            </w:pPr>
            <w:r w:rsidRPr="004A350A">
              <w:rPr>
                <w:sz w:val="20"/>
                <w:szCs w:val="20"/>
              </w:rPr>
              <w:t>None</w:t>
            </w:r>
          </w:p>
        </w:tc>
        <w:tc>
          <w:tcPr>
            <w:tcW w:w="2474" w:type="dxa"/>
            <w:vAlign w:val="center"/>
          </w:tcPr>
          <w:p w:rsidR="004E16D1" w:rsidRPr="004A350A" w:rsidRDefault="004E16D1" w:rsidP="00810DFC">
            <w:pPr>
              <w:jc w:val="center"/>
              <w:rPr>
                <w:sz w:val="20"/>
                <w:szCs w:val="20"/>
              </w:rPr>
            </w:pPr>
            <w:r w:rsidRPr="004A350A">
              <w:rPr>
                <w:sz w:val="20"/>
                <w:szCs w:val="20"/>
              </w:rPr>
              <w:t>Resistant to apoptosis following induction of DNA damage</w:t>
            </w:r>
            <w:r>
              <w:rPr>
                <w:sz w:val="20"/>
                <w:szCs w:val="20"/>
              </w:rPr>
              <w:t>, upregulation of HIF target genes, slowed growth, reduced consumption of yolk</w:t>
            </w:r>
          </w:p>
        </w:tc>
        <w:tc>
          <w:tcPr>
            <w:tcW w:w="1190" w:type="dxa"/>
            <w:vAlign w:val="center"/>
          </w:tcPr>
          <w:p w:rsidR="00E61F3F" w:rsidRDefault="00E61F3F" w:rsidP="00F97801">
            <w:pPr>
              <w:spacing w:after="120"/>
              <w:jc w:val="center"/>
              <w:rPr>
                <w:sz w:val="20"/>
                <w:szCs w:val="20"/>
              </w:rPr>
            </w:pPr>
            <w:r>
              <w:rPr>
                <w:sz w:val="20"/>
                <w:szCs w:val="20"/>
              </w:rPr>
              <w:t>ENU (</w:t>
            </w:r>
            <w:r w:rsidRPr="00F97801">
              <w:rPr>
                <w:i/>
                <w:iCs/>
                <w:sz w:val="20"/>
                <w:szCs w:val="20"/>
              </w:rPr>
              <w:t>vhl</w:t>
            </w:r>
            <w:r>
              <w:rPr>
                <w:sz w:val="20"/>
                <w:szCs w:val="20"/>
              </w:rPr>
              <w:t>)</w:t>
            </w:r>
          </w:p>
          <w:p w:rsidR="004E16D1" w:rsidRPr="004A350A" w:rsidRDefault="00E61F3F" w:rsidP="00F97801">
            <w:pPr>
              <w:spacing w:after="120"/>
              <w:jc w:val="center"/>
              <w:rPr>
                <w:sz w:val="20"/>
                <w:szCs w:val="20"/>
              </w:rPr>
            </w:pPr>
            <w:r>
              <w:rPr>
                <w:sz w:val="20"/>
                <w:szCs w:val="20"/>
              </w:rPr>
              <w:t>ZFN (</w:t>
            </w:r>
            <w:r w:rsidRPr="00F97801">
              <w:rPr>
                <w:i/>
                <w:iCs/>
                <w:sz w:val="20"/>
                <w:szCs w:val="20"/>
              </w:rPr>
              <w:t>vll</w:t>
            </w:r>
            <w:r>
              <w:rPr>
                <w:sz w:val="20"/>
                <w:szCs w:val="20"/>
              </w:rPr>
              <w:t>)</w:t>
            </w:r>
          </w:p>
        </w:tc>
        <w:tc>
          <w:tcPr>
            <w:tcW w:w="1190" w:type="dxa"/>
            <w:tcBorders>
              <w:right w:val="single" w:sz="18" w:space="0" w:color="auto"/>
            </w:tcBorders>
            <w:vAlign w:val="center"/>
          </w:tcPr>
          <w:p w:rsidR="004E16D1" w:rsidRPr="004A350A" w:rsidRDefault="00A23EBF" w:rsidP="00810DFC">
            <w:pPr>
              <w:jc w:val="center"/>
              <w:rPr>
                <w:sz w:val="20"/>
                <w:szCs w:val="20"/>
              </w:rPr>
            </w:pPr>
            <w:r w:rsidRPr="004A350A">
              <w:rPr>
                <w:sz w:val="20"/>
                <w:szCs w:val="20"/>
              </w:rPr>
              <w:fldChar w:fldCharType="begin" w:fldLock="1"/>
            </w:r>
            <w:r w:rsidR="004E16D1">
              <w:rPr>
                <w:sz w:val="20"/>
                <w:szCs w:val="20"/>
              </w:rPr>
              <w:instrText>ADDIN CSL_CITATION {"citationItems":[{"id":"ITEM-1","itemData":{"DOI":"10.18632/oncotarget.27521","ISSN":"19492553","abstract":"pVHL is a tumor suppressor. The lack of its function leads to various tumors, among which ccRCC (clear cell renal cell carcinoma) has the most serious outcome due to its resistance to chemotherapies and radiotherapies. Although HIF promotes the progression of ccRCC, the precise mechanism by which the loss of VHL leads to tumor initiation remains unclear. We exploited two zebrafish vhl mutants, vhl and vll, and Tg (phd3:: EGFP)i144 fish to identify crucial functions of Vhl in tumor initiation. Through the mutant analysis, we found that the role of pVHL in DNA repair is conserved in zebrafish Vll. Interestingly, we also discovered that Hif activation strongly suppressed genotoxic stress induced DNA repair defects and apoptosis in vll and brca2 mutants and in embryos lacking ATM activity. These results suggest the potential of HIF as a clinical modulator that can protect cells from accumulating DNA damage and apoptosis which can lead to cancers and neurodegenerative disorders.","author":[{"dropping-particle":"","family":"Kim","given":"Hyejeong Rosemary","non-dropping-particle":"","parse-names":false,"suffix":""},{"dropping-particle":"","family":"Santhakumar","given":"Kirankumar","non-dropping-particle":"","parse-names":false,"suffix":""},{"dropping-particle":"","family":"Markham","given":"Eleanor","non-dropping-particle":"","parse-names":false,"suffix":""},{"dropping-particle":"","family":"Baldera","given":"Davide","non-dropping-particle":"","parse-names":false,"suffix":""},{"dropping-particle":"","family":"Greenald","given":"David","non-dropping-particle":"","parse-names":false,"suffix":""},{"dropping-particle":"","family":"Bryant","given":"Helen E.","non-dropping-particle":"","parse-names":false,"suffix":""},{"dropping-particle":"","family":"El-Khamisy","given":"Sherif F.","non-dropping-particle":"","parse-names":false,"suffix":""},{"dropping-particle":"","family":"Eeden","given":"Fredericus J.","non-dropping-particle":"van","parse-names":false,"suffix":""}],"container-title":"Oncotarget","id":"ITEM-1","issue":"13","issued":{"date-parts":[["2020"]]},"page":"1109-1130","title":"Investigation of the role of VHL-HIF signaling in DNA repair and apoptosis in zebrafish","type":"article-journal","volume":"11"},"uris":["http://www.mendeley.com/documents/?uuid=2900db25-b0fc-4fc8-9308-ed0a0925b162","http://www.mendeley.com/documents/?uuid=357f0d7a-d14e-4efd-8894-2e16c2cca096","http://www.mendeley.com/documents/?uuid=b5291292-043f-4a07-bca8-34a82540854b"]}],"mendeley":{"formattedCitation":"(Kim et al., 2020)","plainTextFormattedCitation":"(Kim et al., 2020)","previouslyFormattedCitation":"(Kim et al., 2020)"},"properties":{"noteIndex":0},"schema":"https://github.com/citation-style-language/schema/raw/master/csl-citation.json"}</w:instrText>
            </w:r>
            <w:r w:rsidRPr="004A350A">
              <w:rPr>
                <w:sz w:val="20"/>
                <w:szCs w:val="20"/>
              </w:rPr>
              <w:fldChar w:fldCharType="separate"/>
            </w:r>
            <w:r w:rsidR="004E16D1" w:rsidRPr="004A350A">
              <w:rPr>
                <w:noProof/>
                <w:sz w:val="20"/>
                <w:szCs w:val="20"/>
              </w:rPr>
              <w:t>(Kim et al., 2020)</w:t>
            </w:r>
            <w:r w:rsidRPr="004A350A">
              <w:rPr>
                <w:sz w:val="20"/>
                <w:szCs w:val="20"/>
              </w:rPr>
              <w:fldChar w:fldCharType="end"/>
            </w:r>
          </w:p>
        </w:tc>
      </w:tr>
    </w:tbl>
    <w:p w:rsidR="00810DFC" w:rsidRDefault="00810DFC" w:rsidP="00810DFC">
      <w:pPr>
        <w:widowControl w:val="0"/>
        <w:autoSpaceDE w:val="0"/>
        <w:autoSpaceDN w:val="0"/>
        <w:adjustRightInd w:val="0"/>
      </w:pPr>
    </w:p>
    <w:p w:rsidR="00810DFC" w:rsidRPr="002E7A22" w:rsidRDefault="00810DFC" w:rsidP="00A56C46">
      <w:pPr>
        <w:jc w:val="both"/>
      </w:pPr>
    </w:p>
    <w:sectPr w:rsidR="00810DFC" w:rsidRPr="002E7A22" w:rsidSect="00A56C46">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D09" w:rsidRDefault="00A85D09" w:rsidP="00117666">
      <w:pPr>
        <w:spacing w:after="0"/>
      </w:pPr>
      <w:r>
        <w:separator/>
      </w:r>
    </w:p>
  </w:endnote>
  <w:endnote w:type="continuationSeparator" w:id="1">
    <w:p w:rsidR="00A85D09" w:rsidRDefault="00A85D09" w:rsidP="001176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C6" w:rsidRPr="00577C4C" w:rsidRDefault="00A23EBF">
    <w:pPr>
      <w:pStyle w:val="Footer"/>
      <w:rPr>
        <w:color w:val="C00000"/>
        <w:szCs w:val="24"/>
      </w:rPr>
    </w:pPr>
    <w:r w:rsidRPr="00A23EBF">
      <w:rPr>
        <w:noProof/>
        <w:lang w:val="en-GB" w:eastAsia="en-GB"/>
      </w:rPr>
      <w:pict>
        <v:shapetype id="_x0000_t202" coordsize="21600,21600" o:spt="202" path="m,l,21600r21600,l21600,xe">
          <v:stroke joinstyle="miter"/>
          <v:path gradientshapeok="t" o:connecttype="rect"/>
        </v:shapetype>
        <v:shape id="Text Box 1" o:spid="_x0000_s4098" type="#_x0000_t202" style="position:absolute;margin-left:146.4pt;margin-top:0;width:118.8pt;height:31.15pt;z-index:251665408;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" filled="f" stroked="f" strokeweight=".5pt">
          <v:textbox style="mso-fit-shape-to-text:t">
            <w:txbxContent>
              <w:p w:rsidR="006750C6" w:rsidRPr="00577C4C" w:rsidRDefault="00A23EBF">
                <w:pPr>
                  <w:pStyle w:val="Footer"/>
                  <w:jc w:val="right"/>
                  <w:rPr>
                    <w:color w:val="000000" w:themeColor="text1"/>
                    <w:szCs w:val="40"/>
                  </w:rPr>
                </w:pPr>
                <w:r w:rsidRPr="00577C4C">
                  <w:rPr>
                    <w:color w:val="000000" w:themeColor="text1"/>
                    <w:szCs w:val="40"/>
                  </w:rPr>
                  <w:fldChar w:fldCharType="begin"/>
                </w:r>
                <w:r w:rsidR="006750C6" w:rsidRPr="00577C4C">
                  <w:rPr>
                    <w:color w:val="000000" w:themeColor="text1"/>
                    <w:szCs w:val="40"/>
                  </w:rPr>
                  <w:instrText xml:space="preserve"> PAGE  \* Arabic  \* MERGEFORMAT </w:instrText>
                </w:r>
                <w:r w:rsidRPr="00577C4C">
                  <w:rPr>
                    <w:color w:val="000000" w:themeColor="text1"/>
                    <w:szCs w:val="40"/>
                  </w:rPr>
                  <w:fldChar w:fldCharType="separate"/>
                </w:r>
                <w:r w:rsidR="00555266" w:rsidRPr="00555266">
                  <w:rPr>
                    <w:noProof/>
                    <w:color w:val="000000" w:themeColor="text1"/>
                    <w:sz w:val="22"/>
                    <w:szCs w:val="40"/>
                  </w:rPr>
                  <w:t>6</w:t>
                </w:r>
                <w:r w:rsidRPr="00577C4C">
                  <w:rPr>
                    <w:color w:val="000000" w:themeColor="text1"/>
                    <w:szCs w:val="40"/>
                  </w:rPr>
                  <w:fldChar w:fldCharType="end"/>
                </w:r>
              </w:p>
            </w:txbxContent>
          </v:textbox>
          <w10:wrap anchorx="margin"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C6" w:rsidRPr="00577C4C" w:rsidRDefault="00A23EBF">
    <w:pPr>
      <w:pStyle w:val="Footer"/>
      <w:rPr>
        <w:b/>
        <w:sz w:val="20"/>
        <w:szCs w:val="24"/>
      </w:rPr>
    </w:pPr>
    <w:r w:rsidRPr="00A23EBF">
      <w:rPr>
        <w:noProof/>
        <w:lang w:val="en-GB" w:eastAsia="en-GB"/>
      </w:rPr>
      <w:pict>
        <v:shapetype id="_x0000_t202" coordsize="21600,21600" o:spt="202" path="m,l,21600r21600,l21600,xe">
          <v:stroke joinstyle="miter"/>
          <v:path gradientshapeok="t" o:connecttype="rect"/>
        </v:shapetype>
        <v:shape id="Text Box 56" o:spid="_x0000_s4097" type="#_x0000_t202" style="position:absolute;margin-left:146.4pt;margin-top:0;width:118.8pt;height:31.15pt;z-index:251646976;visibility:visible;mso-position-horizontal:right;mso-position-horizontal-relative:margin;mso-position-vertical:top;mso-position-vertical-relative:bottom-margin-area;mso-width-relative:margin;mso-height-relative:margin" filled="f" stroked="f" strokeweight=".5pt">
          <v:textbox style="mso-fit-shape-to-text:t">
            <w:txbxContent>
              <w:p w:rsidR="006750C6" w:rsidRPr="00577C4C" w:rsidRDefault="00A23EBF">
                <w:pPr>
                  <w:pStyle w:val="Footer"/>
                  <w:jc w:val="right"/>
                  <w:rPr>
                    <w:color w:val="000000" w:themeColor="text1"/>
                    <w:szCs w:val="40"/>
                  </w:rPr>
                </w:pPr>
                <w:r w:rsidRPr="00577C4C">
                  <w:rPr>
                    <w:color w:val="000000" w:themeColor="text1"/>
                    <w:szCs w:val="40"/>
                  </w:rPr>
                  <w:fldChar w:fldCharType="begin"/>
                </w:r>
                <w:r w:rsidR="006750C6" w:rsidRPr="00577C4C">
                  <w:rPr>
                    <w:color w:val="000000" w:themeColor="text1"/>
                    <w:szCs w:val="40"/>
                  </w:rPr>
                  <w:instrText xml:space="preserve"> PAGE  \* Arabic  \* MERGEFORMAT </w:instrText>
                </w:r>
                <w:r w:rsidRPr="00577C4C">
                  <w:rPr>
                    <w:color w:val="000000" w:themeColor="text1"/>
                    <w:szCs w:val="40"/>
                  </w:rPr>
                  <w:fldChar w:fldCharType="separate"/>
                </w:r>
                <w:r w:rsidR="00555266" w:rsidRPr="00555266">
                  <w:rPr>
                    <w:noProof/>
                    <w:color w:val="000000" w:themeColor="text1"/>
                    <w:sz w:val="22"/>
                    <w:szCs w:val="40"/>
                  </w:rPr>
                  <w:t>5</w:t>
                </w:r>
                <w:r w:rsidRPr="00577C4C">
                  <w:rPr>
                    <w:color w:val="000000" w:themeColor="text1"/>
                    <w:szCs w:val="40"/>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D09" w:rsidRDefault="00A85D09" w:rsidP="00117666">
      <w:pPr>
        <w:spacing w:after="0"/>
      </w:pPr>
      <w:r>
        <w:separator/>
      </w:r>
    </w:p>
  </w:footnote>
  <w:footnote w:type="continuationSeparator" w:id="1">
    <w:p w:rsidR="00A85D09" w:rsidRDefault="00A85D09" w:rsidP="0011766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C6" w:rsidRPr="007E3148" w:rsidRDefault="006750C6" w:rsidP="00A53000">
    <w:pPr>
      <w:pStyle w:val="Header"/>
    </w:pPr>
    <w:r w:rsidRPr="007E3148">
      <w:ptab w:relativeTo="margin" w:alignment="center" w:leader="none"/>
    </w:r>
    <w:r w:rsidRPr="007E3148">
      <w:ptab w:relativeTo="margin" w:alignment="right" w:leader="none"/>
    </w:r>
    <w:r w:rsidRPr="00707EE8">
      <w:t xml:space="preserve"> Zebrafish Cancer Predisposition Models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C6" w:rsidRPr="00A53000" w:rsidRDefault="006750C6" w:rsidP="00A53000">
    <w:pPr>
      <w:pStyle w:val="Header"/>
    </w:pPr>
    <w:r w:rsidRPr="007E3148">
      <w:ptab w:relativeTo="margin" w:alignment="center" w:leader="none"/>
    </w:r>
    <w:r w:rsidRPr="007E3148">
      <w:ptab w:relativeTo="margin" w:alignment="right" w:leader="none"/>
    </w:r>
    <w:r w:rsidRPr="00A53000">
      <w:t>Running Title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0C6" w:rsidRDefault="006750C6" w:rsidP="00A53000">
    <w:pPr>
      <w:pStyle w:val="Header"/>
    </w:pPr>
    <w:r w:rsidRPr="005A1D84">
      <w:rPr>
        <w:noProof/>
        <w:color w:val="A6A6A6" w:themeColor="background1" w:themeShade="A6"/>
      </w:rPr>
      <w:drawing>
        <wp:inline distT="0" distB="0" distL="0" distR="0">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1969FF"/>
    <w:multiLevelType w:val="hybridMultilevel"/>
    <w:tmpl w:val="C77C923E"/>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nsid w:val="21FD2079"/>
    <w:multiLevelType w:val="hybridMultilevel"/>
    <w:tmpl w:val="F13C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02A7CAC"/>
    <w:multiLevelType w:val="multilevel"/>
    <w:tmpl w:val="C6A8CCEA"/>
    <w:numStyleLink w:val="Headings"/>
  </w:abstractNum>
  <w:abstractNum w:abstractNumId="8">
    <w:nsid w:val="31A42F4A"/>
    <w:multiLevelType w:val="hybridMultilevel"/>
    <w:tmpl w:val="B9C8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D2244C5"/>
    <w:multiLevelType w:val="hybridMultilevel"/>
    <w:tmpl w:val="E52E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5268AF"/>
    <w:multiLevelType w:val="hybridMultilevel"/>
    <w:tmpl w:val="4CF0FFBE"/>
    <w:lvl w:ilvl="0" w:tplc="2C32D8CA">
      <w:start w:val="1"/>
      <w:numFmt w:val="bullet"/>
      <w:lvlText w:val=""/>
      <w:lvlJc w:val="left"/>
      <w:pPr>
        <w:ind w:left="360" w:hanging="360"/>
      </w:pPr>
      <w:rPr>
        <w:rFonts w:ascii="Symbol" w:hAnsi="Symbol" w:hint="default"/>
        <w:sz w:val="24"/>
        <w:szCs w:val="24"/>
      </w:rPr>
    </w:lvl>
    <w:lvl w:ilvl="1" w:tplc="E75C77A8">
      <w:start w:val="1"/>
      <w:numFmt w:val="bullet"/>
      <w:lvlText w:val="o"/>
      <w:lvlJc w:val="left"/>
      <w:pPr>
        <w:ind w:left="1080" w:hanging="360"/>
      </w:pPr>
      <w:rPr>
        <w:rFonts w:ascii="Courier New" w:hAnsi="Courier New" w:hint="default"/>
        <w:color w:val="000000" w:themeColor="text1"/>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BC6F29"/>
    <w:multiLevelType w:val="multilevel"/>
    <w:tmpl w:val="C6A8CCEA"/>
    <w:numStyleLink w:val="Headings"/>
  </w:abstractNum>
  <w:abstractNum w:abstractNumId="22">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7"/>
  </w:num>
  <w:num w:numId="3">
    <w:abstractNumId w:val="2"/>
  </w:num>
  <w:num w:numId="4">
    <w:abstractNumId w:val="2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9"/>
  </w:num>
  <w:num w:numId="9">
    <w:abstractNumId w:val="12"/>
  </w:num>
  <w:num w:numId="10">
    <w:abstractNumId w:val="10"/>
  </w:num>
  <w:num w:numId="11">
    <w:abstractNumId w:val="3"/>
  </w:num>
  <w:num w:numId="12">
    <w:abstractNumId w:val="22"/>
  </w:num>
  <w:num w:numId="13">
    <w:abstractNumId w:val="16"/>
  </w:num>
  <w:num w:numId="14">
    <w:abstractNumId w:val="6"/>
  </w:num>
  <w:num w:numId="15">
    <w:abstractNumId w:val="14"/>
  </w:num>
  <w:num w:numId="16">
    <w:abstractNumId w:val="19"/>
  </w:num>
  <w:num w:numId="17">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1"/>
  </w:num>
  <w:num w:numId="21">
    <w:abstractNumId w:val="4"/>
  </w:num>
  <w:num w:numId="22">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8"/>
  </w:num>
  <w:num w:numId="24">
    <w:abstractNumId w:val="1"/>
  </w:num>
  <w:num w:numId="25">
    <w:abstractNumId w:val="8"/>
  </w:num>
  <w:num w:numId="26">
    <w:abstractNumId w:val="15"/>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 Kobar">
    <w15:presenceInfo w15:providerId="Windows Live" w15:userId="226f78bbbfe498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trackRevisions/>
  <w:defaultTabStop w:val="720"/>
  <w:evenAndOddHeaders/>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81821"/>
    <w:rsid w:val="00034304"/>
    <w:rsid w:val="00035434"/>
    <w:rsid w:val="00043358"/>
    <w:rsid w:val="00045678"/>
    <w:rsid w:val="000458E4"/>
    <w:rsid w:val="00063D84"/>
    <w:rsid w:val="0006636D"/>
    <w:rsid w:val="00066624"/>
    <w:rsid w:val="00077D53"/>
    <w:rsid w:val="00081394"/>
    <w:rsid w:val="000823A6"/>
    <w:rsid w:val="000A18DC"/>
    <w:rsid w:val="000B34BD"/>
    <w:rsid w:val="000B5836"/>
    <w:rsid w:val="000C65ED"/>
    <w:rsid w:val="000C7E2A"/>
    <w:rsid w:val="000D172D"/>
    <w:rsid w:val="000F4520"/>
    <w:rsid w:val="000F4CFB"/>
    <w:rsid w:val="00116D55"/>
    <w:rsid w:val="00117666"/>
    <w:rsid w:val="001223A7"/>
    <w:rsid w:val="0012399C"/>
    <w:rsid w:val="00132371"/>
    <w:rsid w:val="00134256"/>
    <w:rsid w:val="00146528"/>
    <w:rsid w:val="00147395"/>
    <w:rsid w:val="001552C9"/>
    <w:rsid w:val="00177D84"/>
    <w:rsid w:val="001913AA"/>
    <w:rsid w:val="001964EF"/>
    <w:rsid w:val="001B1A2C"/>
    <w:rsid w:val="001C19A0"/>
    <w:rsid w:val="001D37BF"/>
    <w:rsid w:val="001D5C23"/>
    <w:rsid w:val="001E0F4F"/>
    <w:rsid w:val="001F4C07"/>
    <w:rsid w:val="001F79C2"/>
    <w:rsid w:val="0021011E"/>
    <w:rsid w:val="00220AEA"/>
    <w:rsid w:val="00226954"/>
    <w:rsid w:val="002301DB"/>
    <w:rsid w:val="0025031A"/>
    <w:rsid w:val="002629A3"/>
    <w:rsid w:val="00265660"/>
    <w:rsid w:val="00267D18"/>
    <w:rsid w:val="00274474"/>
    <w:rsid w:val="002868E2"/>
    <w:rsid w:val="002869C3"/>
    <w:rsid w:val="002936E4"/>
    <w:rsid w:val="00296B88"/>
    <w:rsid w:val="002A6C4B"/>
    <w:rsid w:val="002C048F"/>
    <w:rsid w:val="002C74CA"/>
    <w:rsid w:val="002D5834"/>
    <w:rsid w:val="002D676A"/>
    <w:rsid w:val="002E6D06"/>
    <w:rsid w:val="002F744D"/>
    <w:rsid w:val="00303DE6"/>
    <w:rsid w:val="00310124"/>
    <w:rsid w:val="003544FB"/>
    <w:rsid w:val="0036452A"/>
    <w:rsid w:val="00365D63"/>
    <w:rsid w:val="0036793B"/>
    <w:rsid w:val="00372682"/>
    <w:rsid w:val="00376CC5"/>
    <w:rsid w:val="0039693B"/>
    <w:rsid w:val="003C3829"/>
    <w:rsid w:val="003C5BEE"/>
    <w:rsid w:val="003D130B"/>
    <w:rsid w:val="003D2F2D"/>
    <w:rsid w:val="003D64E4"/>
    <w:rsid w:val="00401590"/>
    <w:rsid w:val="00422C94"/>
    <w:rsid w:val="00431198"/>
    <w:rsid w:val="004477B4"/>
    <w:rsid w:val="004602AF"/>
    <w:rsid w:val="00463E3D"/>
    <w:rsid w:val="004645AE"/>
    <w:rsid w:val="00486ADC"/>
    <w:rsid w:val="004C29EE"/>
    <w:rsid w:val="004D3E33"/>
    <w:rsid w:val="004E16D1"/>
    <w:rsid w:val="004E44AA"/>
    <w:rsid w:val="00503437"/>
    <w:rsid w:val="00514306"/>
    <w:rsid w:val="005250F2"/>
    <w:rsid w:val="00527865"/>
    <w:rsid w:val="00555266"/>
    <w:rsid w:val="005962C7"/>
    <w:rsid w:val="005A1D84"/>
    <w:rsid w:val="005A5EEC"/>
    <w:rsid w:val="005A70EA"/>
    <w:rsid w:val="005C06B6"/>
    <w:rsid w:val="005C3963"/>
    <w:rsid w:val="005D1840"/>
    <w:rsid w:val="005D35E4"/>
    <w:rsid w:val="005D7910"/>
    <w:rsid w:val="005E4DB2"/>
    <w:rsid w:val="005F2594"/>
    <w:rsid w:val="0062154F"/>
    <w:rsid w:val="006259E9"/>
    <w:rsid w:val="00631A8C"/>
    <w:rsid w:val="00632FC6"/>
    <w:rsid w:val="00651CA2"/>
    <w:rsid w:val="00653D60"/>
    <w:rsid w:val="00660D05"/>
    <w:rsid w:val="006640FD"/>
    <w:rsid w:val="00665085"/>
    <w:rsid w:val="00671D9A"/>
    <w:rsid w:val="00673952"/>
    <w:rsid w:val="006750C6"/>
    <w:rsid w:val="0068074A"/>
    <w:rsid w:val="00681821"/>
    <w:rsid w:val="00686C9D"/>
    <w:rsid w:val="006B2D5B"/>
    <w:rsid w:val="006B7D14"/>
    <w:rsid w:val="006C2051"/>
    <w:rsid w:val="006C2A97"/>
    <w:rsid w:val="006D5B93"/>
    <w:rsid w:val="00702903"/>
    <w:rsid w:val="00707EE8"/>
    <w:rsid w:val="00725A7D"/>
    <w:rsid w:val="0073085C"/>
    <w:rsid w:val="00733784"/>
    <w:rsid w:val="00737C47"/>
    <w:rsid w:val="00746505"/>
    <w:rsid w:val="00756BA7"/>
    <w:rsid w:val="00760CF3"/>
    <w:rsid w:val="00790BB3"/>
    <w:rsid w:val="00792043"/>
    <w:rsid w:val="007947C4"/>
    <w:rsid w:val="00797EDD"/>
    <w:rsid w:val="007B0322"/>
    <w:rsid w:val="007C0E3F"/>
    <w:rsid w:val="007C206C"/>
    <w:rsid w:val="007C5729"/>
    <w:rsid w:val="007D3FF3"/>
    <w:rsid w:val="007F4029"/>
    <w:rsid w:val="00800B19"/>
    <w:rsid w:val="00804660"/>
    <w:rsid w:val="00810DFC"/>
    <w:rsid w:val="008111E4"/>
    <w:rsid w:val="0081301C"/>
    <w:rsid w:val="00817DD6"/>
    <w:rsid w:val="008605A5"/>
    <w:rsid w:val="008618F6"/>
    <w:rsid w:val="008629A9"/>
    <w:rsid w:val="00874DC2"/>
    <w:rsid w:val="0087736F"/>
    <w:rsid w:val="0088513A"/>
    <w:rsid w:val="00893C19"/>
    <w:rsid w:val="008959F6"/>
    <w:rsid w:val="008974C1"/>
    <w:rsid w:val="008A4F5C"/>
    <w:rsid w:val="008C186A"/>
    <w:rsid w:val="008D030D"/>
    <w:rsid w:val="008D6C8D"/>
    <w:rsid w:val="008E2B54"/>
    <w:rsid w:val="008E3DCC"/>
    <w:rsid w:val="008E4404"/>
    <w:rsid w:val="008E58C7"/>
    <w:rsid w:val="008F5021"/>
    <w:rsid w:val="008F7ADC"/>
    <w:rsid w:val="00902FCC"/>
    <w:rsid w:val="0094165C"/>
    <w:rsid w:val="00943573"/>
    <w:rsid w:val="009714B4"/>
    <w:rsid w:val="00971B61"/>
    <w:rsid w:val="00980C31"/>
    <w:rsid w:val="0098791F"/>
    <w:rsid w:val="009955FF"/>
    <w:rsid w:val="009D259D"/>
    <w:rsid w:val="009F6003"/>
    <w:rsid w:val="00A14DC0"/>
    <w:rsid w:val="00A2044F"/>
    <w:rsid w:val="00A23EBF"/>
    <w:rsid w:val="00A50D9D"/>
    <w:rsid w:val="00A53000"/>
    <w:rsid w:val="00A545C6"/>
    <w:rsid w:val="00A56C46"/>
    <w:rsid w:val="00A652D0"/>
    <w:rsid w:val="00A75F87"/>
    <w:rsid w:val="00A85D09"/>
    <w:rsid w:val="00A95D8B"/>
    <w:rsid w:val="00AA25B2"/>
    <w:rsid w:val="00AC0270"/>
    <w:rsid w:val="00AC3EA3"/>
    <w:rsid w:val="00AC56E4"/>
    <w:rsid w:val="00AC792D"/>
    <w:rsid w:val="00AE1AD3"/>
    <w:rsid w:val="00AF61F5"/>
    <w:rsid w:val="00B015A6"/>
    <w:rsid w:val="00B0356D"/>
    <w:rsid w:val="00B370B1"/>
    <w:rsid w:val="00B45264"/>
    <w:rsid w:val="00B657B8"/>
    <w:rsid w:val="00B70E43"/>
    <w:rsid w:val="00B76F13"/>
    <w:rsid w:val="00B84920"/>
    <w:rsid w:val="00B8556A"/>
    <w:rsid w:val="00B95E99"/>
    <w:rsid w:val="00B97458"/>
    <w:rsid w:val="00BA087D"/>
    <w:rsid w:val="00BD44D7"/>
    <w:rsid w:val="00BD79FA"/>
    <w:rsid w:val="00BF4C38"/>
    <w:rsid w:val="00BF639B"/>
    <w:rsid w:val="00C012A3"/>
    <w:rsid w:val="00C16F19"/>
    <w:rsid w:val="00C34779"/>
    <w:rsid w:val="00C47EA0"/>
    <w:rsid w:val="00C52A7B"/>
    <w:rsid w:val="00C6324C"/>
    <w:rsid w:val="00C679AA"/>
    <w:rsid w:val="00C724CF"/>
    <w:rsid w:val="00C75972"/>
    <w:rsid w:val="00C82792"/>
    <w:rsid w:val="00C948FD"/>
    <w:rsid w:val="00CB43D5"/>
    <w:rsid w:val="00CB57A5"/>
    <w:rsid w:val="00CC6512"/>
    <w:rsid w:val="00CC76F9"/>
    <w:rsid w:val="00CD066B"/>
    <w:rsid w:val="00CD46E2"/>
    <w:rsid w:val="00CE371C"/>
    <w:rsid w:val="00D00D0B"/>
    <w:rsid w:val="00D02AE9"/>
    <w:rsid w:val="00D0428B"/>
    <w:rsid w:val="00D04B69"/>
    <w:rsid w:val="00D4134A"/>
    <w:rsid w:val="00D537FA"/>
    <w:rsid w:val="00D5547D"/>
    <w:rsid w:val="00D5731A"/>
    <w:rsid w:val="00D80D99"/>
    <w:rsid w:val="00D850EB"/>
    <w:rsid w:val="00D92DEF"/>
    <w:rsid w:val="00D9503C"/>
    <w:rsid w:val="00DC23B6"/>
    <w:rsid w:val="00DC3AA2"/>
    <w:rsid w:val="00DD011A"/>
    <w:rsid w:val="00DD73EF"/>
    <w:rsid w:val="00DD7C4F"/>
    <w:rsid w:val="00DE23E8"/>
    <w:rsid w:val="00E0128B"/>
    <w:rsid w:val="00E61F3F"/>
    <w:rsid w:val="00E64E17"/>
    <w:rsid w:val="00E72121"/>
    <w:rsid w:val="00E90855"/>
    <w:rsid w:val="00EA3D3C"/>
    <w:rsid w:val="00EA6C19"/>
    <w:rsid w:val="00EB558D"/>
    <w:rsid w:val="00EC7CC3"/>
    <w:rsid w:val="00ED4849"/>
    <w:rsid w:val="00EF02B9"/>
    <w:rsid w:val="00F07D5F"/>
    <w:rsid w:val="00F22DCC"/>
    <w:rsid w:val="00F22EBF"/>
    <w:rsid w:val="00F23C83"/>
    <w:rsid w:val="00F46494"/>
    <w:rsid w:val="00F46636"/>
    <w:rsid w:val="00F558AB"/>
    <w:rsid w:val="00F61D89"/>
    <w:rsid w:val="00F70C5B"/>
    <w:rsid w:val="00F840A7"/>
    <w:rsid w:val="00F854A2"/>
    <w:rsid w:val="00F86ABB"/>
    <w:rsid w:val="00F97801"/>
    <w:rsid w:val="00FA63D6"/>
    <w:rsid w:val="00FC4D70"/>
    <w:rsid w:val="00FD7648"/>
    <w:rsid w:val="00FF69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2" w:qFormat="1"/>
    <w:lsdException w:name="heading 5" w:uiPriority="2"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9"/>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5D1840"/>
    <w:rPr>
      <w:rFonts w:ascii="Times New Roman" w:eastAsiaTheme="majorEastAsia" w:hAnsi="Times New Roman" w:cstheme="majorBidi"/>
      <w:b/>
      <w:sz w:val="24"/>
      <w:szCs w:val="24"/>
    </w:rPr>
  </w:style>
  <w:style w:type="paragraph" w:styleId="NoSpacing">
    <w:name w:val="No Spacing"/>
    <w:uiPriority w:val="1"/>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UnresolvedMention">
    <w:name w:val="Unresolved Mention"/>
    <w:basedOn w:val="DefaultParagraphFont"/>
    <w:uiPriority w:val="99"/>
    <w:semiHidden/>
    <w:unhideWhenUsed/>
    <w:rsid w:val="00810DFC"/>
    <w:rPr>
      <w:color w:val="605E5C"/>
      <w:shd w:val="clear" w:color="auto" w:fill="E1DFDD"/>
    </w:rPr>
  </w:style>
  <w:style w:type="character" w:customStyle="1" w:styleId="apple-converted-space">
    <w:name w:val="apple-converted-space"/>
    <w:basedOn w:val="DefaultParagraphFont"/>
    <w:rsid w:val="00810DFC"/>
  </w:style>
  <w:style w:type="character" w:customStyle="1" w:styleId="highwire-citation-authors">
    <w:name w:val="highwire-citation-authors"/>
    <w:basedOn w:val="DefaultParagraphFont"/>
    <w:rsid w:val="00810DFC"/>
  </w:style>
  <w:style w:type="character" w:customStyle="1" w:styleId="nlm-given-names">
    <w:name w:val="nlm-given-names"/>
    <w:basedOn w:val="DefaultParagraphFont"/>
    <w:rsid w:val="00810DFC"/>
  </w:style>
  <w:style w:type="character" w:customStyle="1" w:styleId="nlm-surname">
    <w:name w:val="nlm-surname"/>
    <w:basedOn w:val="DefaultParagraphFont"/>
    <w:rsid w:val="00810DFC"/>
  </w:style>
  <w:style w:type="character" w:customStyle="1" w:styleId="highwire-cite-metadata-journal">
    <w:name w:val="highwire-cite-metadata-journal"/>
    <w:basedOn w:val="DefaultParagraphFont"/>
    <w:rsid w:val="00810DFC"/>
  </w:style>
  <w:style w:type="character" w:customStyle="1" w:styleId="highwire-cite-metadata-date">
    <w:name w:val="highwire-cite-metadata-date"/>
    <w:basedOn w:val="DefaultParagraphFont"/>
    <w:rsid w:val="00810DFC"/>
  </w:style>
  <w:style w:type="character" w:customStyle="1" w:styleId="highwire-cite-metadata-volume">
    <w:name w:val="highwire-cite-metadata-volume"/>
    <w:basedOn w:val="DefaultParagraphFont"/>
    <w:rsid w:val="00810DFC"/>
  </w:style>
  <w:style w:type="character" w:customStyle="1" w:styleId="highwire-cite-metadata-issue">
    <w:name w:val="highwire-cite-metadata-issue"/>
    <w:basedOn w:val="DefaultParagraphFont"/>
    <w:rsid w:val="00810DFC"/>
  </w:style>
  <w:style w:type="character" w:customStyle="1" w:styleId="highwire-cite-metadata-pages">
    <w:name w:val="highwire-cite-metadata-pages"/>
    <w:basedOn w:val="DefaultParagraphFont"/>
    <w:rsid w:val="00810DFC"/>
  </w:style>
  <w:style w:type="character" w:customStyle="1" w:styleId="highwire-cite-metadata-doi">
    <w:name w:val="highwire-cite-metadata-doi"/>
    <w:basedOn w:val="DefaultParagraphFont"/>
    <w:rsid w:val="00810DFC"/>
  </w:style>
  <w:style w:type="character" w:customStyle="1" w:styleId="label">
    <w:name w:val="label"/>
    <w:basedOn w:val="DefaultParagraphFont"/>
    <w:rsid w:val="00810DFC"/>
  </w:style>
  <w:style w:type="character" w:customStyle="1" w:styleId="highwire-citation-author">
    <w:name w:val="highwire-citation-author"/>
    <w:basedOn w:val="DefaultParagraphFont"/>
    <w:rsid w:val="00810DFC"/>
  </w:style>
  <w:style w:type="character" w:customStyle="1" w:styleId="highwire-cite-metadata-journal-title">
    <w:name w:val="highwire-cite-metadata-journal-title"/>
    <w:basedOn w:val="DefaultParagraphFont"/>
    <w:rsid w:val="00810DFC"/>
  </w:style>
  <w:style w:type="character" w:customStyle="1" w:styleId="author">
    <w:name w:val="author"/>
    <w:basedOn w:val="DefaultParagraphFont"/>
    <w:rsid w:val="00810DFC"/>
  </w:style>
  <w:style w:type="character" w:customStyle="1" w:styleId="pubyear">
    <w:name w:val="pubyear"/>
    <w:basedOn w:val="DefaultParagraphFont"/>
    <w:rsid w:val="00810DFC"/>
  </w:style>
  <w:style w:type="character" w:customStyle="1" w:styleId="articletitle">
    <w:name w:val="articletitle"/>
    <w:basedOn w:val="DefaultParagraphFont"/>
    <w:rsid w:val="00810DFC"/>
  </w:style>
  <w:style w:type="character" w:customStyle="1" w:styleId="journaltitle">
    <w:name w:val="journaltitle"/>
    <w:basedOn w:val="DefaultParagraphFont"/>
    <w:rsid w:val="00810DFC"/>
  </w:style>
  <w:style w:type="character" w:customStyle="1" w:styleId="vol">
    <w:name w:val="vol"/>
    <w:basedOn w:val="DefaultParagraphFont"/>
    <w:rsid w:val="00810DFC"/>
  </w:style>
  <w:style w:type="character" w:customStyle="1" w:styleId="pagefirst">
    <w:name w:val="pagefirst"/>
    <w:basedOn w:val="DefaultParagraphFont"/>
    <w:rsid w:val="00810DFC"/>
  </w:style>
  <w:style w:type="character" w:customStyle="1" w:styleId="pagelast">
    <w:name w:val="pagelast"/>
    <w:basedOn w:val="DefaultParagraphFont"/>
    <w:rsid w:val="00810DFC"/>
  </w:style>
  <w:style w:type="character" w:customStyle="1" w:styleId="ref-journal">
    <w:name w:val="ref-journal"/>
    <w:basedOn w:val="DefaultParagraphFont"/>
    <w:rsid w:val="00810DFC"/>
  </w:style>
  <w:style w:type="character" w:customStyle="1" w:styleId="ref-vol">
    <w:name w:val="ref-vol"/>
    <w:basedOn w:val="DefaultParagraphFont"/>
    <w:rsid w:val="00810DFC"/>
  </w:style>
  <w:style w:type="character" w:customStyle="1" w:styleId="UnresolvedMention1">
    <w:name w:val="Unresolved Mention1"/>
    <w:basedOn w:val="DefaultParagraphFont"/>
    <w:uiPriority w:val="99"/>
    <w:semiHidden/>
    <w:unhideWhenUsed/>
    <w:rsid w:val="00810DFC"/>
    <w:rPr>
      <w:color w:val="605E5C"/>
      <w:shd w:val="clear" w:color="auto" w:fill="E1DFDD"/>
    </w:rPr>
  </w:style>
  <w:style w:type="character" w:customStyle="1" w:styleId="nlmstring-name">
    <w:name w:val="nlm_string-name"/>
    <w:basedOn w:val="DefaultParagraphFont"/>
    <w:rsid w:val="00810DFC"/>
  </w:style>
  <w:style w:type="character" w:customStyle="1" w:styleId="journalname">
    <w:name w:val="journalname"/>
    <w:basedOn w:val="DefaultParagraphFont"/>
    <w:rsid w:val="00810DFC"/>
  </w:style>
  <w:style w:type="character" w:customStyle="1" w:styleId="year">
    <w:name w:val="year"/>
    <w:basedOn w:val="DefaultParagraphFont"/>
    <w:rsid w:val="00810DFC"/>
  </w:style>
  <w:style w:type="character" w:customStyle="1" w:styleId="volume">
    <w:name w:val="volume"/>
    <w:basedOn w:val="DefaultParagraphFont"/>
    <w:rsid w:val="00810DFC"/>
  </w:style>
  <w:style w:type="character" w:customStyle="1" w:styleId="issue">
    <w:name w:val="issue"/>
    <w:basedOn w:val="DefaultParagraphFont"/>
    <w:rsid w:val="00810DFC"/>
  </w:style>
  <w:style w:type="character" w:customStyle="1" w:styleId="page">
    <w:name w:val="page"/>
    <w:basedOn w:val="DefaultParagraphFont"/>
    <w:rsid w:val="00810DFC"/>
  </w:style>
  <w:style w:type="character" w:customStyle="1" w:styleId="element-citation">
    <w:name w:val="element-citation"/>
    <w:basedOn w:val="DefaultParagraphFont"/>
    <w:rsid w:val="00810DFC"/>
  </w:style>
  <w:style w:type="character" w:styleId="PlaceholderText">
    <w:name w:val="Placeholder Text"/>
    <w:basedOn w:val="DefaultParagraphFont"/>
    <w:uiPriority w:val="99"/>
    <w:semiHidden/>
    <w:rsid w:val="00810DFC"/>
    <w:rPr>
      <w:color w:val="808080"/>
    </w:rPr>
  </w:style>
  <w:style w:type="character" w:customStyle="1" w:styleId="UnresolvedMention2">
    <w:name w:val="Unresolved Mention2"/>
    <w:basedOn w:val="DefaultParagraphFont"/>
    <w:uiPriority w:val="99"/>
    <w:semiHidden/>
    <w:unhideWhenUsed/>
    <w:rsid w:val="00810DF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65287246">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23499156">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7295280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268804687">
      <w:bodyDiv w:val="1"/>
      <w:marLeft w:val="0"/>
      <w:marRight w:val="0"/>
      <w:marTop w:val="0"/>
      <w:marBottom w:val="0"/>
      <w:divBdr>
        <w:top w:val="none" w:sz="0" w:space="0" w:color="auto"/>
        <w:left w:val="none" w:sz="0" w:space="0" w:color="auto"/>
        <w:bottom w:val="none" w:sz="0" w:space="0" w:color="auto"/>
        <w:right w:val="none" w:sz="0" w:space="0" w:color="auto"/>
      </w:divBdr>
    </w:div>
    <w:div w:id="1338800495">
      <w:bodyDiv w:val="1"/>
      <w:marLeft w:val="0"/>
      <w:marRight w:val="0"/>
      <w:marTop w:val="0"/>
      <w:marBottom w:val="0"/>
      <w:divBdr>
        <w:top w:val="none" w:sz="0" w:space="0" w:color="auto"/>
        <w:left w:val="none" w:sz="0" w:space="0" w:color="auto"/>
        <w:bottom w:val="none" w:sz="0" w:space="0" w:color="auto"/>
        <w:right w:val="none" w:sz="0" w:space="0" w:color="auto"/>
      </w:divBdr>
    </w:div>
    <w:div w:id="1365210794">
      <w:bodyDiv w:val="1"/>
      <w:marLeft w:val="0"/>
      <w:marRight w:val="0"/>
      <w:marTop w:val="0"/>
      <w:marBottom w:val="0"/>
      <w:divBdr>
        <w:top w:val="none" w:sz="0" w:space="0" w:color="auto"/>
        <w:left w:val="none" w:sz="0" w:space="0" w:color="auto"/>
        <w:bottom w:val="none" w:sz="0" w:space="0" w:color="auto"/>
        <w:right w:val="none" w:sz="0" w:space="0" w:color="auto"/>
      </w:divBdr>
    </w:div>
    <w:div w:id="1519585537">
      <w:bodyDiv w:val="1"/>
      <w:marLeft w:val="0"/>
      <w:marRight w:val="0"/>
      <w:marTop w:val="0"/>
      <w:marBottom w:val="0"/>
      <w:divBdr>
        <w:top w:val="none" w:sz="0" w:space="0" w:color="auto"/>
        <w:left w:val="none" w:sz="0" w:space="0" w:color="auto"/>
        <w:bottom w:val="none" w:sz="0" w:space="0" w:color="auto"/>
        <w:right w:val="none" w:sz="0" w:space="0" w:color="auto"/>
      </w:divBdr>
    </w:div>
    <w:div w:id="1696884960">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B8B29C5-C39B-41C8-9567-444369AD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1</TotalTime>
  <Pages>6</Pages>
  <Words>15570</Words>
  <Characters>88749</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Kobar</dc:creator>
  <cp:keywords/>
  <dc:description/>
  <cp:lastModifiedBy>Selvam Chinnaiah</cp:lastModifiedBy>
  <cp:revision>3</cp:revision>
  <cp:lastPrinted>2013-10-03T12:51:00Z</cp:lastPrinted>
  <dcterms:created xsi:type="dcterms:W3CDTF">2021-04-04T17:40:00Z</dcterms:created>
  <dcterms:modified xsi:type="dcterms:W3CDTF">2021-04-11T04:19:00Z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31a7096e-26e3-3a02-b588-79b1f07ef8ed</vt:lpwstr>
  </property>
  <property fmtid="{D5CDD505-2E9C-101B-9397-08002B2CF9AE}" pid="4" name="Mendeley Citation Style_1">
    <vt:lpwstr>http://www.zotero.org/styles/frontiers-in-cell-and-developmental-biology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http://www.zotero.org/styles/the-journal-of-clinical-investigation</vt:lpwstr>
  </property>
  <property fmtid="{D5CDD505-2E9C-101B-9397-08002B2CF9AE}" pid="24" name="Mendeley Recent Style Name 9_1">
    <vt:lpwstr>The Journal of Clinical Investigation</vt:lpwstr>
  </property>
</Properties>
</file>