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43229B" w14:textId="18AE0C00" w:rsidR="00AC2390" w:rsidRPr="007F40AD" w:rsidRDefault="00AC2390" w:rsidP="00AC2390">
      <w:pPr>
        <w:spacing w:line="480" w:lineRule="auto"/>
        <w:jc w:val="both"/>
        <w:rPr>
          <w:rFonts w:asciiTheme="minorHAnsi" w:hAnsiTheme="minorHAnsi" w:cstheme="minorHAnsi"/>
          <w:b/>
          <w:bCs/>
          <w:sz w:val="20"/>
          <w:szCs w:val="20"/>
        </w:rPr>
      </w:pPr>
      <w:r>
        <w:rPr>
          <w:noProof/>
        </w:rPr>
        <mc:AlternateContent>
          <mc:Choice Requires="wps">
            <w:drawing>
              <wp:anchor distT="0" distB="0" distL="114300" distR="114300" simplePos="0" relativeHeight="251662336" behindDoc="0" locked="0" layoutInCell="1" allowOverlap="1" wp14:anchorId="680F1804" wp14:editId="6AE6E627">
                <wp:simplePos x="0" y="0"/>
                <wp:positionH relativeFrom="column">
                  <wp:posOffset>-50800</wp:posOffset>
                </wp:positionH>
                <wp:positionV relativeFrom="paragraph">
                  <wp:posOffset>186055</wp:posOffset>
                </wp:positionV>
                <wp:extent cx="1828800" cy="18288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3CBF4EE4" w14:textId="77777777" w:rsidR="00AC2390" w:rsidRDefault="00AC2390" w:rsidP="00AC2390">
                            <w:pPr>
                              <w:spacing w:line="480" w:lineRule="auto"/>
                              <w:jc w:val="both"/>
                              <w:rPr>
                                <w:rFonts w:asciiTheme="minorHAnsi" w:hAnsiTheme="minorHAnsi" w:cstheme="minorHAnsi"/>
                                <w:b/>
                                <w:bCs/>
                                <w:sz w:val="20"/>
                                <w:szCs w:val="20"/>
                              </w:rPr>
                            </w:pPr>
                            <w:r w:rsidRPr="00F85313">
                              <w:rPr>
                                <w:rFonts w:asciiTheme="minorHAnsi" w:hAnsiTheme="minorHAnsi" w:cstheme="minorHAnsi"/>
                                <w:b/>
                                <w:bCs/>
                                <w:sz w:val="20"/>
                                <w:szCs w:val="20"/>
                              </w:rPr>
                              <w:t>Supplemental Information</w:t>
                            </w:r>
                          </w:p>
                          <w:p w14:paraId="12426875" w14:textId="77777777" w:rsidR="00AC2390" w:rsidRPr="000A0308" w:rsidRDefault="00AC2390" w:rsidP="00AC2390">
                            <w:pPr>
                              <w:spacing w:line="480" w:lineRule="auto"/>
                              <w:jc w:val="both"/>
                              <w:rPr>
                                <w:rFonts w:cstheme="minorHAnsi"/>
                                <w:b/>
                                <w:bCs/>
                                <w:sz w:val="20"/>
                                <w:szCs w:val="20"/>
                              </w:rPr>
                            </w:pPr>
                            <w:r w:rsidRPr="00F85313">
                              <w:rPr>
                                <w:rFonts w:asciiTheme="minorHAnsi" w:hAnsiTheme="minorHAnsi" w:cstheme="minorHAnsi"/>
                                <w:b/>
                                <w:bCs/>
                                <w:sz w:val="20"/>
                                <w:szCs w:val="20"/>
                              </w:rPr>
                              <w:t>Supplement</w:t>
                            </w:r>
                            <w:r>
                              <w:rPr>
                                <w:rFonts w:asciiTheme="minorHAnsi" w:hAnsiTheme="minorHAnsi" w:cstheme="minorHAnsi"/>
                                <w:b/>
                                <w:bCs/>
                                <w:sz w:val="20"/>
                                <w:szCs w:val="20"/>
                              </w:rPr>
                              <w:t>al</w:t>
                            </w:r>
                            <w:r w:rsidRPr="00F85313">
                              <w:rPr>
                                <w:rFonts w:asciiTheme="minorHAnsi" w:hAnsiTheme="minorHAnsi" w:cstheme="minorHAnsi"/>
                                <w:b/>
                                <w:bCs/>
                                <w:sz w:val="20"/>
                                <w:szCs w:val="20"/>
                              </w:rPr>
                              <w:t xml:space="preserve"> Table </w:t>
                            </w:r>
                            <w:r>
                              <w:rPr>
                                <w:rFonts w:asciiTheme="minorHAnsi" w:hAnsiTheme="minorHAnsi" w:cstheme="minorHAnsi"/>
                                <w:b/>
                                <w:bCs/>
                                <w:sz w:val="20"/>
                                <w:szCs w:val="20"/>
                              </w:rPr>
                              <w:t>S</w:t>
                            </w:r>
                            <w:r w:rsidRPr="00F85313">
                              <w:rPr>
                                <w:rFonts w:asciiTheme="minorHAnsi" w:hAnsiTheme="minorHAnsi" w:cstheme="minorHAnsi"/>
                                <w:b/>
                                <w:bCs/>
                                <w:sz w:val="20"/>
                                <w:szCs w:val="20"/>
                              </w:rPr>
                              <w:t xml:space="preserve">1. </w:t>
                            </w:r>
                            <w:r w:rsidRPr="00F85313">
                              <w:rPr>
                                <w:rFonts w:asciiTheme="minorHAnsi" w:hAnsiTheme="minorHAnsi" w:cstheme="minorHAnsi"/>
                                <w:sz w:val="20"/>
                                <w:szCs w:val="20"/>
                              </w:rPr>
                              <w:t>Average FA values (</w:t>
                            </w:r>
                            <w:r w:rsidRPr="00F85313">
                              <w:rPr>
                                <w:rFonts w:ascii="Calibri" w:hAnsi="Calibri" w:cs="Calibri"/>
                                <w:sz w:val="20"/>
                                <w:szCs w:val="20"/>
                              </w:rPr>
                              <w:t>±</w:t>
                            </w:r>
                            <w:r w:rsidRPr="00F85313">
                              <w:rPr>
                                <w:rFonts w:asciiTheme="minorHAnsi" w:hAnsiTheme="minorHAnsi" w:cstheme="minorHAnsi"/>
                                <w:sz w:val="20"/>
                                <w:szCs w:val="20"/>
                              </w:rPr>
                              <w:t xml:space="preserve"> standard deviation) for each white</w:t>
                            </w:r>
                            <w:r>
                              <w:rPr>
                                <w:rFonts w:asciiTheme="minorHAnsi" w:hAnsiTheme="minorHAnsi" w:cstheme="minorHAnsi"/>
                                <w:sz w:val="20"/>
                                <w:szCs w:val="20"/>
                              </w:rPr>
                              <w:t xml:space="preserve"> </w:t>
                            </w:r>
                            <w:r w:rsidRPr="00F85313">
                              <w:rPr>
                                <w:rFonts w:asciiTheme="minorHAnsi" w:hAnsiTheme="minorHAnsi" w:cstheme="minorHAnsi"/>
                                <w:sz w:val="20"/>
                                <w:szCs w:val="20"/>
                              </w:rPr>
                              <w:t>matter tract used in analyses.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80F1804" id="_x0000_t202" coordsize="21600,21600" o:spt="202" path="m,l,21600r21600,l21600,xe">
                <v:stroke joinstyle="miter"/>
                <v:path gradientshapeok="t" o:connecttype="rect"/>
              </v:shapetype>
              <v:shape id="Text Box 8" o:spid="_x0000_s1026" type="#_x0000_t202" style="position:absolute;left:0;text-align:left;margin-left:-4pt;margin-top:14.65pt;width:2in;height:2in;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" filled="f" stroked="f" strokeweight=".5pt">
                <v:textbox style="mso-fit-shape-to-text:t">
                  <w:txbxContent>
                    <w:p w14:paraId="3CBF4EE4" w14:textId="77777777" w:rsidR="00AC2390" w:rsidRDefault="00AC2390" w:rsidP="00AC2390">
                      <w:pPr>
                        <w:spacing w:line="480" w:lineRule="auto"/>
                        <w:jc w:val="both"/>
                        <w:rPr>
                          <w:rFonts w:asciiTheme="minorHAnsi" w:hAnsiTheme="minorHAnsi" w:cstheme="minorHAnsi"/>
                          <w:b/>
                          <w:bCs/>
                          <w:sz w:val="20"/>
                          <w:szCs w:val="20"/>
                        </w:rPr>
                      </w:pPr>
                      <w:r w:rsidRPr="00F85313">
                        <w:rPr>
                          <w:rFonts w:asciiTheme="minorHAnsi" w:hAnsiTheme="minorHAnsi" w:cstheme="minorHAnsi"/>
                          <w:b/>
                          <w:bCs/>
                          <w:sz w:val="20"/>
                          <w:szCs w:val="20"/>
                        </w:rPr>
                        <w:t>Supplemental Information</w:t>
                      </w:r>
                    </w:p>
                    <w:p w14:paraId="12426875" w14:textId="77777777" w:rsidR="00AC2390" w:rsidRPr="000A0308" w:rsidRDefault="00AC2390" w:rsidP="00AC2390">
                      <w:pPr>
                        <w:spacing w:line="480" w:lineRule="auto"/>
                        <w:jc w:val="both"/>
                        <w:rPr>
                          <w:rFonts w:cstheme="minorHAnsi"/>
                          <w:b/>
                          <w:bCs/>
                          <w:sz w:val="20"/>
                          <w:szCs w:val="20"/>
                        </w:rPr>
                      </w:pPr>
                      <w:r w:rsidRPr="00F85313">
                        <w:rPr>
                          <w:rFonts w:asciiTheme="minorHAnsi" w:hAnsiTheme="minorHAnsi" w:cstheme="minorHAnsi"/>
                          <w:b/>
                          <w:bCs/>
                          <w:sz w:val="20"/>
                          <w:szCs w:val="20"/>
                        </w:rPr>
                        <w:t>Supplement</w:t>
                      </w:r>
                      <w:r>
                        <w:rPr>
                          <w:rFonts w:asciiTheme="minorHAnsi" w:hAnsiTheme="minorHAnsi" w:cstheme="minorHAnsi"/>
                          <w:b/>
                          <w:bCs/>
                          <w:sz w:val="20"/>
                          <w:szCs w:val="20"/>
                        </w:rPr>
                        <w:t>al</w:t>
                      </w:r>
                      <w:r w:rsidRPr="00F85313">
                        <w:rPr>
                          <w:rFonts w:asciiTheme="minorHAnsi" w:hAnsiTheme="minorHAnsi" w:cstheme="minorHAnsi"/>
                          <w:b/>
                          <w:bCs/>
                          <w:sz w:val="20"/>
                          <w:szCs w:val="20"/>
                        </w:rPr>
                        <w:t xml:space="preserve"> Table </w:t>
                      </w:r>
                      <w:r>
                        <w:rPr>
                          <w:rFonts w:asciiTheme="minorHAnsi" w:hAnsiTheme="minorHAnsi" w:cstheme="minorHAnsi"/>
                          <w:b/>
                          <w:bCs/>
                          <w:sz w:val="20"/>
                          <w:szCs w:val="20"/>
                        </w:rPr>
                        <w:t>S</w:t>
                      </w:r>
                      <w:r w:rsidRPr="00F85313">
                        <w:rPr>
                          <w:rFonts w:asciiTheme="minorHAnsi" w:hAnsiTheme="minorHAnsi" w:cstheme="minorHAnsi"/>
                          <w:b/>
                          <w:bCs/>
                          <w:sz w:val="20"/>
                          <w:szCs w:val="20"/>
                        </w:rPr>
                        <w:t xml:space="preserve">1. </w:t>
                      </w:r>
                      <w:r w:rsidRPr="00F85313">
                        <w:rPr>
                          <w:rFonts w:asciiTheme="minorHAnsi" w:hAnsiTheme="minorHAnsi" w:cstheme="minorHAnsi"/>
                          <w:sz w:val="20"/>
                          <w:szCs w:val="20"/>
                        </w:rPr>
                        <w:t>Average FA values (</w:t>
                      </w:r>
                      <w:r w:rsidRPr="00F85313">
                        <w:rPr>
                          <w:rFonts w:ascii="Calibri" w:hAnsi="Calibri" w:cs="Calibri"/>
                          <w:sz w:val="20"/>
                          <w:szCs w:val="20"/>
                        </w:rPr>
                        <w:t>±</w:t>
                      </w:r>
                      <w:r w:rsidRPr="00F85313">
                        <w:rPr>
                          <w:rFonts w:asciiTheme="minorHAnsi" w:hAnsiTheme="minorHAnsi" w:cstheme="minorHAnsi"/>
                          <w:sz w:val="20"/>
                          <w:szCs w:val="20"/>
                        </w:rPr>
                        <w:t xml:space="preserve"> standard deviation) for each white</w:t>
                      </w:r>
                      <w:r>
                        <w:rPr>
                          <w:rFonts w:asciiTheme="minorHAnsi" w:hAnsiTheme="minorHAnsi" w:cstheme="minorHAnsi"/>
                          <w:sz w:val="20"/>
                          <w:szCs w:val="20"/>
                        </w:rPr>
                        <w:t xml:space="preserve"> </w:t>
                      </w:r>
                      <w:r w:rsidRPr="00F85313">
                        <w:rPr>
                          <w:rFonts w:asciiTheme="minorHAnsi" w:hAnsiTheme="minorHAnsi" w:cstheme="minorHAnsi"/>
                          <w:sz w:val="20"/>
                          <w:szCs w:val="20"/>
                        </w:rPr>
                        <w:t>matter tract used in analyses.</w:t>
                      </w:r>
                    </w:p>
                  </w:txbxContent>
                </v:textbox>
                <w10:wrap type="square"/>
              </v:shape>
            </w:pict>
          </mc:Fallback>
        </mc:AlternateContent>
      </w:r>
    </w:p>
    <w:tbl>
      <w:tblPr>
        <w:tblStyle w:val="ListTable1Light"/>
        <w:tblpPr w:leftFromText="180" w:rightFromText="180" w:vertAnchor="text" w:horzAnchor="margin" w:tblpY="715"/>
        <w:tblW w:w="8552" w:type="dxa"/>
        <w:tblBorders>
          <w:top w:val="single" w:sz="4" w:space="0" w:color="auto"/>
          <w:bottom w:val="single" w:sz="4" w:space="0" w:color="auto"/>
        </w:tblBorders>
        <w:tblLook w:val="04A0" w:firstRow="1" w:lastRow="0" w:firstColumn="1" w:lastColumn="0" w:noHBand="0" w:noVBand="1"/>
      </w:tblPr>
      <w:tblGrid>
        <w:gridCol w:w="5333"/>
        <w:gridCol w:w="3219"/>
      </w:tblGrid>
      <w:tr w:rsidR="00AC2390" w:rsidRPr="0090771B" w14:paraId="28B6A461" w14:textId="77777777" w:rsidTr="00325EDC">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tcBorders>
              <w:top w:val="single" w:sz="4" w:space="0" w:color="auto"/>
              <w:bottom w:val="single" w:sz="4" w:space="0" w:color="auto"/>
            </w:tcBorders>
            <w:noWrap/>
            <w:vAlign w:val="center"/>
            <w:hideMark/>
          </w:tcPr>
          <w:p w14:paraId="0893792A" w14:textId="77777777" w:rsidR="00AC2390" w:rsidRPr="007F40AD" w:rsidRDefault="00AC2390" w:rsidP="00325EDC">
            <w:pPr>
              <w:widowControl/>
              <w:autoSpaceDE/>
              <w:autoSpaceDN/>
              <w:adjustRightInd/>
              <w:rPr>
                <w:rFonts w:ascii="Calibri" w:hAnsi="Calibri" w:cs="Calibri"/>
                <w:color w:val="000000" w:themeColor="text1"/>
                <w:sz w:val="22"/>
                <w:szCs w:val="22"/>
              </w:rPr>
            </w:pPr>
            <w:r w:rsidRPr="007F40AD">
              <w:rPr>
                <w:rFonts w:ascii="Calibri" w:hAnsi="Calibri" w:cs="Calibri"/>
                <w:color w:val="000000" w:themeColor="text1"/>
                <w:sz w:val="22"/>
                <w:szCs w:val="22"/>
              </w:rPr>
              <w:t>White Matter Tract</w:t>
            </w:r>
          </w:p>
        </w:tc>
        <w:tc>
          <w:tcPr>
            <w:tcW w:w="3219" w:type="dxa"/>
            <w:tcBorders>
              <w:top w:val="single" w:sz="4" w:space="0" w:color="auto"/>
              <w:bottom w:val="single" w:sz="4" w:space="0" w:color="auto"/>
            </w:tcBorders>
            <w:noWrap/>
            <w:vAlign w:val="center"/>
            <w:hideMark/>
          </w:tcPr>
          <w:p w14:paraId="1C9C069E" w14:textId="77777777" w:rsidR="00AC2390" w:rsidRPr="007F40AD" w:rsidRDefault="00AC2390" w:rsidP="00325EDC">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themeColor="text1"/>
                <w:sz w:val="22"/>
                <w:szCs w:val="22"/>
              </w:rPr>
              <w:t>Mean FA (</w:t>
            </w:r>
            <w:r w:rsidRPr="007F40AD">
              <w:rPr>
                <w:rFonts w:ascii="Calibri" w:hAnsi="Calibri" w:cs="Calibri"/>
                <w:color w:val="000000"/>
                <w:sz w:val="22"/>
                <w:szCs w:val="22"/>
              </w:rPr>
              <w:t>± SD)</w:t>
            </w:r>
          </w:p>
        </w:tc>
      </w:tr>
      <w:tr w:rsidR="00AC2390" w:rsidRPr="0090771B" w14:paraId="368AF02C"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tcBorders>
              <w:top w:val="single" w:sz="4" w:space="0" w:color="auto"/>
            </w:tcBorders>
            <w:noWrap/>
            <w:vAlign w:val="center"/>
            <w:hideMark/>
          </w:tcPr>
          <w:p w14:paraId="01CCF3EF"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Anterior Corona Radiata (Left)</w:t>
            </w:r>
          </w:p>
        </w:tc>
        <w:tc>
          <w:tcPr>
            <w:tcW w:w="3219" w:type="dxa"/>
            <w:tcBorders>
              <w:top w:val="single" w:sz="4" w:space="0" w:color="auto"/>
            </w:tcBorders>
            <w:noWrap/>
            <w:vAlign w:val="bottom"/>
            <w:hideMark/>
          </w:tcPr>
          <w:p w14:paraId="2EB6D15F"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0.435 ± 0.023</w:t>
            </w:r>
          </w:p>
        </w:tc>
      </w:tr>
      <w:tr w:rsidR="00AC2390" w:rsidRPr="0090771B" w14:paraId="6ED164E1"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0B2C9D7B"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Anterior Corona Radiata (Right)</w:t>
            </w:r>
          </w:p>
        </w:tc>
        <w:tc>
          <w:tcPr>
            <w:tcW w:w="3219" w:type="dxa"/>
            <w:noWrap/>
            <w:vAlign w:val="bottom"/>
            <w:hideMark/>
          </w:tcPr>
          <w:p w14:paraId="49A234D3"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0.437 ± 0.023</w:t>
            </w:r>
          </w:p>
        </w:tc>
      </w:tr>
      <w:tr w:rsidR="00AC2390" w:rsidRPr="0090771B" w14:paraId="25C95097"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721810F5"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Anterior Limb of Internal Capsule (Left)</w:t>
            </w:r>
          </w:p>
        </w:tc>
        <w:tc>
          <w:tcPr>
            <w:tcW w:w="3219" w:type="dxa"/>
            <w:noWrap/>
            <w:vAlign w:val="bottom"/>
            <w:hideMark/>
          </w:tcPr>
          <w:p w14:paraId="204F85B6"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0.556 ± 0.20</w:t>
            </w:r>
          </w:p>
        </w:tc>
      </w:tr>
      <w:tr w:rsidR="00AC2390" w:rsidRPr="0090771B" w14:paraId="788380C9"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3725708C"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Anterior Limb of Internal Capsule (Right)</w:t>
            </w:r>
          </w:p>
        </w:tc>
        <w:tc>
          <w:tcPr>
            <w:tcW w:w="3219" w:type="dxa"/>
            <w:noWrap/>
            <w:vAlign w:val="bottom"/>
            <w:hideMark/>
          </w:tcPr>
          <w:p w14:paraId="325B6D79"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0.554 ± 0.019</w:t>
            </w:r>
          </w:p>
        </w:tc>
      </w:tr>
      <w:tr w:rsidR="00AC2390" w:rsidRPr="0090771B" w14:paraId="408DBD51"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67F0AA4F"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Body of Corpus Callosum</w:t>
            </w:r>
          </w:p>
        </w:tc>
        <w:tc>
          <w:tcPr>
            <w:tcW w:w="3219" w:type="dxa"/>
            <w:noWrap/>
            <w:vAlign w:val="bottom"/>
            <w:hideMark/>
          </w:tcPr>
          <w:p w14:paraId="16C28C51"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0.645 ± 0.028</w:t>
            </w:r>
          </w:p>
        </w:tc>
      </w:tr>
      <w:tr w:rsidR="00AC2390" w:rsidRPr="0090771B" w14:paraId="5F8ABE4B"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18A4A79E"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Cerebral Peduncle (Left)</w:t>
            </w:r>
          </w:p>
        </w:tc>
        <w:tc>
          <w:tcPr>
            <w:tcW w:w="3219" w:type="dxa"/>
            <w:noWrap/>
            <w:vAlign w:val="bottom"/>
            <w:hideMark/>
          </w:tcPr>
          <w:p w14:paraId="7FBF0E0B"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0.685 ± 0.024</w:t>
            </w:r>
          </w:p>
        </w:tc>
      </w:tr>
      <w:tr w:rsidR="00AC2390" w:rsidRPr="0090771B" w14:paraId="6392F02A"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68B33EA7"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Cerebral Peduncle (Right)</w:t>
            </w:r>
          </w:p>
        </w:tc>
        <w:tc>
          <w:tcPr>
            <w:tcW w:w="3219" w:type="dxa"/>
            <w:noWrap/>
            <w:vAlign w:val="bottom"/>
            <w:hideMark/>
          </w:tcPr>
          <w:p w14:paraId="3F776CBA"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0.688 ± 0.026</w:t>
            </w:r>
          </w:p>
        </w:tc>
      </w:tr>
      <w:tr w:rsidR="00AC2390" w:rsidRPr="0090771B" w14:paraId="62732075"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171457DF"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Cingulum – Cingulate Gyrus (Left)</w:t>
            </w:r>
          </w:p>
        </w:tc>
        <w:tc>
          <w:tcPr>
            <w:tcW w:w="3219" w:type="dxa"/>
            <w:noWrap/>
            <w:vAlign w:val="bottom"/>
            <w:hideMark/>
          </w:tcPr>
          <w:p w14:paraId="027BCCF9"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0.594 ± 0.029</w:t>
            </w:r>
          </w:p>
        </w:tc>
      </w:tr>
      <w:tr w:rsidR="00AC2390" w:rsidRPr="0090771B" w14:paraId="53E53D0F"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75B10497"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Cingulum – Cingulate Gyrus (Right)</w:t>
            </w:r>
          </w:p>
        </w:tc>
        <w:tc>
          <w:tcPr>
            <w:tcW w:w="3219" w:type="dxa"/>
            <w:noWrap/>
            <w:vAlign w:val="bottom"/>
            <w:hideMark/>
          </w:tcPr>
          <w:p w14:paraId="230A0EC4"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0.552 ± 0.028</w:t>
            </w:r>
          </w:p>
        </w:tc>
      </w:tr>
      <w:tr w:rsidR="00AC2390" w:rsidRPr="0090771B" w14:paraId="31EE2E27"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1C6449B5"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Cingulum – Hippocampus (Left)</w:t>
            </w:r>
          </w:p>
        </w:tc>
        <w:tc>
          <w:tcPr>
            <w:tcW w:w="3219" w:type="dxa"/>
            <w:noWrap/>
            <w:vAlign w:val="bottom"/>
            <w:hideMark/>
          </w:tcPr>
          <w:p w14:paraId="4E6C75C0"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0.438 ± 0.034</w:t>
            </w:r>
          </w:p>
        </w:tc>
      </w:tr>
      <w:tr w:rsidR="00AC2390" w:rsidRPr="0090771B" w14:paraId="1EB38B41"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196D5B1F"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Cingulum – Hippocampus (Right)</w:t>
            </w:r>
          </w:p>
        </w:tc>
        <w:tc>
          <w:tcPr>
            <w:tcW w:w="3219" w:type="dxa"/>
            <w:noWrap/>
            <w:vAlign w:val="bottom"/>
            <w:hideMark/>
          </w:tcPr>
          <w:p w14:paraId="134D7CA5"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0.463 ± 0.037</w:t>
            </w:r>
          </w:p>
        </w:tc>
      </w:tr>
      <w:tr w:rsidR="00AC2390" w:rsidRPr="0090771B" w14:paraId="4EADC2F3"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68F1F0C3"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Corticospinal Tract (Left)</w:t>
            </w:r>
          </w:p>
        </w:tc>
        <w:tc>
          <w:tcPr>
            <w:tcW w:w="3219" w:type="dxa"/>
            <w:noWrap/>
            <w:vAlign w:val="bottom"/>
            <w:hideMark/>
          </w:tcPr>
          <w:p w14:paraId="24AE52DE"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0.536 ± 0.027</w:t>
            </w:r>
          </w:p>
        </w:tc>
      </w:tr>
      <w:tr w:rsidR="00AC2390" w:rsidRPr="0090771B" w14:paraId="43E27875"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7B1CB5DF"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Corticospinal Tract (Right)</w:t>
            </w:r>
          </w:p>
        </w:tc>
        <w:tc>
          <w:tcPr>
            <w:tcW w:w="3219" w:type="dxa"/>
            <w:noWrap/>
            <w:vAlign w:val="bottom"/>
            <w:hideMark/>
          </w:tcPr>
          <w:p w14:paraId="177A24CD"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0.537 ± 0.029</w:t>
            </w:r>
          </w:p>
        </w:tc>
      </w:tr>
      <w:tr w:rsidR="00AC2390" w:rsidRPr="0090771B" w14:paraId="2D093F12"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6233EBE1"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External Capsule (Left)</w:t>
            </w:r>
          </w:p>
        </w:tc>
        <w:tc>
          <w:tcPr>
            <w:tcW w:w="3219" w:type="dxa"/>
            <w:noWrap/>
            <w:vAlign w:val="bottom"/>
            <w:hideMark/>
          </w:tcPr>
          <w:p w14:paraId="7CED0C99"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0.443 ± 0.019</w:t>
            </w:r>
          </w:p>
        </w:tc>
      </w:tr>
      <w:tr w:rsidR="00AC2390" w:rsidRPr="0090771B" w14:paraId="5E0AE787"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56C5682F"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External Capsule (Right)</w:t>
            </w:r>
          </w:p>
        </w:tc>
        <w:tc>
          <w:tcPr>
            <w:tcW w:w="3219" w:type="dxa"/>
            <w:noWrap/>
            <w:vAlign w:val="bottom"/>
            <w:hideMark/>
          </w:tcPr>
          <w:p w14:paraId="6E3ABA53"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0.445 ± 0.020</w:t>
            </w:r>
          </w:p>
        </w:tc>
      </w:tr>
      <w:tr w:rsidR="00AC2390" w:rsidRPr="0090771B" w14:paraId="4CCAA0AD"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63611D1A"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Fornix – Column &amp; Body</w:t>
            </w:r>
          </w:p>
        </w:tc>
        <w:tc>
          <w:tcPr>
            <w:tcW w:w="3219" w:type="dxa"/>
            <w:noWrap/>
            <w:vAlign w:val="bottom"/>
            <w:hideMark/>
          </w:tcPr>
          <w:p w14:paraId="1FA66057"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0.481 ± 0.042</w:t>
            </w:r>
          </w:p>
        </w:tc>
      </w:tr>
      <w:tr w:rsidR="00AC2390" w:rsidRPr="0090771B" w14:paraId="3378BEBF"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1482FA19"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Fornix/Stria Terminalis (Left)</w:t>
            </w:r>
          </w:p>
        </w:tc>
        <w:tc>
          <w:tcPr>
            <w:tcW w:w="3219" w:type="dxa"/>
            <w:noWrap/>
            <w:vAlign w:val="bottom"/>
            <w:hideMark/>
          </w:tcPr>
          <w:p w14:paraId="7FC13E1C"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0.508 ± 0.028</w:t>
            </w:r>
          </w:p>
        </w:tc>
      </w:tr>
      <w:tr w:rsidR="00AC2390" w:rsidRPr="0090771B" w14:paraId="370A76B6"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3A3A618E"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Fornix/Stria Terminalis (Right)</w:t>
            </w:r>
          </w:p>
        </w:tc>
        <w:tc>
          <w:tcPr>
            <w:tcW w:w="3219" w:type="dxa"/>
            <w:noWrap/>
            <w:vAlign w:val="bottom"/>
            <w:hideMark/>
          </w:tcPr>
          <w:p w14:paraId="6CBD58F4"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0.510 ± 0.028</w:t>
            </w:r>
          </w:p>
        </w:tc>
      </w:tr>
      <w:tr w:rsidR="00AC2390" w:rsidRPr="0090771B" w14:paraId="5E7540A3"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2778F784"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Genu of Corpus Callosum</w:t>
            </w:r>
          </w:p>
        </w:tc>
        <w:tc>
          <w:tcPr>
            <w:tcW w:w="3219" w:type="dxa"/>
            <w:noWrap/>
            <w:vAlign w:val="bottom"/>
            <w:hideMark/>
          </w:tcPr>
          <w:p w14:paraId="66BC3CCC"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0.633 ± 0.028</w:t>
            </w:r>
          </w:p>
        </w:tc>
      </w:tr>
      <w:tr w:rsidR="00AC2390" w:rsidRPr="0090771B" w14:paraId="420A82DE"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533DA7F2"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Inferior Cerebellar Peduncle (Left)</w:t>
            </w:r>
          </w:p>
        </w:tc>
        <w:tc>
          <w:tcPr>
            <w:tcW w:w="3219" w:type="dxa"/>
            <w:noWrap/>
            <w:vAlign w:val="bottom"/>
            <w:hideMark/>
          </w:tcPr>
          <w:p w14:paraId="7F60DCFB"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0.503 ± 0.022</w:t>
            </w:r>
          </w:p>
        </w:tc>
      </w:tr>
      <w:tr w:rsidR="00AC2390" w:rsidRPr="0090771B" w14:paraId="1D6100E5"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284B57E4"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Inferior Cerebellar Peduncle (Right)</w:t>
            </w:r>
          </w:p>
        </w:tc>
        <w:tc>
          <w:tcPr>
            <w:tcW w:w="3219" w:type="dxa"/>
            <w:noWrap/>
            <w:vAlign w:val="bottom"/>
            <w:hideMark/>
          </w:tcPr>
          <w:p w14:paraId="6D77861D"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0.501 ± 0.024</w:t>
            </w:r>
          </w:p>
        </w:tc>
      </w:tr>
      <w:tr w:rsidR="00AC2390" w:rsidRPr="0090771B" w14:paraId="0D22FF5F"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2D6C1C7F"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Medial Lemniscus (Left)</w:t>
            </w:r>
          </w:p>
        </w:tc>
        <w:tc>
          <w:tcPr>
            <w:tcW w:w="3219" w:type="dxa"/>
            <w:noWrap/>
            <w:vAlign w:val="bottom"/>
            <w:hideMark/>
          </w:tcPr>
          <w:p w14:paraId="278DFCAB"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0.558 ± 0.023</w:t>
            </w:r>
          </w:p>
        </w:tc>
      </w:tr>
      <w:tr w:rsidR="00AC2390" w:rsidRPr="0090771B" w14:paraId="440AF790"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12AB8B6C"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Medial Lemniscus (Right)</w:t>
            </w:r>
          </w:p>
        </w:tc>
        <w:tc>
          <w:tcPr>
            <w:tcW w:w="3219" w:type="dxa"/>
            <w:noWrap/>
            <w:vAlign w:val="bottom"/>
            <w:hideMark/>
          </w:tcPr>
          <w:p w14:paraId="5A1072A5"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0.559 ± 0.022</w:t>
            </w:r>
          </w:p>
        </w:tc>
      </w:tr>
      <w:tr w:rsidR="00AC2390" w:rsidRPr="0090771B" w14:paraId="3AC26FD4"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73C81E0F"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sz w:val="22"/>
                <w:szCs w:val="22"/>
              </w:rPr>
              <w:t>Middle Cerebellar Peduncle</w:t>
            </w:r>
          </w:p>
        </w:tc>
        <w:tc>
          <w:tcPr>
            <w:tcW w:w="3219" w:type="dxa"/>
            <w:noWrap/>
            <w:vAlign w:val="bottom"/>
            <w:hideMark/>
          </w:tcPr>
          <w:p w14:paraId="5F3621FA"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0.577 ± 0.017</w:t>
            </w:r>
          </w:p>
        </w:tc>
      </w:tr>
      <w:tr w:rsidR="00AC2390" w:rsidRPr="0090771B" w14:paraId="16DEA45E"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5048E318"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sz w:val="22"/>
                <w:szCs w:val="22"/>
              </w:rPr>
              <w:t>Pontine Crossing Tract</w:t>
            </w:r>
          </w:p>
        </w:tc>
        <w:tc>
          <w:tcPr>
            <w:tcW w:w="3219" w:type="dxa"/>
            <w:noWrap/>
            <w:vAlign w:val="bottom"/>
            <w:hideMark/>
          </w:tcPr>
          <w:p w14:paraId="173CE9B6"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0.463 ± 0.022</w:t>
            </w:r>
          </w:p>
        </w:tc>
      </w:tr>
      <w:tr w:rsidR="00AC2390" w:rsidRPr="0090771B" w14:paraId="09A93456"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765454EE"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Posterior Corona Radiata (Left)</w:t>
            </w:r>
          </w:p>
        </w:tc>
        <w:tc>
          <w:tcPr>
            <w:tcW w:w="3219" w:type="dxa"/>
            <w:noWrap/>
            <w:vAlign w:val="bottom"/>
            <w:hideMark/>
          </w:tcPr>
          <w:p w14:paraId="1C4B23CD"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0.469 ± 0.021</w:t>
            </w:r>
          </w:p>
        </w:tc>
      </w:tr>
      <w:tr w:rsidR="00AC2390" w:rsidRPr="0090771B" w14:paraId="593A7163"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3B4977F2"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Posterior Corona Radiata (Right)</w:t>
            </w:r>
          </w:p>
        </w:tc>
        <w:tc>
          <w:tcPr>
            <w:tcW w:w="3219" w:type="dxa"/>
            <w:noWrap/>
            <w:vAlign w:val="bottom"/>
            <w:hideMark/>
          </w:tcPr>
          <w:p w14:paraId="0C8B5B4E"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0.473 ± 0.023</w:t>
            </w:r>
          </w:p>
        </w:tc>
      </w:tr>
      <w:tr w:rsidR="00AC2390" w:rsidRPr="0090771B" w14:paraId="60CA05CF"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321CC9B1"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Posterior Limb of Internal Capsule (Left)</w:t>
            </w:r>
          </w:p>
        </w:tc>
        <w:tc>
          <w:tcPr>
            <w:tcW w:w="3219" w:type="dxa"/>
            <w:noWrap/>
            <w:vAlign w:val="bottom"/>
            <w:hideMark/>
          </w:tcPr>
          <w:p w14:paraId="15726644"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0.645 ± 0.019</w:t>
            </w:r>
          </w:p>
        </w:tc>
      </w:tr>
      <w:tr w:rsidR="00AC2390" w:rsidRPr="0090771B" w14:paraId="2356FBA0"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414DBE80"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Posterior Limb of Internal Capsule (Right)</w:t>
            </w:r>
          </w:p>
        </w:tc>
        <w:tc>
          <w:tcPr>
            <w:tcW w:w="3219" w:type="dxa"/>
            <w:noWrap/>
            <w:vAlign w:val="bottom"/>
            <w:hideMark/>
          </w:tcPr>
          <w:p w14:paraId="5E920858"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0.654 ± 0.021</w:t>
            </w:r>
          </w:p>
        </w:tc>
      </w:tr>
      <w:tr w:rsidR="00AC2390" w:rsidRPr="0090771B" w14:paraId="2573B735"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5AFFF2EE"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Posterior Thalamic Radiata (Left)</w:t>
            </w:r>
          </w:p>
        </w:tc>
        <w:tc>
          <w:tcPr>
            <w:tcW w:w="3219" w:type="dxa"/>
            <w:noWrap/>
            <w:vAlign w:val="bottom"/>
            <w:hideMark/>
          </w:tcPr>
          <w:p w14:paraId="28176B14"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0.560 ± 0.025</w:t>
            </w:r>
          </w:p>
        </w:tc>
      </w:tr>
      <w:tr w:rsidR="00AC2390" w:rsidRPr="0090771B" w14:paraId="53F229B2"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63483708"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Posterior Thalamic Radiata (Right)</w:t>
            </w:r>
          </w:p>
        </w:tc>
        <w:tc>
          <w:tcPr>
            <w:tcW w:w="3219" w:type="dxa"/>
            <w:noWrap/>
            <w:vAlign w:val="bottom"/>
            <w:hideMark/>
          </w:tcPr>
          <w:p w14:paraId="64741262"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0.563 ± 0.025</w:t>
            </w:r>
          </w:p>
        </w:tc>
      </w:tr>
      <w:tr w:rsidR="00AC2390" w:rsidRPr="0090771B" w14:paraId="3EC3F107"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0C366151"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proofErr w:type="spellStart"/>
            <w:r w:rsidRPr="007F40AD">
              <w:rPr>
                <w:rFonts w:ascii="Calibri" w:hAnsi="Calibri" w:cs="Calibri"/>
                <w:b w:val="0"/>
                <w:bCs w:val="0"/>
                <w:color w:val="000000" w:themeColor="text1"/>
                <w:sz w:val="22"/>
                <w:szCs w:val="22"/>
              </w:rPr>
              <w:t>Retrolenticular</w:t>
            </w:r>
            <w:proofErr w:type="spellEnd"/>
            <w:r w:rsidRPr="007F40AD">
              <w:rPr>
                <w:rFonts w:ascii="Calibri" w:hAnsi="Calibri" w:cs="Calibri"/>
                <w:b w:val="0"/>
                <w:bCs w:val="0"/>
                <w:color w:val="000000" w:themeColor="text1"/>
                <w:sz w:val="22"/>
                <w:szCs w:val="22"/>
              </w:rPr>
              <w:t xml:space="preserve"> part of Internal Capsule (Left)</w:t>
            </w:r>
          </w:p>
        </w:tc>
        <w:tc>
          <w:tcPr>
            <w:tcW w:w="3219" w:type="dxa"/>
            <w:noWrap/>
            <w:vAlign w:val="bottom"/>
            <w:hideMark/>
          </w:tcPr>
          <w:p w14:paraId="1D401720"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0.566 ± 0.021</w:t>
            </w:r>
          </w:p>
        </w:tc>
      </w:tr>
      <w:tr w:rsidR="00AC2390" w:rsidRPr="0090771B" w14:paraId="7F0AAC3A"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7E02818A"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proofErr w:type="spellStart"/>
            <w:r w:rsidRPr="007F40AD">
              <w:rPr>
                <w:rFonts w:ascii="Calibri" w:hAnsi="Calibri" w:cs="Calibri"/>
                <w:b w:val="0"/>
                <w:bCs w:val="0"/>
                <w:color w:val="000000" w:themeColor="text1"/>
                <w:sz w:val="22"/>
                <w:szCs w:val="22"/>
              </w:rPr>
              <w:t>Retrolenticular</w:t>
            </w:r>
            <w:proofErr w:type="spellEnd"/>
            <w:r w:rsidRPr="007F40AD">
              <w:rPr>
                <w:rFonts w:ascii="Calibri" w:hAnsi="Calibri" w:cs="Calibri"/>
                <w:b w:val="0"/>
                <w:bCs w:val="0"/>
                <w:color w:val="000000" w:themeColor="text1"/>
                <w:sz w:val="22"/>
                <w:szCs w:val="22"/>
              </w:rPr>
              <w:t xml:space="preserve"> part of Internal Capsule (Right)</w:t>
            </w:r>
          </w:p>
        </w:tc>
        <w:tc>
          <w:tcPr>
            <w:tcW w:w="3219" w:type="dxa"/>
            <w:noWrap/>
            <w:vAlign w:val="bottom"/>
            <w:hideMark/>
          </w:tcPr>
          <w:p w14:paraId="41308FD5"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0.563 ± 0.024</w:t>
            </w:r>
          </w:p>
        </w:tc>
      </w:tr>
      <w:tr w:rsidR="00AC2390" w:rsidRPr="0090771B" w14:paraId="17CA33FF"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577E22B5"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Sagittal Stratum (Left)</w:t>
            </w:r>
          </w:p>
        </w:tc>
        <w:tc>
          <w:tcPr>
            <w:tcW w:w="3219" w:type="dxa"/>
            <w:noWrap/>
            <w:vAlign w:val="bottom"/>
            <w:hideMark/>
          </w:tcPr>
          <w:p w14:paraId="1D065A7D"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0.517 ± 0.023</w:t>
            </w:r>
          </w:p>
        </w:tc>
      </w:tr>
      <w:tr w:rsidR="00AC2390" w:rsidRPr="0090771B" w14:paraId="3EEE1BBD"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43397529"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lastRenderedPageBreak/>
              <w:t>Sagittal Stratum (Right)</w:t>
            </w:r>
          </w:p>
        </w:tc>
        <w:tc>
          <w:tcPr>
            <w:tcW w:w="3219" w:type="dxa"/>
            <w:noWrap/>
            <w:vAlign w:val="bottom"/>
            <w:hideMark/>
          </w:tcPr>
          <w:p w14:paraId="0E50703A"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0.524 ± 0.026</w:t>
            </w:r>
          </w:p>
        </w:tc>
      </w:tr>
      <w:tr w:rsidR="00AC2390" w:rsidRPr="0090771B" w14:paraId="4CE315CD"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4FAB041E"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 xml:space="preserve">Splenium of Corpus Callosum </w:t>
            </w:r>
          </w:p>
        </w:tc>
        <w:tc>
          <w:tcPr>
            <w:tcW w:w="3219" w:type="dxa"/>
            <w:noWrap/>
            <w:vAlign w:val="bottom"/>
            <w:hideMark/>
          </w:tcPr>
          <w:p w14:paraId="6EC9C04C"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0.714 ± 0.019</w:t>
            </w:r>
          </w:p>
        </w:tc>
      </w:tr>
      <w:tr w:rsidR="00AC2390" w:rsidRPr="0090771B" w14:paraId="2648D8BF"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3EC82C6B"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Superior Cerebellar Peduncle (Left)</w:t>
            </w:r>
          </w:p>
        </w:tc>
        <w:tc>
          <w:tcPr>
            <w:tcW w:w="3219" w:type="dxa"/>
            <w:noWrap/>
            <w:vAlign w:val="bottom"/>
            <w:hideMark/>
          </w:tcPr>
          <w:p w14:paraId="205CE1A2"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0.637 ± 0.025</w:t>
            </w:r>
          </w:p>
        </w:tc>
      </w:tr>
      <w:tr w:rsidR="00AC2390" w:rsidRPr="0090771B" w14:paraId="2E022AAD"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53AFE982"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Superior Cerebellar Peduncle (Right)</w:t>
            </w:r>
          </w:p>
        </w:tc>
        <w:tc>
          <w:tcPr>
            <w:tcW w:w="3219" w:type="dxa"/>
            <w:noWrap/>
            <w:vAlign w:val="bottom"/>
            <w:hideMark/>
          </w:tcPr>
          <w:p w14:paraId="1E9DFD11"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0.635 ± 0.025</w:t>
            </w:r>
          </w:p>
        </w:tc>
      </w:tr>
      <w:tr w:rsidR="00AC2390" w:rsidRPr="0090771B" w14:paraId="1AABF457"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242BFCDA"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Superior Corona Radiata (Left)</w:t>
            </w:r>
          </w:p>
        </w:tc>
        <w:tc>
          <w:tcPr>
            <w:tcW w:w="3219" w:type="dxa"/>
            <w:noWrap/>
            <w:vAlign w:val="bottom"/>
            <w:hideMark/>
          </w:tcPr>
          <w:p w14:paraId="468FEE0B"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0.482 ± 0.021</w:t>
            </w:r>
          </w:p>
        </w:tc>
      </w:tr>
      <w:tr w:rsidR="00AC2390" w:rsidRPr="0090771B" w14:paraId="1903F4BA"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51C96700"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Superior Corona Radiata (Right)</w:t>
            </w:r>
          </w:p>
        </w:tc>
        <w:tc>
          <w:tcPr>
            <w:tcW w:w="3219" w:type="dxa"/>
            <w:noWrap/>
            <w:vAlign w:val="bottom"/>
            <w:hideMark/>
          </w:tcPr>
          <w:p w14:paraId="36814A16"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0.479 ± 0.021</w:t>
            </w:r>
          </w:p>
        </w:tc>
      </w:tr>
      <w:tr w:rsidR="00AC2390" w:rsidRPr="0090771B" w14:paraId="20EAE70F"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hideMark/>
          </w:tcPr>
          <w:p w14:paraId="47D04907"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 xml:space="preserve">Superior </w:t>
            </w:r>
            <w:proofErr w:type="spellStart"/>
            <w:r w:rsidRPr="007F40AD">
              <w:rPr>
                <w:rFonts w:ascii="Calibri" w:hAnsi="Calibri" w:cs="Calibri"/>
                <w:b w:val="0"/>
                <w:bCs w:val="0"/>
                <w:color w:val="000000" w:themeColor="text1"/>
                <w:sz w:val="22"/>
                <w:szCs w:val="22"/>
              </w:rPr>
              <w:t>Fronto</w:t>
            </w:r>
            <w:proofErr w:type="spellEnd"/>
            <w:r w:rsidRPr="007F40AD">
              <w:rPr>
                <w:rFonts w:ascii="Calibri" w:hAnsi="Calibri" w:cs="Calibri"/>
                <w:b w:val="0"/>
                <w:bCs w:val="0"/>
                <w:color w:val="000000" w:themeColor="text1"/>
                <w:sz w:val="22"/>
                <w:szCs w:val="22"/>
              </w:rPr>
              <w:t>-Occipital Fasciculus (Left)</w:t>
            </w:r>
          </w:p>
        </w:tc>
        <w:tc>
          <w:tcPr>
            <w:tcW w:w="3219" w:type="dxa"/>
            <w:noWrap/>
            <w:vAlign w:val="bottom"/>
            <w:hideMark/>
          </w:tcPr>
          <w:p w14:paraId="1C8E79FF"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0.496 ± 0.027</w:t>
            </w:r>
          </w:p>
        </w:tc>
      </w:tr>
      <w:tr w:rsidR="00AC2390" w:rsidRPr="0090771B" w14:paraId="179274BD"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tcPr>
          <w:p w14:paraId="6EAEDF7F"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 xml:space="preserve">Superior </w:t>
            </w:r>
            <w:proofErr w:type="spellStart"/>
            <w:r w:rsidRPr="007F40AD">
              <w:rPr>
                <w:rFonts w:ascii="Calibri" w:hAnsi="Calibri" w:cs="Calibri"/>
                <w:b w:val="0"/>
                <w:bCs w:val="0"/>
                <w:color w:val="000000" w:themeColor="text1"/>
                <w:sz w:val="22"/>
                <w:szCs w:val="22"/>
              </w:rPr>
              <w:t>Fronto</w:t>
            </w:r>
            <w:proofErr w:type="spellEnd"/>
            <w:r w:rsidRPr="007F40AD">
              <w:rPr>
                <w:rFonts w:ascii="Calibri" w:hAnsi="Calibri" w:cs="Calibri"/>
                <w:b w:val="0"/>
                <w:bCs w:val="0"/>
                <w:color w:val="000000" w:themeColor="text1"/>
                <w:sz w:val="22"/>
                <w:szCs w:val="22"/>
              </w:rPr>
              <w:t>-Occipital Fasciculus (Right)</w:t>
            </w:r>
          </w:p>
        </w:tc>
        <w:tc>
          <w:tcPr>
            <w:tcW w:w="3219" w:type="dxa"/>
            <w:noWrap/>
            <w:vAlign w:val="bottom"/>
          </w:tcPr>
          <w:p w14:paraId="45C0FC0E"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0.505 ± 0.025</w:t>
            </w:r>
          </w:p>
        </w:tc>
      </w:tr>
      <w:tr w:rsidR="00AC2390" w:rsidRPr="0090771B" w14:paraId="37FF42A7"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tcPr>
          <w:p w14:paraId="68952D5B"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Superior Longitudinal Fasciculus (Left)</w:t>
            </w:r>
          </w:p>
        </w:tc>
        <w:tc>
          <w:tcPr>
            <w:tcW w:w="3219" w:type="dxa"/>
            <w:noWrap/>
            <w:vAlign w:val="bottom"/>
          </w:tcPr>
          <w:p w14:paraId="3DF9ECD3"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0.485 ± 0.019</w:t>
            </w:r>
          </w:p>
        </w:tc>
      </w:tr>
      <w:tr w:rsidR="00AC2390" w:rsidRPr="0090771B" w14:paraId="6A5CE862"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tcPr>
          <w:p w14:paraId="56ACDF00"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Superior Longitudinal Fasciculus (Right)</w:t>
            </w:r>
          </w:p>
        </w:tc>
        <w:tc>
          <w:tcPr>
            <w:tcW w:w="3219" w:type="dxa"/>
            <w:noWrap/>
            <w:vAlign w:val="bottom"/>
          </w:tcPr>
          <w:p w14:paraId="40F3F724"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0.490 ± 0.021</w:t>
            </w:r>
          </w:p>
        </w:tc>
      </w:tr>
      <w:tr w:rsidR="00AC2390" w:rsidRPr="0090771B" w14:paraId="0A2D65BF"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vAlign w:val="center"/>
          </w:tcPr>
          <w:p w14:paraId="094BDC4F"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sz w:val="22"/>
                <w:szCs w:val="22"/>
              </w:rPr>
              <w:t>Tapetum (Left)</w:t>
            </w:r>
          </w:p>
        </w:tc>
        <w:tc>
          <w:tcPr>
            <w:tcW w:w="3219" w:type="dxa"/>
            <w:noWrap/>
            <w:vAlign w:val="bottom"/>
          </w:tcPr>
          <w:p w14:paraId="3E4F7AF9"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0.549 ± 0.041</w:t>
            </w:r>
          </w:p>
        </w:tc>
      </w:tr>
      <w:tr w:rsidR="00AC2390" w:rsidRPr="0090771B" w14:paraId="3415BC0E"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hideMark/>
          </w:tcPr>
          <w:p w14:paraId="0AA50836" w14:textId="77777777" w:rsidR="00AC2390" w:rsidRPr="007F40AD"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Tapetum (Right)</w:t>
            </w:r>
          </w:p>
        </w:tc>
        <w:tc>
          <w:tcPr>
            <w:tcW w:w="3219" w:type="dxa"/>
            <w:noWrap/>
            <w:vAlign w:val="bottom"/>
            <w:hideMark/>
          </w:tcPr>
          <w:p w14:paraId="7838BF74"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0.518 ± 0.045</w:t>
            </w:r>
          </w:p>
        </w:tc>
      </w:tr>
      <w:tr w:rsidR="00AC2390" w:rsidRPr="0090771B" w14:paraId="799E6710" w14:textId="77777777" w:rsidTr="00325EDC">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5333" w:type="dxa"/>
            <w:noWrap/>
          </w:tcPr>
          <w:p w14:paraId="40DC22C1" w14:textId="77777777" w:rsidR="00AC2390" w:rsidRPr="007F40AD" w:rsidDel="00DA532A"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Uncinate Fasciculus (Left)</w:t>
            </w:r>
          </w:p>
        </w:tc>
        <w:tc>
          <w:tcPr>
            <w:tcW w:w="3219" w:type="dxa"/>
            <w:noWrap/>
            <w:vAlign w:val="bottom"/>
          </w:tcPr>
          <w:p w14:paraId="582E0C65" w14:textId="77777777" w:rsidR="00AC2390" w:rsidRPr="007F40AD" w:rsidRDefault="00AC2390" w:rsidP="00325EDC">
            <w:pPr>
              <w:widowControl/>
              <w:autoSpaceDE/>
              <w:autoSpaceDN/>
              <w:adjustRightInd/>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0.527 ± 0.035</w:t>
            </w:r>
          </w:p>
        </w:tc>
      </w:tr>
      <w:tr w:rsidR="00AC2390" w:rsidRPr="0090771B" w14:paraId="435BFD98" w14:textId="77777777" w:rsidTr="00325EDC">
        <w:trPr>
          <w:trHeight w:val="333"/>
        </w:trPr>
        <w:tc>
          <w:tcPr>
            <w:cnfStyle w:val="001000000000" w:firstRow="0" w:lastRow="0" w:firstColumn="1" w:lastColumn="0" w:oddVBand="0" w:evenVBand="0" w:oddHBand="0" w:evenHBand="0" w:firstRowFirstColumn="0" w:firstRowLastColumn="0" w:lastRowFirstColumn="0" w:lastRowLastColumn="0"/>
            <w:tcW w:w="5333" w:type="dxa"/>
            <w:noWrap/>
          </w:tcPr>
          <w:p w14:paraId="4CE4D1FD" w14:textId="77777777" w:rsidR="00AC2390" w:rsidRPr="007F40AD" w:rsidDel="00DA532A" w:rsidRDefault="00AC2390" w:rsidP="00325EDC">
            <w:pPr>
              <w:widowControl/>
              <w:autoSpaceDE/>
              <w:autoSpaceDN/>
              <w:adjustRightInd/>
              <w:rPr>
                <w:rFonts w:ascii="Calibri" w:hAnsi="Calibri" w:cs="Calibri"/>
                <w:b w:val="0"/>
                <w:bCs w:val="0"/>
                <w:color w:val="000000" w:themeColor="text1"/>
                <w:sz w:val="22"/>
                <w:szCs w:val="22"/>
              </w:rPr>
            </w:pPr>
            <w:r w:rsidRPr="007F40AD">
              <w:rPr>
                <w:rFonts w:ascii="Calibri" w:hAnsi="Calibri" w:cs="Calibri"/>
                <w:b w:val="0"/>
                <w:bCs w:val="0"/>
                <w:color w:val="000000" w:themeColor="text1"/>
                <w:sz w:val="22"/>
                <w:szCs w:val="22"/>
              </w:rPr>
              <w:t>Uncinate Fasciculus (Right)</w:t>
            </w:r>
          </w:p>
        </w:tc>
        <w:tc>
          <w:tcPr>
            <w:tcW w:w="3219" w:type="dxa"/>
            <w:noWrap/>
            <w:vAlign w:val="bottom"/>
          </w:tcPr>
          <w:p w14:paraId="0158B673" w14:textId="77777777" w:rsidR="00AC2390" w:rsidRPr="007F40AD" w:rsidRDefault="00AC2390" w:rsidP="00325EDC">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7F40AD">
              <w:rPr>
                <w:rFonts w:ascii="Calibri" w:hAnsi="Calibri" w:cs="Calibri"/>
                <w:color w:val="000000"/>
                <w:sz w:val="22"/>
                <w:szCs w:val="22"/>
              </w:rPr>
              <w:t>0.515 ± 0.039</w:t>
            </w:r>
          </w:p>
        </w:tc>
      </w:tr>
    </w:tbl>
    <w:p w14:paraId="3B1C8351" w14:textId="77777777" w:rsidR="00AC2390" w:rsidRPr="00F85313" w:rsidRDefault="00AC2390" w:rsidP="00AC2390">
      <w:pPr>
        <w:spacing w:line="480" w:lineRule="auto"/>
        <w:jc w:val="both"/>
        <w:rPr>
          <w:rFonts w:asciiTheme="minorHAnsi" w:hAnsiTheme="minorHAnsi" w:cstheme="minorHAnsi"/>
          <w:sz w:val="20"/>
          <w:szCs w:val="20"/>
        </w:rPr>
      </w:pPr>
    </w:p>
    <w:p w14:paraId="4FE68A39" w14:textId="77777777" w:rsidR="00AC2390" w:rsidRPr="00F85313" w:rsidRDefault="00AC2390" w:rsidP="00AC2390">
      <w:pPr>
        <w:widowControl/>
        <w:autoSpaceDE/>
        <w:autoSpaceDN/>
        <w:adjustRightInd/>
        <w:spacing w:line="480" w:lineRule="auto"/>
        <w:jc w:val="both"/>
        <w:rPr>
          <w:rFonts w:asciiTheme="minorHAnsi" w:hAnsiTheme="minorHAnsi" w:cstheme="minorHAnsi"/>
          <w:sz w:val="20"/>
          <w:szCs w:val="20"/>
        </w:rPr>
      </w:pPr>
    </w:p>
    <w:p w14:paraId="5A5197B4" w14:textId="77777777" w:rsidR="00AC2390" w:rsidRPr="00F85313" w:rsidRDefault="00AC2390" w:rsidP="00AC2390">
      <w:pPr>
        <w:widowControl/>
        <w:autoSpaceDE/>
        <w:autoSpaceDN/>
        <w:adjustRightInd/>
        <w:spacing w:line="480" w:lineRule="auto"/>
        <w:jc w:val="both"/>
        <w:rPr>
          <w:rFonts w:asciiTheme="minorHAnsi" w:hAnsiTheme="minorHAnsi" w:cstheme="minorHAnsi"/>
          <w:color w:val="000000" w:themeColor="text1"/>
          <w:sz w:val="20"/>
          <w:szCs w:val="20"/>
        </w:rPr>
      </w:pPr>
    </w:p>
    <w:p w14:paraId="0735BCEB" w14:textId="77777777" w:rsidR="00AC2390" w:rsidRPr="00F85313" w:rsidRDefault="00AC2390" w:rsidP="00AC2390">
      <w:pPr>
        <w:widowControl/>
        <w:autoSpaceDE/>
        <w:autoSpaceDN/>
        <w:adjustRightInd/>
        <w:spacing w:line="480" w:lineRule="auto"/>
        <w:jc w:val="both"/>
        <w:rPr>
          <w:rFonts w:asciiTheme="minorHAnsi" w:hAnsiTheme="minorHAnsi" w:cstheme="minorHAnsi"/>
          <w:sz w:val="20"/>
          <w:szCs w:val="20"/>
        </w:rPr>
      </w:pPr>
    </w:p>
    <w:p w14:paraId="339D45C2" w14:textId="77777777" w:rsidR="00AC2390" w:rsidRPr="00F85313" w:rsidRDefault="00AC2390" w:rsidP="00AC2390">
      <w:pPr>
        <w:widowControl/>
        <w:autoSpaceDE/>
        <w:autoSpaceDN/>
        <w:adjustRightInd/>
        <w:spacing w:line="480" w:lineRule="auto"/>
        <w:jc w:val="both"/>
        <w:rPr>
          <w:rFonts w:asciiTheme="minorHAnsi" w:hAnsiTheme="minorHAnsi" w:cstheme="minorHAnsi"/>
          <w:sz w:val="20"/>
          <w:szCs w:val="20"/>
        </w:rPr>
      </w:pPr>
    </w:p>
    <w:p w14:paraId="3389FAC5" w14:textId="77777777" w:rsidR="00AC2390" w:rsidRPr="00F85313" w:rsidRDefault="00AC2390" w:rsidP="00AC2390">
      <w:pPr>
        <w:widowControl/>
        <w:autoSpaceDE/>
        <w:autoSpaceDN/>
        <w:adjustRightInd/>
        <w:spacing w:line="480" w:lineRule="auto"/>
        <w:jc w:val="both"/>
        <w:rPr>
          <w:rFonts w:asciiTheme="minorHAnsi" w:hAnsiTheme="minorHAnsi" w:cstheme="minorHAnsi"/>
          <w:sz w:val="20"/>
          <w:szCs w:val="20"/>
        </w:rPr>
      </w:pPr>
    </w:p>
    <w:p w14:paraId="4F66227E" w14:textId="77777777" w:rsidR="00AC2390" w:rsidRPr="00F85313" w:rsidRDefault="00AC2390" w:rsidP="00AC2390">
      <w:pPr>
        <w:widowControl/>
        <w:autoSpaceDE/>
        <w:autoSpaceDN/>
        <w:adjustRightInd/>
        <w:spacing w:line="480" w:lineRule="auto"/>
        <w:jc w:val="both"/>
        <w:rPr>
          <w:rFonts w:asciiTheme="minorHAnsi" w:hAnsiTheme="minorHAnsi" w:cstheme="minorHAnsi"/>
          <w:sz w:val="20"/>
          <w:szCs w:val="20"/>
        </w:rPr>
      </w:pPr>
    </w:p>
    <w:p w14:paraId="1C462E31" w14:textId="77777777" w:rsidR="00AC2390" w:rsidRPr="00F85313" w:rsidRDefault="00AC2390" w:rsidP="00AC2390">
      <w:pPr>
        <w:widowControl/>
        <w:autoSpaceDE/>
        <w:autoSpaceDN/>
        <w:adjustRightInd/>
        <w:spacing w:line="480" w:lineRule="auto"/>
        <w:jc w:val="both"/>
        <w:rPr>
          <w:rFonts w:asciiTheme="minorHAnsi" w:hAnsiTheme="minorHAnsi" w:cstheme="minorHAnsi"/>
          <w:sz w:val="20"/>
          <w:szCs w:val="20"/>
        </w:rPr>
      </w:pPr>
    </w:p>
    <w:p w14:paraId="4B66CF4A" w14:textId="77777777" w:rsidR="00AC2390" w:rsidRPr="00F85313" w:rsidRDefault="00AC2390" w:rsidP="00AC2390">
      <w:pPr>
        <w:widowControl/>
        <w:autoSpaceDE/>
        <w:autoSpaceDN/>
        <w:adjustRightInd/>
        <w:spacing w:line="480" w:lineRule="auto"/>
        <w:jc w:val="both"/>
        <w:rPr>
          <w:rFonts w:asciiTheme="minorHAnsi" w:hAnsiTheme="minorHAnsi" w:cstheme="minorHAnsi"/>
          <w:sz w:val="20"/>
          <w:szCs w:val="20"/>
        </w:rPr>
      </w:pPr>
    </w:p>
    <w:p w14:paraId="422B1A48" w14:textId="77777777" w:rsidR="00AC2390" w:rsidRPr="00F85313" w:rsidRDefault="00AC2390" w:rsidP="00AC2390">
      <w:pPr>
        <w:widowControl/>
        <w:autoSpaceDE/>
        <w:autoSpaceDN/>
        <w:adjustRightInd/>
        <w:spacing w:line="480" w:lineRule="auto"/>
        <w:jc w:val="both"/>
        <w:rPr>
          <w:rFonts w:asciiTheme="minorHAnsi" w:hAnsiTheme="minorHAnsi" w:cstheme="minorHAnsi"/>
          <w:sz w:val="20"/>
          <w:szCs w:val="20"/>
        </w:rPr>
      </w:pPr>
    </w:p>
    <w:p w14:paraId="0A9C122D" w14:textId="77777777" w:rsidR="00AC2390" w:rsidRPr="00F85313" w:rsidRDefault="00AC2390" w:rsidP="00AC2390">
      <w:pPr>
        <w:widowControl/>
        <w:autoSpaceDE/>
        <w:autoSpaceDN/>
        <w:adjustRightInd/>
        <w:spacing w:line="480" w:lineRule="auto"/>
        <w:jc w:val="both"/>
        <w:rPr>
          <w:rFonts w:asciiTheme="minorHAnsi" w:hAnsiTheme="minorHAnsi" w:cstheme="minorHAnsi"/>
          <w:sz w:val="20"/>
          <w:szCs w:val="20"/>
        </w:rPr>
      </w:pPr>
      <w:r w:rsidRPr="00F85313">
        <w:rPr>
          <w:rFonts w:asciiTheme="minorHAnsi" w:hAnsiTheme="minorHAnsi" w:cstheme="minorHAnsi"/>
          <w:sz w:val="20"/>
          <w:szCs w:val="20"/>
        </w:rPr>
        <w:br w:type="page"/>
      </w:r>
    </w:p>
    <w:p w14:paraId="20720FE8" w14:textId="77777777" w:rsidR="00AC2390" w:rsidRPr="00F85313" w:rsidRDefault="00AC2390" w:rsidP="00AC2390">
      <w:pPr>
        <w:snapToGrid w:val="0"/>
        <w:spacing w:line="480" w:lineRule="auto"/>
        <w:jc w:val="both"/>
        <w:rPr>
          <w:sz w:val="20"/>
          <w:szCs w:val="20"/>
        </w:rPr>
      </w:pPr>
      <w:r w:rsidRPr="00F85313">
        <w:rPr>
          <w:b/>
          <w:sz w:val="20"/>
          <w:szCs w:val="20"/>
        </w:rPr>
        <w:lastRenderedPageBreak/>
        <w:t>Supplement</w:t>
      </w:r>
      <w:r>
        <w:rPr>
          <w:b/>
          <w:sz w:val="20"/>
          <w:szCs w:val="20"/>
        </w:rPr>
        <w:t>al</w:t>
      </w:r>
      <w:r w:rsidRPr="00F85313">
        <w:rPr>
          <w:b/>
          <w:sz w:val="20"/>
          <w:szCs w:val="20"/>
        </w:rPr>
        <w:t xml:space="preserve"> Figure 1.</w:t>
      </w:r>
      <w:r w:rsidRPr="00F85313">
        <w:rPr>
          <w:sz w:val="20"/>
          <w:szCs w:val="20"/>
        </w:rPr>
        <w:t xml:space="preserve"> We conducted an attrition analysis using childhood neurocognitive functioning (the Wechsler Intelligence Scale for Children–Revised; WISC–R) and socioeconomic status (SES) to determine whether participants in the Phase 45 data collection were representative of the original cohort. a) No significant differences in WISC–R were found between the full cohort, those still alive, or those seen at Phase 45. Those who were deceased by the Phase 45 data collection had significantly lower scores on the WISC–R than those who were still alive (t=2.09, P=.04). b) No significant differences were found between the full cohort, those deceased, those alive, or those seen at Phase 45 on childhood SES.</w:t>
      </w:r>
    </w:p>
    <w:p w14:paraId="52D8FCAA" w14:textId="77777777" w:rsidR="00AC2390" w:rsidRPr="00F85313" w:rsidRDefault="00AC2390" w:rsidP="00AC2390">
      <w:pPr>
        <w:snapToGrid w:val="0"/>
        <w:spacing w:line="480" w:lineRule="auto"/>
        <w:jc w:val="center"/>
        <w:rPr>
          <w:sz w:val="20"/>
          <w:szCs w:val="20"/>
        </w:rPr>
      </w:pPr>
      <w:r w:rsidRPr="00F85313">
        <w:rPr>
          <w:noProof/>
          <w:sz w:val="20"/>
          <w:szCs w:val="20"/>
        </w:rPr>
        <mc:AlternateContent>
          <mc:Choice Requires="wps">
            <w:drawing>
              <wp:anchor distT="0" distB="0" distL="114300" distR="114300" simplePos="0" relativeHeight="251659264" behindDoc="0" locked="0" layoutInCell="1" allowOverlap="1" wp14:anchorId="672F63FF" wp14:editId="201C0E26">
                <wp:simplePos x="0" y="0"/>
                <wp:positionH relativeFrom="column">
                  <wp:posOffset>866140</wp:posOffset>
                </wp:positionH>
                <wp:positionV relativeFrom="paragraph">
                  <wp:posOffset>-171450</wp:posOffset>
                </wp:positionV>
                <wp:extent cx="311285" cy="301557"/>
                <wp:effectExtent l="0" t="0" r="6350" b="3810"/>
                <wp:wrapNone/>
                <wp:docPr id="9" name="Text Box 9"/>
                <wp:cNvGraphicFramePr/>
                <a:graphic xmlns:a="http://schemas.openxmlformats.org/drawingml/2006/main">
                  <a:graphicData uri="http://schemas.microsoft.com/office/word/2010/wordprocessingShape">
                    <wps:wsp>
                      <wps:cNvSpPr txBox="1"/>
                      <wps:spPr>
                        <a:xfrm>
                          <a:off x="0" y="0"/>
                          <a:ext cx="311285" cy="301557"/>
                        </a:xfrm>
                        <a:prstGeom prst="rect">
                          <a:avLst/>
                        </a:prstGeom>
                        <a:solidFill>
                          <a:schemeClr val="lt1"/>
                        </a:solidFill>
                        <a:ln w="6350">
                          <a:noFill/>
                        </a:ln>
                      </wps:spPr>
                      <wps:txbx>
                        <w:txbxContent>
                          <w:p w14:paraId="2034FD2C" w14:textId="77777777" w:rsidR="00AC2390" w:rsidRPr="00227949" w:rsidRDefault="00AC2390" w:rsidP="00AC2390">
                            <w:pPr>
                              <w:rPr>
                                <w:color w:val="000000" w:themeColor="text1"/>
                                <w:sz w:val="28"/>
                                <w:szCs w:val="28"/>
                              </w:rPr>
                            </w:pPr>
                            <w:r w:rsidRPr="00227949">
                              <w:rPr>
                                <w:color w:val="000000" w:themeColor="text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F63FF" id="Text Box 9" o:spid="_x0000_s1027" type="#_x0000_t202" style="position:absolute;left:0;text-align:left;margin-left:68.2pt;margin-top:-13.5pt;width:24.5pt;height:2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" fillcolor="white [3201]" stroked="f" strokeweight=".5pt">
                <v:textbox>
                  <w:txbxContent>
                    <w:p w14:paraId="2034FD2C" w14:textId="77777777" w:rsidR="00AC2390" w:rsidRPr="00227949" w:rsidRDefault="00AC2390" w:rsidP="00AC2390">
                      <w:pPr>
                        <w:rPr>
                          <w:color w:val="000000" w:themeColor="text1"/>
                          <w:sz w:val="28"/>
                          <w:szCs w:val="28"/>
                        </w:rPr>
                      </w:pPr>
                      <w:r w:rsidRPr="00227949">
                        <w:rPr>
                          <w:color w:val="000000" w:themeColor="text1"/>
                          <w:sz w:val="28"/>
                          <w:szCs w:val="28"/>
                        </w:rPr>
                        <w:t>a</w:t>
                      </w:r>
                    </w:p>
                  </w:txbxContent>
                </v:textbox>
              </v:shape>
            </w:pict>
          </mc:Fallback>
        </mc:AlternateContent>
      </w:r>
      <w:r w:rsidRPr="00F85313">
        <w:rPr>
          <w:noProof/>
          <w:sz w:val="20"/>
          <w:szCs w:val="20"/>
        </w:rPr>
        <mc:AlternateContent>
          <mc:Choice Requires="wps">
            <w:drawing>
              <wp:anchor distT="0" distB="0" distL="114300" distR="114300" simplePos="0" relativeHeight="251660288" behindDoc="0" locked="0" layoutInCell="1" allowOverlap="1" wp14:anchorId="6F57797B" wp14:editId="09DC4DF0">
                <wp:simplePos x="0" y="0"/>
                <wp:positionH relativeFrom="column">
                  <wp:posOffset>905455</wp:posOffset>
                </wp:positionH>
                <wp:positionV relativeFrom="paragraph">
                  <wp:posOffset>2786822</wp:posOffset>
                </wp:positionV>
                <wp:extent cx="369651" cy="30099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69651" cy="300990"/>
                        </a:xfrm>
                        <a:prstGeom prst="rect">
                          <a:avLst/>
                        </a:prstGeom>
                        <a:noFill/>
                        <a:ln w="6350">
                          <a:noFill/>
                        </a:ln>
                      </wps:spPr>
                      <wps:txbx>
                        <w:txbxContent>
                          <w:p w14:paraId="7A9219EE" w14:textId="77777777" w:rsidR="00AC2390" w:rsidRPr="00227949" w:rsidRDefault="00AC2390" w:rsidP="00AC2390">
                            <w:pPr>
                              <w:rPr>
                                <w:color w:val="000000" w:themeColor="text1"/>
                                <w:sz w:val="28"/>
                                <w:szCs w:val="28"/>
                              </w:rPr>
                            </w:pPr>
                            <w:r>
                              <w:rPr>
                                <w:color w:val="000000" w:themeColor="text1"/>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7797B" id="Text Box 11" o:spid="_x0000_s1028" type="#_x0000_t202" style="position:absolute;left:0;text-align:left;margin-left:71.3pt;margin-top:219.45pt;width:29.1pt;height:23.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" filled="f" stroked="f" strokeweight=".5pt">
                <v:textbox>
                  <w:txbxContent>
                    <w:p w14:paraId="7A9219EE" w14:textId="77777777" w:rsidR="00AC2390" w:rsidRPr="00227949" w:rsidRDefault="00AC2390" w:rsidP="00AC2390">
                      <w:pPr>
                        <w:rPr>
                          <w:color w:val="000000" w:themeColor="text1"/>
                          <w:sz w:val="28"/>
                          <w:szCs w:val="28"/>
                        </w:rPr>
                      </w:pPr>
                      <w:r>
                        <w:rPr>
                          <w:color w:val="000000" w:themeColor="text1"/>
                          <w:sz w:val="28"/>
                          <w:szCs w:val="28"/>
                        </w:rPr>
                        <w:t>b</w:t>
                      </w:r>
                    </w:p>
                  </w:txbxContent>
                </v:textbox>
              </v:shape>
            </w:pict>
          </mc:Fallback>
        </mc:AlternateContent>
      </w:r>
      <w:r w:rsidRPr="00F85313">
        <w:rPr>
          <w:noProof/>
          <w:sz w:val="20"/>
          <w:szCs w:val="20"/>
        </w:rPr>
        <w:drawing>
          <wp:inline distT="114300" distB="114300" distL="114300" distR="114300" wp14:anchorId="63A6932D" wp14:editId="08691EE3">
            <wp:extent cx="3570051" cy="2714017"/>
            <wp:effectExtent l="0" t="0" r="0" b="3810"/>
            <wp:docPr id="10" name="image2.png" descr="A picture containing sitting, light, red,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
                    <a:srcRect/>
                    <a:stretch>
                      <a:fillRect/>
                    </a:stretch>
                  </pic:blipFill>
                  <pic:spPr>
                    <a:xfrm>
                      <a:off x="0" y="0"/>
                      <a:ext cx="3586731" cy="2726698"/>
                    </a:xfrm>
                    <a:prstGeom prst="rect">
                      <a:avLst/>
                    </a:prstGeom>
                    <a:ln/>
                  </pic:spPr>
                </pic:pic>
              </a:graphicData>
            </a:graphic>
          </wp:inline>
        </w:drawing>
      </w:r>
    </w:p>
    <w:p w14:paraId="6961E73D" w14:textId="77777777" w:rsidR="00AC2390" w:rsidRPr="00F85313" w:rsidRDefault="00AC2390" w:rsidP="00AC2390">
      <w:pPr>
        <w:snapToGrid w:val="0"/>
        <w:spacing w:line="480" w:lineRule="auto"/>
        <w:jc w:val="center"/>
        <w:rPr>
          <w:sz w:val="20"/>
          <w:szCs w:val="20"/>
        </w:rPr>
      </w:pPr>
      <w:r w:rsidRPr="00F85313">
        <w:rPr>
          <w:noProof/>
          <w:sz w:val="20"/>
          <w:szCs w:val="20"/>
        </w:rPr>
        <w:drawing>
          <wp:inline distT="114300" distB="114300" distL="114300" distR="114300" wp14:anchorId="43D28F68" wp14:editId="7FD4514F">
            <wp:extent cx="3559562" cy="2645410"/>
            <wp:effectExtent l="0" t="0" r="0" b="0"/>
            <wp:docPr id="12" name="image1.png" descr="A picture containing sitting, table, large, wh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3615426" cy="2686927"/>
                    </a:xfrm>
                    <a:prstGeom prst="rect">
                      <a:avLst/>
                    </a:prstGeom>
                    <a:ln/>
                  </pic:spPr>
                </pic:pic>
              </a:graphicData>
            </a:graphic>
          </wp:inline>
        </w:drawing>
      </w:r>
    </w:p>
    <w:p w14:paraId="6BF0F50F" w14:textId="77777777" w:rsidR="00AC2390" w:rsidRPr="00F85313" w:rsidRDefault="00AC2390" w:rsidP="00AC2390">
      <w:pPr>
        <w:widowControl/>
        <w:autoSpaceDE/>
        <w:autoSpaceDN/>
        <w:adjustRightInd/>
        <w:spacing w:line="480" w:lineRule="auto"/>
        <w:jc w:val="both"/>
        <w:rPr>
          <w:rFonts w:asciiTheme="minorHAnsi" w:hAnsiTheme="minorHAnsi" w:cstheme="minorHAnsi"/>
          <w:sz w:val="20"/>
          <w:szCs w:val="20"/>
        </w:rPr>
      </w:pPr>
      <w:r w:rsidRPr="00F85313">
        <w:rPr>
          <w:rFonts w:asciiTheme="minorHAnsi" w:hAnsiTheme="minorHAnsi" w:cstheme="minorHAnsi"/>
          <w:sz w:val="20"/>
          <w:szCs w:val="20"/>
        </w:rPr>
        <w:br w:type="page"/>
      </w:r>
    </w:p>
    <w:p w14:paraId="15F641DA" w14:textId="77777777" w:rsidR="00AC2390" w:rsidRDefault="00AC2390" w:rsidP="00AC2390">
      <w:pPr>
        <w:widowControl/>
        <w:autoSpaceDE/>
        <w:autoSpaceDN/>
        <w:adjustRightInd/>
        <w:spacing w:line="480" w:lineRule="auto"/>
        <w:jc w:val="both"/>
        <w:rPr>
          <w:rFonts w:asciiTheme="minorHAnsi" w:hAnsiTheme="minorHAnsi" w:cstheme="minorHAnsi"/>
          <w:sz w:val="20"/>
          <w:szCs w:val="20"/>
        </w:rPr>
      </w:pPr>
      <w:r w:rsidRPr="00F85313">
        <w:rPr>
          <w:rFonts w:asciiTheme="minorHAnsi" w:hAnsiTheme="minorHAnsi" w:cstheme="minorHAnsi"/>
          <w:b/>
          <w:bCs/>
          <w:sz w:val="20"/>
          <w:szCs w:val="20"/>
        </w:rPr>
        <w:lastRenderedPageBreak/>
        <w:t>Supplement</w:t>
      </w:r>
      <w:r>
        <w:rPr>
          <w:rFonts w:asciiTheme="minorHAnsi" w:hAnsiTheme="minorHAnsi" w:cstheme="minorHAnsi"/>
          <w:b/>
          <w:bCs/>
          <w:sz w:val="20"/>
          <w:szCs w:val="20"/>
        </w:rPr>
        <w:t>al</w:t>
      </w:r>
      <w:r w:rsidRPr="00F85313">
        <w:rPr>
          <w:rFonts w:asciiTheme="minorHAnsi" w:hAnsiTheme="minorHAnsi" w:cstheme="minorHAnsi"/>
          <w:b/>
          <w:bCs/>
          <w:sz w:val="20"/>
          <w:szCs w:val="20"/>
        </w:rPr>
        <w:t xml:space="preserve"> Figure 2</w:t>
      </w:r>
      <w:r w:rsidRPr="00F85313">
        <w:rPr>
          <w:rFonts w:asciiTheme="minorHAnsi" w:hAnsiTheme="minorHAnsi" w:cstheme="minorHAnsi"/>
          <w:sz w:val="20"/>
          <w:szCs w:val="20"/>
        </w:rPr>
        <w:t>. Variable distributions of VO</w:t>
      </w:r>
      <w:r w:rsidRPr="00F85313">
        <w:rPr>
          <w:rFonts w:asciiTheme="minorHAnsi" w:hAnsiTheme="minorHAnsi" w:cstheme="minorHAnsi"/>
          <w:sz w:val="20"/>
          <w:szCs w:val="20"/>
          <w:vertAlign w:val="subscript"/>
        </w:rPr>
        <w:t>2</w:t>
      </w:r>
      <w:r w:rsidRPr="00F85313">
        <w:rPr>
          <w:rFonts w:asciiTheme="minorHAnsi" w:hAnsiTheme="minorHAnsi" w:cstheme="minorHAnsi"/>
          <w:sz w:val="20"/>
          <w:szCs w:val="20"/>
        </w:rPr>
        <w:t xml:space="preserve">Max (N = 801) and Nyberg </w:t>
      </w:r>
      <w:r>
        <w:rPr>
          <w:rFonts w:asciiTheme="minorHAnsi" w:hAnsiTheme="minorHAnsi" w:cstheme="minorHAnsi"/>
          <w:sz w:val="20"/>
          <w:szCs w:val="20"/>
        </w:rPr>
        <w:t>H</w:t>
      </w:r>
      <w:r w:rsidRPr="00F85313">
        <w:rPr>
          <w:rFonts w:asciiTheme="minorHAnsi" w:hAnsiTheme="minorHAnsi" w:cstheme="minorHAnsi"/>
          <w:sz w:val="20"/>
          <w:szCs w:val="20"/>
        </w:rPr>
        <w:t xml:space="preserve">ealth </w:t>
      </w:r>
      <w:r>
        <w:rPr>
          <w:rFonts w:asciiTheme="minorHAnsi" w:hAnsiTheme="minorHAnsi" w:cstheme="minorHAnsi"/>
          <w:sz w:val="20"/>
          <w:szCs w:val="20"/>
        </w:rPr>
        <w:t xml:space="preserve">Index </w:t>
      </w:r>
      <w:r w:rsidRPr="00F85313">
        <w:rPr>
          <w:rFonts w:asciiTheme="minorHAnsi" w:hAnsiTheme="minorHAnsi" w:cstheme="minorHAnsi"/>
          <w:sz w:val="20"/>
          <w:szCs w:val="20"/>
        </w:rPr>
        <w:t xml:space="preserve">scores (N= 854) </w:t>
      </w:r>
      <w:r>
        <w:rPr>
          <w:rFonts w:asciiTheme="minorHAnsi" w:hAnsiTheme="minorHAnsi" w:cstheme="minorHAnsi"/>
          <w:sz w:val="20"/>
          <w:szCs w:val="20"/>
        </w:rPr>
        <w:t>in men and women</w:t>
      </w:r>
      <w:r w:rsidRPr="00F85313">
        <w:rPr>
          <w:rFonts w:asciiTheme="minorHAnsi" w:hAnsiTheme="minorHAnsi" w:cstheme="minorHAnsi"/>
          <w:sz w:val="20"/>
          <w:szCs w:val="20"/>
        </w:rPr>
        <w:t>. a) Men had an average VO</w:t>
      </w:r>
      <w:r w:rsidRPr="00F85313">
        <w:rPr>
          <w:rFonts w:asciiTheme="minorHAnsi" w:hAnsiTheme="minorHAnsi" w:cstheme="minorHAnsi"/>
          <w:sz w:val="20"/>
          <w:szCs w:val="20"/>
          <w:vertAlign w:val="subscript"/>
        </w:rPr>
        <w:t>2</w:t>
      </w:r>
      <w:r w:rsidRPr="00F85313">
        <w:rPr>
          <w:rFonts w:asciiTheme="minorHAnsi" w:hAnsiTheme="minorHAnsi" w:cstheme="minorHAnsi"/>
          <w:sz w:val="20"/>
          <w:szCs w:val="20"/>
        </w:rPr>
        <w:t xml:space="preserve">Max of 31.65 mL/min/kg and women had an average of 22.14 mL/min/kg. b) Men had an average Nyberg </w:t>
      </w:r>
      <w:r>
        <w:rPr>
          <w:rFonts w:asciiTheme="minorHAnsi" w:hAnsiTheme="minorHAnsi" w:cstheme="minorHAnsi"/>
          <w:sz w:val="20"/>
          <w:szCs w:val="20"/>
        </w:rPr>
        <w:t>H</w:t>
      </w:r>
      <w:r w:rsidRPr="00F85313">
        <w:rPr>
          <w:rFonts w:asciiTheme="minorHAnsi" w:hAnsiTheme="minorHAnsi" w:cstheme="minorHAnsi"/>
          <w:sz w:val="20"/>
          <w:szCs w:val="20"/>
        </w:rPr>
        <w:t>ea</w:t>
      </w:r>
      <w:r>
        <w:rPr>
          <w:rFonts w:asciiTheme="minorHAnsi" w:hAnsiTheme="minorHAnsi" w:cstheme="minorHAnsi"/>
          <w:sz w:val="20"/>
          <w:szCs w:val="20"/>
        </w:rPr>
        <w:t>l</w:t>
      </w:r>
      <w:r w:rsidRPr="00F85313">
        <w:rPr>
          <w:rFonts w:asciiTheme="minorHAnsi" w:hAnsiTheme="minorHAnsi" w:cstheme="minorHAnsi"/>
          <w:sz w:val="20"/>
          <w:szCs w:val="20"/>
        </w:rPr>
        <w:t xml:space="preserve">th </w:t>
      </w:r>
      <w:r>
        <w:rPr>
          <w:rFonts w:asciiTheme="minorHAnsi" w:hAnsiTheme="minorHAnsi" w:cstheme="minorHAnsi"/>
          <w:sz w:val="20"/>
          <w:szCs w:val="20"/>
        </w:rPr>
        <w:t xml:space="preserve">Index </w:t>
      </w:r>
      <w:r w:rsidRPr="00F85313">
        <w:rPr>
          <w:rFonts w:asciiTheme="minorHAnsi" w:hAnsiTheme="minorHAnsi" w:cstheme="minorHAnsi"/>
          <w:sz w:val="20"/>
          <w:szCs w:val="20"/>
        </w:rPr>
        <w:t>score of 4.8 and women had an average score of 5.12.</w:t>
      </w:r>
    </w:p>
    <w:p w14:paraId="23491659" w14:textId="77777777" w:rsidR="00AC2390" w:rsidRPr="00385578" w:rsidRDefault="00AC2390" w:rsidP="00AC2390">
      <w:pPr>
        <w:pStyle w:val="ListParagraph"/>
        <w:spacing w:line="480" w:lineRule="auto"/>
        <w:ind w:left="270"/>
        <w:jc w:val="both"/>
        <w:rPr>
          <w:rFonts w:asciiTheme="minorHAnsi" w:hAnsiTheme="minorHAnsi" w:cstheme="minorHAnsi"/>
          <w:b/>
          <w:bCs/>
          <w:sz w:val="20"/>
          <w:szCs w:val="20"/>
        </w:rPr>
      </w:pPr>
      <w:r w:rsidRPr="00385578">
        <w:rPr>
          <w:rFonts w:asciiTheme="minorHAnsi" w:eastAsia="Times New Roman" w:hAnsiTheme="minorHAnsi" w:cstheme="minorHAnsi"/>
          <w:b/>
          <w:bCs/>
          <w:sz w:val="20"/>
          <w:szCs w:val="20"/>
        </w:rPr>
        <w:t>a</w:t>
      </w:r>
      <w:r w:rsidRPr="00385578">
        <w:rPr>
          <w:rFonts w:asciiTheme="minorHAnsi" w:hAnsiTheme="minorHAnsi" w:cstheme="minorHAnsi"/>
          <w:sz w:val="20"/>
          <w:szCs w:val="20"/>
        </w:rPr>
        <w:t xml:space="preserve">                                                                                    </w:t>
      </w:r>
      <w:r>
        <w:rPr>
          <w:rFonts w:asciiTheme="minorHAnsi" w:hAnsiTheme="minorHAnsi" w:cstheme="minorHAnsi"/>
          <w:sz w:val="20"/>
          <w:szCs w:val="20"/>
        </w:rPr>
        <w:t xml:space="preserve">      </w:t>
      </w:r>
      <w:r w:rsidRPr="00385578">
        <w:rPr>
          <w:rFonts w:asciiTheme="minorHAnsi" w:hAnsiTheme="minorHAnsi" w:cstheme="minorHAnsi"/>
          <w:sz w:val="20"/>
          <w:szCs w:val="20"/>
        </w:rPr>
        <w:t xml:space="preserve"> </w:t>
      </w:r>
      <w:r w:rsidRPr="00385578">
        <w:rPr>
          <w:rFonts w:asciiTheme="minorHAnsi" w:hAnsiTheme="minorHAnsi" w:cstheme="minorHAnsi"/>
          <w:b/>
          <w:bCs/>
          <w:sz w:val="20"/>
          <w:szCs w:val="20"/>
        </w:rPr>
        <w:t>b</w:t>
      </w:r>
    </w:p>
    <w:p w14:paraId="45EB191E" w14:textId="77777777" w:rsidR="00AC2390" w:rsidRPr="00F85313" w:rsidRDefault="00AC2390" w:rsidP="00AC2390">
      <w:pPr>
        <w:widowControl/>
        <w:autoSpaceDE/>
        <w:autoSpaceDN/>
        <w:adjustRightInd/>
        <w:spacing w:line="480" w:lineRule="auto"/>
        <w:jc w:val="both"/>
        <w:rPr>
          <w:rFonts w:asciiTheme="minorHAnsi" w:hAnsiTheme="minorHAnsi" w:cstheme="minorHAnsi"/>
          <w:sz w:val="20"/>
          <w:szCs w:val="20"/>
        </w:rPr>
      </w:pPr>
      <w:r w:rsidRPr="00F85313">
        <w:rPr>
          <w:rFonts w:asciiTheme="minorHAnsi" w:hAnsiTheme="minorHAnsi" w:cstheme="minorHAnsi"/>
          <w:noProof/>
          <w:sz w:val="20"/>
          <w:szCs w:val="20"/>
        </w:rPr>
        <w:drawing>
          <wp:inline distT="0" distB="0" distL="0" distR="0" wp14:anchorId="0F403D50" wp14:editId="2E7CD20C">
            <wp:extent cx="2818263" cy="2818263"/>
            <wp:effectExtent l="0" t="0" r="1270" b="1270"/>
            <wp:docPr id="1" name="Picture 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histogram&#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2850960" cy="2850960"/>
                    </a:xfrm>
                    <a:prstGeom prst="rect">
                      <a:avLst/>
                    </a:prstGeom>
                  </pic:spPr>
                </pic:pic>
              </a:graphicData>
            </a:graphic>
          </wp:inline>
        </w:drawing>
      </w:r>
      <w:r w:rsidRPr="00F85313">
        <w:rPr>
          <w:rFonts w:asciiTheme="minorHAnsi" w:hAnsiTheme="minorHAnsi" w:cstheme="minorHAnsi"/>
          <w:noProof/>
          <w:sz w:val="20"/>
          <w:szCs w:val="20"/>
        </w:rPr>
        <w:drawing>
          <wp:inline distT="0" distB="0" distL="0" distR="0" wp14:anchorId="0592E1BE" wp14:editId="6EEADF28">
            <wp:extent cx="2790967" cy="2790967"/>
            <wp:effectExtent l="0" t="0" r="3175" b="3175"/>
            <wp:docPr id="7" name="Picture 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2822273" cy="2822273"/>
                    </a:xfrm>
                    <a:prstGeom prst="rect">
                      <a:avLst/>
                    </a:prstGeom>
                  </pic:spPr>
                </pic:pic>
              </a:graphicData>
            </a:graphic>
          </wp:inline>
        </w:drawing>
      </w:r>
    </w:p>
    <w:p w14:paraId="0BC7FE6E" w14:textId="4064335C" w:rsidR="009D050C" w:rsidRDefault="009D050C">
      <w:pPr>
        <w:widowControl/>
        <w:autoSpaceDE/>
        <w:autoSpaceDN/>
        <w:adjustRightInd/>
      </w:pPr>
      <w:r>
        <w:br w:type="page"/>
      </w:r>
    </w:p>
    <w:p w14:paraId="7C210B54" w14:textId="77777777" w:rsidR="009D050C" w:rsidRPr="00F85313" w:rsidRDefault="009D050C" w:rsidP="009D050C">
      <w:pPr>
        <w:widowControl/>
        <w:autoSpaceDE/>
        <w:autoSpaceDN/>
        <w:adjustRightInd/>
        <w:spacing w:line="480" w:lineRule="auto"/>
        <w:jc w:val="both"/>
        <w:rPr>
          <w:rFonts w:asciiTheme="minorHAnsi" w:hAnsiTheme="minorHAnsi" w:cstheme="minorHAnsi"/>
          <w:sz w:val="20"/>
          <w:szCs w:val="20"/>
        </w:rPr>
      </w:pPr>
      <w:r>
        <w:rPr>
          <w:rFonts w:asciiTheme="minorHAnsi" w:hAnsiTheme="minorHAnsi" w:cstheme="minorHAnsi"/>
          <w:b/>
          <w:bCs/>
          <w:noProof/>
          <w:sz w:val="20"/>
          <w:szCs w:val="20"/>
        </w:rPr>
        <w:lastRenderedPageBreak/>
        <w:drawing>
          <wp:anchor distT="0" distB="0" distL="114300" distR="114300" simplePos="0" relativeHeight="251664384" behindDoc="0" locked="0" layoutInCell="1" allowOverlap="1" wp14:anchorId="1ABC97BE" wp14:editId="5016222C">
            <wp:simplePos x="0" y="0"/>
            <wp:positionH relativeFrom="margin">
              <wp:posOffset>102870</wp:posOffset>
            </wp:positionH>
            <wp:positionV relativeFrom="margin">
              <wp:posOffset>278130</wp:posOffset>
            </wp:positionV>
            <wp:extent cx="5096510" cy="5168900"/>
            <wp:effectExtent l="0" t="0" r="0" b="0"/>
            <wp:wrapSquare wrapText="bothSides"/>
            <wp:docPr id="4" name="Picture 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096510" cy="5168900"/>
                    </a:xfrm>
                    <a:prstGeom prst="rect">
                      <a:avLst/>
                    </a:prstGeom>
                  </pic:spPr>
                </pic:pic>
              </a:graphicData>
            </a:graphic>
          </wp:anchor>
        </w:drawing>
      </w:r>
      <w:r w:rsidRPr="00F85313">
        <w:rPr>
          <w:rFonts w:asciiTheme="minorHAnsi" w:hAnsiTheme="minorHAnsi" w:cstheme="minorHAnsi"/>
          <w:b/>
          <w:bCs/>
          <w:sz w:val="20"/>
          <w:szCs w:val="20"/>
        </w:rPr>
        <w:t>Supplement</w:t>
      </w:r>
      <w:r>
        <w:rPr>
          <w:rFonts w:asciiTheme="minorHAnsi" w:hAnsiTheme="minorHAnsi" w:cstheme="minorHAnsi"/>
          <w:b/>
          <w:bCs/>
          <w:sz w:val="20"/>
          <w:szCs w:val="20"/>
        </w:rPr>
        <w:t>al</w:t>
      </w:r>
      <w:r w:rsidRPr="00F85313">
        <w:rPr>
          <w:rFonts w:asciiTheme="minorHAnsi" w:hAnsiTheme="minorHAnsi" w:cstheme="minorHAnsi"/>
          <w:b/>
          <w:bCs/>
          <w:sz w:val="20"/>
          <w:szCs w:val="20"/>
        </w:rPr>
        <w:t xml:space="preserve"> Figure </w:t>
      </w:r>
      <w:r>
        <w:rPr>
          <w:rFonts w:asciiTheme="minorHAnsi" w:hAnsiTheme="minorHAnsi" w:cstheme="minorHAnsi"/>
          <w:b/>
          <w:bCs/>
          <w:sz w:val="20"/>
          <w:szCs w:val="20"/>
        </w:rPr>
        <w:t>3</w:t>
      </w:r>
      <w:r w:rsidRPr="00F85313">
        <w:rPr>
          <w:rFonts w:asciiTheme="minorHAnsi" w:hAnsiTheme="minorHAnsi" w:cstheme="minorHAnsi"/>
          <w:sz w:val="20"/>
          <w:szCs w:val="20"/>
        </w:rPr>
        <w:t xml:space="preserve">. </w:t>
      </w:r>
      <w:r>
        <w:rPr>
          <w:rFonts w:asciiTheme="minorHAnsi" w:hAnsiTheme="minorHAnsi" w:cstheme="minorHAnsi"/>
          <w:sz w:val="20"/>
          <w:szCs w:val="20"/>
        </w:rPr>
        <w:t>Heat map of correlations between all white matter tracts used in analyses.</w:t>
      </w:r>
    </w:p>
    <w:p w14:paraId="5F13228B" w14:textId="77777777" w:rsidR="0048056B" w:rsidRDefault="0048056B"/>
    <w:sectPr w:rsidR="0048056B" w:rsidSect="00F7487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Roman-WP">
    <w:altName w:val="Calibri"/>
    <w:panose1 w:val="020B0604020202020204"/>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mirrorMargins/>
  <w:proofState w:spelling="clean" w:grammar="clean"/>
  <w:defaultTabStop w:val="720"/>
  <w:evenAndOddHeaders/>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2390"/>
    <w:rsid w:val="00002CFC"/>
    <w:rsid w:val="000264C0"/>
    <w:rsid w:val="00034E2E"/>
    <w:rsid w:val="00113934"/>
    <w:rsid w:val="00442E04"/>
    <w:rsid w:val="0048056B"/>
    <w:rsid w:val="00490FA8"/>
    <w:rsid w:val="005106E0"/>
    <w:rsid w:val="007A4EA8"/>
    <w:rsid w:val="00890718"/>
    <w:rsid w:val="009D050C"/>
    <w:rsid w:val="00A63456"/>
    <w:rsid w:val="00AC2390"/>
    <w:rsid w:val="00C051B3"/>
    <w:rsid w:val="00D35F64"/>
    <w:rsid w:val="00F74876"/>
    <w:rsid w:val="00FA62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18063E5"/>
  <w14:defaultImageDpi w14:val="32767"/>
  <w15:chartTrackingRefBased/>
  <w15:docId w15:val="{6A55D6AF-7C32-2F4F-A28A-75560AF05A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C2390"/>
    <w:pPr>
      <w:widowControl w:val="0"/>
      <w:autoSpaceDE w:val="0"/>
      <w:autoSpaceDN w:val="0"/>
      <w:adjustRightInd w:val="0"/>
    </w:pPr>
    <w:rPr>
      <w:rFonts w:ascii="Roman-WP" w:eastAsia="Times New Roman" w:hAnsi="Roman-W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C2390"/>
    <w:pPr>
      <w:widowControl/>
      <w:autoSpaceDE/>
      <w:autoSpaceDN/>
      <w:adjustRightInd/>
    </w:pPr>
    <w:rPr>
      <w:rFonts w:ascii="Times New Roman" w:eastAsiaTheme="minorEastAsia" w:hAnsi="Times New Roman"/>
      <w:sz w:val="18"/>
      <w:szCs w:val="18"/>
    </w:rPr>
  </w:style>
  <w:style w:type="character" w:customStyle="1" w:styleId="BalloonTextChar">
    <w:name w:val="Balloon Text Char"/>
    <w:basedOn w:val="DefaultParagraphFont"/>
    <w:link w:val="BalloonText"/>
    <w:uiPriority w:val="99"/>
    <w:semiHidden/>
    <w:rsid w:val="00AC2390"/>
    <w:rPr>
      <w:rFonts w:eastAsiaTheme="minorEastAsia"/>
      <w:sz w:val="18"/>
      <w:szCs w:val="18"/>
    </w:rPr>
  </w:style>
  <w:style w:type="paragraph" w:styleId="ListParagraph">
    <w:name w:val="List Paragraph"/>
    <w:basedOn w:val="Normal"/>
    <w:uiPriority w:val="34"/>
    <w:qFormat/>
    <w:rsid w:val="00AC2390"/>
    <w:pPr>
      <w:widowControl/>
      <w:autoSpaceDE/>
      <w:autoSpaceDN/>
      <w:adjustRightInd/>
      <w:ind w:left="720"/>
      <w:contextualSpacing/>
    </w:pPr>
    <w:rPr>
      <w:rFonts w:ascii="Times New Roman" w:eastAsiaTheme="minorHAnsi" w:hAnsi="Times New Roman"/>
    </w:rPr>
  </w:style>
  <w:style w:type="table" w:styleId="ListTable1Light">
    <w:name w:val="List Table 1 Light"/>
    <w:basedOn w:val="TableNormal"/>
    <w:uiPriority w:val="46"/>
    <w:rsid w:val="00AC2390"/>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526</Words>
  <Characters>3000</Characters>
  <Application>Microsoft Office Word</Application>
  <DocSecurity>0</DocSecurity>
  <Lines>25</Lines>
  <Paragraphs>7</Paragraphs>
  <ScaleCrop>false</ScaleCrop>
  <Company/>
  <LinksUpToDate>false</LinksUpToDate>
  <CharactersWithSpaces>3519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Tracy Darbeloff</dc:creator>
  <cp:keywords/>
  <dc:description/>
  <cp:lastModifiedBy>Tracy Darbeloff</cp:lastModifiedBy>
  <cp:revision>2</cp:revision>
  <dcterms:created xsi:type="dcterms:W3CDTF">2021-03-01T17:51:00Z</dcterms:created>
  <dcterms:modified xsi:type="dcterms:W3CDTF">2021-03-01T17:51:00Z</dcterms:modified>
</cp:coreProperties>
</file>