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58971729" w:rsidR="00654E8F" w:rsidRPr="001549D3" w:rsidRDefault="00C91C0B" w:rsidP="0001436A">
      <w:pPr>
        <w:pStyle w:val="SupplementaryMaterial"/>
        <w:rPr>
          <w:b w:val="0"/>
        </w:rPr>
      </w:pPr>
      <w:bookmarkStart w:id="0" w:name="_GoBack"/>
      <w:bookmarkEnd w:id="0"/>
      <w:r>
        <w:t>Supplemental</w:t>
      </w:r>
      <w:r w:rsidR="00654E8F" w:rsidRPr="001549D3">
        <w:t xml:space="preserve"> Material</w:t>
      </w:r>
    </w:p>
    <w:p w14:paraId="21FAAC0B" w14:textId="77777777" w:rsidR="00C50BC1" w:rsidRDefault="00C91C0B" w:rsidP="00C50BC1">
      <w:pPr>
        <w:pStyle w:val="Kop1"/>
        <w:numPr>
          <w:ilvl w:val="0"/>
          <w:numId w:val="14"/>
        </w:numPr>
      </w:pPr>
      <w:r>
        <w:t>Supplemental</w:t>
      </w:r>
      <w:r w:rsidR="005C0CDD">
        <w:t xml:space="preserve"> Figures</w:t>
      </w:r>
      <w:r w:rsidR="00F00DCC" w:rsidRPr="00F00DCC">
        <w:t xml:space="preserve"> </w:t>
      </w:r>
    </w:p>
    <w:p w14:paraId="28A6E133" w14:textId="77777777" w:rsidR="00C50BC1" w:rsidRDefault="00C50BC1" w:rsidP="00C50BC1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1DBF0" wp14:editId="66BF4D84">
                <wp:simplePos x="0" y="0"/>
                <wp:positionH relativeFrom="margin">
                  <wp:posOffset>1375576</wp:posOffset>
                </wp:positionH>
                <wp:positionV relativeFrom="paragraph">
                  <wp:posOffset>154554</wp:posOffset>
                </wp:positionV>
                <wp:extent cx="2486025" cy="971550"/>
                <wp:effectExtent l="0" t="0" r="28575" b="1905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3529A" w14:textId="77777777" w:rsidR="00C50BC1" w:rsidRPr="00624371" w:rsidRDefault="00C50BC1" w:rsidP="00C50BC1">
                            <w:pPr>
                              <w:rPr>
                                <w:color w:val="000000" w:themeColor="text1"/>
                              </w:rPr>
                            </w:pPr>
                            <w:r w:rsidRPr="00624371">
                              <w:rPr>
                                <w:color w:val="000000" w:themeColor="text1"/>
                              </w:rPr>
                              <w:t xml:space="preserve">Received samples from n = 133 hospitalized patients between March 17th – May </w:t>
                            </w:r>
                            <w:r>
                              <w:rPr>
                                <w:color w:val="000000" w:themeColor="text1"/>
                              </w:rPr>
                              <w:t>1st 2020 with suspected COVID-19 infection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1DBF0" id="Rechthoek 3" o:spid="_x0000_s1026" style="position:absolute;margin-left:108.3pt;margin-top:12.15pt;width:195.7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" fillcolor="white [3212]" strokecolor="black [3213]">
                <v:textbox>
                  <w:txbxContent>
                    <w:p w14:paraId="3EB3529A" w14:textId="77777777" w:rsidR="00C50BC1" w:rsidRPr="00624371" w:rsidRDefault="00C50BC1" w:rsidP="00C50BC1">
                      <w:pPr>
                        <w:rPr>
                          <w:color w:val="000000" w:themeColor="text1"/>
                        </w:rPr>
                      </w:pPr>
                      <w:r w:rsidRPr="00624371">
                        <w:rPr>
                          <w:color w:val="000000" w:themeColor="text1"/>
                        </w:rPr>
                        <w:t xml:space="preserve">Received samples from n = 133 hospitalized patients between March 17th – May </w:t>
                      </w:r>
                      <w:r>
                        <w:rPr>
                          <w:color w:val="000000" w:themeColor="text1"/>
                        </w:rPr>
                        <w:t>1st 2020 with suspected COVID-19 infection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1A3064" w14:textId="77777777" w:rsidR="00C50BC1" w:rsidRDefault="00C50BC1" w:rsidP="00C50BC1"/>
    <w:p w14:paraId="78BF39C3" w14:textId="77777777" w:rsidR="00C50BC1" w:rsidRDefault="00C50BC1" w:rsidP="00C50BC1"/>
    <w:p w14:paraId="5B17F6B2" w14:textId="77777777" w:rsidR="00C50BC1" w:rsidRDefault="00C50BC1" w:rsidP="00C50BC1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DBE28" wp14:editId="2E44F261">
                <wp:simplePos x="0" y="0"/>
                <wp:positionH relativeFrom="column">
                  <wp:posOffset>2612201</wp:posOffset>
                </wp:positionH>
                <wp:positionV relativeFrom="paragraph">
                  <wp:posOffset>143125</wp:posOffset>
                </wp:positionV>
                <wp:extent cx="0" cy="239147"/>
                <wp:effectExtent l="0" t="0" r="19050" b="27940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914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782FF" id="Rechte verbindingslijn 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7pt,11.25pt" to="205.7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" strokecolor="black [3213]"/>
            </w:pict>
          </mc:Fallback>
        </mc:AlternateContent>
      </w:r>
    </w:p>
    <w:p w14:paraId="415FEED8" w14:textId="77777777" w:rsidR="00C50BC1" w:rsidRDefault="00C50BC1" w:rsidP="00C50BC1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1331A8" wp14:editId="4964B945">
                <wp:simplePos x="0" y="0"/>
                <wp:positionH relativeFrom="column">
                  <wp:posOffset>1236980</wp:posOffset>
                </wp:positionH>
                <wp:positionV relativeFrom="paragraph">
                  <wp:posOffset>53340</wp:posOffset>
                </wp:positionV>
                <wp:extent cx="1377950" cy="317500"/>
                <wp:effectExtent l="76200" t="0" r="12700" b="63500"/>
                <wp:wrapNone/>
                <wp:docPr id="2" name="Gebogen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7950" cy="317500"/>
                        </a:xfrm>
                        <a:prstGeom prst="bentConnector3">
                          <a:avLst>
                            <a:gd name="adj1" fmla="val 99813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8FE5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bogen verbindingslijn 2" o:spid="_x0000_s1026" type="#_x0000_t34" style="position:absolute;margin-left:97.4pt;margin-top:4.2pt;width:108.5pt;height: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" adj="21560" strokecolor="black [3213]">
                <v:stroke endarrow="block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47198" wp14:editId="6926B2C7">
                <wp:simplePos x="0" y="0"/>
                <wp:positionH relativeFrom="column">
                  <wp:posOffset>2602230</wp:posOffset>
                </wp:positionH>
                <wp:positionV relativeFrom="paragraph">
                  <wp:posOffset>53340</wp:posOffset>
                </wp:positionV>
                <wp:extent cx="1365250" cy="311150"/>
                <wp:effectExtent l="0" t="0" r="82550" b="50800"/>
                <wp:wrapNone/>
                <wp:docPr id="4" name="Gebogen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250" cy="311150"/>
                        </a:xfrm>
                        <a:prstGeom prst="bentConnector3">
                          <a:avLst>
                            <a:gd name="adj1" fmla="val 100041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06B4" id="Gebogen verbindingslijn 4" o:spid="_x0000_s1026" type="#_x0000_t34" style="position:absolute;margin-left:204.9pt;margin-top:4.2pt;width:107.5pt;height: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" adj="21609" strokecolor="black [3213]">
                <v:stroke endarrow="block"/>
              </v:shape>
            </w:pict>
          </mc:Fallback>
        </mc:AlternateContent>
      </w:r>
    </w:p>
    <w:p w14:paraId="185AA8B1" w14:textId="77777777" w:rsidR="00C50BC1" w:rsidRDefault="00C50BC1" w:rsidP="00C50BC1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55EFA" wp14:editId="3F3958C3">
                <wp:simplePos x="0" y="0"/>
                <wp:positionH relativeFrom="margin">
                  <wp:posOffset>2729230</wp:posOffset>
                </wp:positionH>
                <wp:positionV relativeFrom="paragraph">
                  <wp:posOffset>39369</wp:posOffset>
                </wp:positionV>
                <wp:extent cx="2486025" cy="1076325"/>
                <wp:effectExtent l="0" t="0" r="28575" b="2857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4C1D4" w14:textId="4878B8EA" w:rsidR="00C50BC1" w:rsidRPr="00624371" w:rsidRDefault="00C50BC1" w:rsidP="00C50BC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Included the first sample after hospitalization that was analyzed within 5 hours from n = 2</w:t>
                            </w:r>
                            <w:r w:rsidR="002D197D">
                              <w:rPr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COVID-19 negative patients who received a different diagnosis.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55EFA" id="Rechthoek 5" o:spid="_x0000_s1027" style="position:absolute;margin-left:214.9pt;margin-top:3.1pt;width:195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" fillcolor="white [3212]" strokecolor="black [3213]">
                <v:textbox>
                  <w:txbxContent>
                    <w:p w14:paraId="0074C1D4" w14:textId="4878B8EA" w:rsidR="00C50BC1" w:rsidRPr="00624371" w:rsidRDefault="00C50BC1" w:rsidP="00C50BC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Included the first sample after hospitalization that was analyzed within 5 hours from n = 2</w:t>
                      </w:r>
                      <w:r w:rsidR="002D197D">
                        <w:rPr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 xml:space="preserve"> COVID-19 negative patients who received a different diagnosis.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0F16AC" wp14:editId="5BE57230">
                <wp:simplePos x="0" y="0"/>
                <wp:positionH relativeFrom="margin">
                  <wp:align>left</wp:align>
                </wp:positionH>
                <wp:positionV relativeFrom="paragraph">
                  <wp:posOffset>39369</wp:posOffset>
                </wp:positionV>
                <wp:extent cx="2486025" cy="1076325"/>
                <wp:effectExtent l="0" t="0" r="28575" b="28575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C9A5D" w14:textId="77777777" w:rsidR="00C50BC1" w:rsidRPr="00624371" w:rsidRDefault="00C50BC1" w:rsidP="00C50BC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Included the first sample after hospitalization that was analyzed within 5 hours from n = 79 patients with confirmed COVID-19 infection.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F16AC" id="Rechthoek 12" o:spid="_x0000_s1028" style="position:absolute;margin-left:0;margin-top:3.1pt;width:195.75pt;height:84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" fillcolor="white [3212]" strokecolor="black [3213]">
                <v:textbox>
                  <w:txbxContent>
                    <w:p w14:paraId="1A3C9A5D" w14:textId="77777777" w:rsidR="00C50BC1" w:rsidRPr="00624371" w:rsidRDefault="00C50BC1" w:rsidP="00C50BC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Included the first sample after hospitalization that was analyzed within 5 hours from n = 79 patients with confirmed COVID-19 infection.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064811" w14:textId="77777777" w:rsidR="00C50BC1" w:rsidRDefault="00C50BC1" w:rsidP="00C50BC1"/>
    <w:p w14:paraId="3107B61A" w14:textId="77777777" w:rsidR="00C50BC1" w:rsidRDefault="00C50BC1" w:rsidP="00C50BC1">
      <w:pPr>
        <w:rPr>
          <w:b/>
        </w:rPr>
      </w:pPr>
    </w:p>
    <w:p w14:paraId="7C428426" w14:textId="6E9AAB87" w:rsidR="00F00DCC" w:rsidRDefault="00F00DCC" w:rsidP="00C50BC1">
      <w:pPr>
        <w:pStyle w:val="Kop1"/>
        <w:rPr>
          <w:b w:val="0"/>
        </w:rPr>
      </w:pPr>
    </w:p>
    <w:p w14:paraId="1ED49A9F" w14:textId="7DE60DBE" w:rsidR="00F00DCC" w:rsidRDefault="00E70537" w:rsidP="00F00DCC">
      <w:pPr>
        <w:rPr>
          <w:szCs w:val="24"/>
        </w:rPr>
      </w:pPr>
      <w:r>
        <w:rPr>
          <w:b/>
        </w:rPr>
        <w:t xml:space="preserve">Supplemental Figure </w:t>
      </w:r>
      <w:r>
        <w:rPr>
          <w:b/>
          <w:szCs w:val="24"/>
        </w:rPr>
        <w:t>1</w:t>
      </w:r>
      <w:r w:rsidR="00F00DCC" w:rsidRPr="005C0CDD">
        <w:rPr>
          <w:b/>
        </w:rPr>
        <w:t xml:space="preserve">: </w:t>
      </w:r>
      <w:r w:rsidR="00F00DCC" w:rsidRPr="007B46C9">
        <w:rPr>
          <w:szCs w:val="24"/>
        </w:rPr>
        <w:t>Study patient sample inclusions.</w:t>
      </w:r>
    </w:p>
    <w:p w14:paraId="516FE6B1" w14:textId="23312F7F" w:rsidR="005C0CDD" w:rsidRDefault="005C0CDD" w:rsidP="00186A9A">
      <w:pPr>
        <w:rPr>
          <w:szCs w:val="24"/>
        </w:rPr>
      </w:pPr>
    </w:p>
    <w:p w14:paraId="19B477CB" w14:textId="462C5CCF" w:rsidR="006C7180" w:rsidRDefault="006C7180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2EF138C2" w14:textId="471D7D8C" w:rsidR="006C7180" w:rsidRDefault="006C7180" w:rsidP="00186A9A">
      <w:pPr>
        <w:rPr>
          <w:szCs w:val="24"/>
        </w:rPr>
      </w:pPr>
      <w:r>
        <w:rPr>
          <w:noProof/>
          <w:szCs w:val="24"/>
          <w:lang w:val="nl-NL" w:eastAsia="nl-NL"/>
        </w:rPr>
        <w:lastRenderedPageBreak/>
        <w:drawing>
          <wp:inline distT="0" distB="0" distL="0" distR="0" wp14:anchorId="60721CD7" wp14:editId="7F72A275">
            <wp:extent cx="6208395" cy="4056249"/>
            <wp:effectExtent l="0" t="0" r="1905" b="1905"/>
            <wp:docPr id="289" name="Afbeelding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29" b="9328"/>
                    <a:stretch/>
                  </pic:blipFill>
                  <pic:spPr bwMode="auto">
                    <a:xfrm>
                      <a:off x="0" y="0"/>
                      <a:ext cx="6208395" cy="405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63455" w14:textId="263B7389" w:rsidR="00375848" w:rsidRDefault="00C91C0B" w:rsidP="00186A9A">
      <w:pPr>
        <w:rPr>
          <w:szCs w:val="24"/>
        </w:rPr>
      </w:pPr>
      <w:r>
        <w:rPr>
          <w:b/>
        </w:rPr>
        <w:t xml:space="preserve">Supplemental Figure </w:t>
      </w:r>
      <w:r w:rsidR="006C7180" w:rsidRPr="001D2A18">
        <w:rPr>
          <w:b/>
          <w:szCs w:val="24"/>
        </w:rPr>
        <w:t>2:</w:t>
      </w:r>
      <w:r w:rsidR="006C7180">
        <w:rPr>
          <w:szCs w:val="24"/>
        </w:rPr>
        <w:t xml:space="preserve"> FACS gating strategy. Platelets are gated based on their forward scatter (FSC) and sideward scatter (SSC). In a subset of samples (12/79) a platelet specific marker </w:t>
      </w:r>
      <w:r w:rsidR="006C7180" w:rsidRPr="006C7180">
        <w:rPr>
          <w:szCs w:val="24"/>
        </w:rPr>
        <w:t xml:space="preserve">CD42b (Glycoprotein 1bα) </w:t>
      </w:r>
      <w:r w:rsidR="006C7180">
        <w:rPr>
          <w:szCs w:val="24"/>
        </w:rPr>
        <w:t>was included</w:t>
      </w:r>
      <w:r w:rsidR="006C7180" w:rsidRPr="006C7180">
        <w:rPr>
          <w:szCs w:val="24"/>
        </w:rPr>
        <w:t xml:space="preserve"> to validate our FACS </w:t>
      </w:r>
      <w:r w:rsidR="006C7180">
        <w:rPr>
          <w:szCs w:val="24"/>
        </w:rPr>
        <w:t xml:space="preserve">gating </w:t>
      </w:r>
      <w:r w:rsidR="006C7180" w:rsidRPr="006C7180">
        <w:rPr>
          <w:szCs w:val="24"/>
        </w:rPr>
        <w:t>strategy</w:t>
      </w:r>
      <w:r w:rsidR="006C7180">
        <w:rPr>
          <w:szCs w:val="24"/>
        </w:rPr>
        <w:t>. Cells in the platelet gate (indicated in red) are positive for platelet marker GP1b</w:t>
      </w:r>
      <w:r w:rsidR="006C7180">
        <w:rPr>
          <w:rFonts w:cs="Times New Roman"/>
          <w:szCs w:val="24"/>
        </w:rPr>
        <w:t>α</w:t>
      </w:r>
      <w:r w:rsidR="006C7180">
        <w:rPr>
          <w:szCs w:val="24"/>
        </w:rPr>
        <w:t>. Non-activated platelets express low levels of activation marker P-selectin (</w:t>
      </w:r>
      <w:r w:rsidR="006C7180" w:rsidRPr="0057146A">
        <w:rPr>
          <w:b/>
          <w:szCs w:val="24"/>
        </w:rPr>
        <w:t>A</w:t>
      </w:r>
      <w:r w:rsidR="006C7180">
        <w:rPr>
          <w:szCs w:val="24"/>
        </w:rPr>
        <w:t>), which increases upon platelet activation (</w:t>
      </w:r>
      <w:r w:rsidR="006C7180" w:rsidRPr="0057146A">
        <w:rPr>
          <w:b/>
          <w:szCs w:val="24"/>
        </w:rPr>
        <w:t>B</w:t>
      </w:r>
      <w:r w:rsidR="006C7180">
        <w:rPr>
          <w:szCs w:val="24"/>
        </w:rPr>
        <w:t>). Cells in the erythrocyte and leukocyte gate are negative for the platelet marker GP1b</w:t>
      </w:r>
      <w:r w:rsidR="006C7180">
        <w:rPr>
          <w:rFonts w:cs="Times New Roman"/>
          <w:szCs w:val="24"/>
        </w:rPr>
        <w:t>α</w:t>
      </w:r>
      <w:r w:rsidR="006C7180">
        <w:rPr>
          <w:szCs w:val="24"/>
        </w:rPr>
        <w:t xml:space="preserve"> and P-selectin. </w:t>
      </w:r>
    </w:p>
    <w:p w14:paraId="0958320C" w14:textId="77777777" w:rsidR="00375848" w:rsidRDefault="00375848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44972721" w14:textId="66B1C154" w:rsidR="002B6EF4" w:rsidRDefault="002B6EF4" w:rsidP="00375848">
      <w:pPr>
        <w:spacing w:before="0" w:after="0"/>
        <w:jc w:val="both"/>
        <w:rPr>
          <w:b/>
        </w:rPr>
      </w:pPr>
      <w:r>
        <w:rPr>
          <w:b/>
          <w:noProof/>
          <w:lang w:val="nl-NL" w:eastAsia="nl-NL"/>
        </w:rPr>
        <w:lastRenderedPageBreak/>
        <w:drawing>
          <wp:inline distT="0" distB="0" distL="0" distR="0" wp14:anchorId="4C5299F1" wp14:editId="7BBEAFCD">
            <wp:extent cx="6208395" cy="260667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322_Supplemental Figure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7EEFE" w14:textId="3B1751D7" w:rsidR="00375848" w:rsidRDefault="00C91C0B" w:rsidP="00375848">
      <w:pPr>
        <w:spacing w:before="0" w:after="0"/>
        <w:jc w:val="both"/>
        <w:rPr>
          <w:szCs w:val="24"/>
        </w:rPr>
      </w:pPr>
      <w:r>
        <w:rPr>
          <w:b/>
        </w:rPr>
        <w:t>Supplemental Figure 3</w:t>
      </w:r>
      <w:r w:rsidR="00375848" w:rsidRPr="007B46C9">
        <w:rPr>
          <w:b/>
          <w:szCs w:val="24"/>
        </w:rPr>
        <w:t>:</w:t>
      </w:r>
      <w:r w:rsidR="00375848" w:rsidRPr="007B46C9">
        <w:rPr>
          <w:szCs w:val="24"/>
        </w:rPr>
        <w:t xml:space="preserve"> </w:t>
      </w:r>
      <w:r w:rsidR="00375848">
        <w:rPr>
          <w:szCs w:val="24"/>
        </w:rPr>
        <w:t>Patient platelet reactivity stratified by COVID-19 status.</w:t>
      </w:r>
      <w:r w:rsidR="00C50BC1">
        <w:rPr>
          <w:szCs w:val="24"/>
        </w:rPr>
        <w:t xml:space="preserve"> </w:t>
      </w:r>
      <w:r w:rsidR="007C37B8" w:rsidRPr="00E155DA">
        <w:rPr>
          <w:szCs w:val="24"/>
        </w:rPr>
        <w:t>Median fluorescence intensity (MFI) of platelet fibrinogen</w:t>
      </w:r>
      <w:r w:rsidR="007C37B8" w:rsidRPr="00E155DA">
        <w:t xml:space="preserve"> binding</w:t>
      </w:r>
      <w:r w:rsidR="007C37B8" w:rsidRPr="00E155DA">
        <w:rPr>
          <w:szCs w:val="24"/>
        </w:rPr>
        <w:t xml:space="preserve"> in response to ADP (</w:t>
      </w:r>
      <w:r w:rsidR="007C37B8" w:rsidRPr="00E155DA">
        <w:rPr>
          <w:b/>
          <w:szCs w:val="24"/>
        </w:rPr>
        <w:t>A</w:t>
      </w:r>
      <w:r w:rsidR="007C37B8" w:rsidRPr="00E155DA">
        <w:rPr>
          <w:szCs w:val="24"/>
        </w:rPr>
        <w:t>), or TRAP-6 (</w:t>
      </w:r>
      <w:r w:rsidR="007C37B8" w:rsidRPr="00E155DA">
        <w:rPr>
          <w:b/>
          <w:szCs w:val="24"/>
        </w:rPr>
        <w:t>B</w:t>
      </w:r>
      <w:r w:rsidR="007C37B8" w:rsidRPr="00E155DA">
        <w:rPr>
          <w:szCs w:val="24"/>
        </w:rPr>
        <w:t>)</w:t>
      </w:r>
      <w:r w:rsidR="00375848" w:rsidRPr="00E155DA">
        <w:rPr>
          <w:szCs w:val="24"/>
        </w:rPr>
        <w:t>.</w:t>
      </w:r>
      <w:r w:rsidR="00375848" w:rsidRPr="007B12F8">
        <w:rPr>
          <w:szCs w:val="24"/>
        </w:rPr>
        <w:t xml:space="preserve"> Data points represent</w:t>
      </w:r>
      <w:r w:rsidR="00375848">
        <w:rPr>
          <w:szCs w:val="24"/>
        </w:rPr>
        <w:t xml:space="preserve"> individual values of patients that are COVID-19 negative and received a different diagnosis (n </w:t>
      </w:r>
      <w:r w:rsidR="00375848" w:rsidRPr="00375848">
        <w:rPr>
          <w:szCs w:val="24"/>
        </w:rPr>
        <w:t>= 2</w:t>
      </w:r>
      <w:r w:rsidR="002B6EF4">
        <w:rPr>
          <w:szCs w:val="24"/>
        </w:rPr>
        <w:t>1</w:t>
      </w:r>
      <w:r w:rsidR="00375848" w:rsidRPr="00375848">
        <w:rPr>
          <w:szCs w:val="24"/>
        </w:rPr>
        <w:t>;</w:t>
      </w:r>
      <w:r w:rsidR="00375848">
        <w:rPr>
          <w:szCs w:val="24"/>
        </w:rPr>
        <w:t xml:space="preserve"> displayed in grey</w:t>
      </w:r>
      <w:r w:rsidR="00375848" w:rsidRPr="007B46C9">
        <w:rPr>
          <w:szCs w:val="24"/>
        </w:rPr>
        <w:t>)</w:t>
      </w:r>
      <w:r w:rsidR="00375848">
        <w:rPr>
          <w:szCs w:val="24"/>
        </w:rPr>
        <w:t xml:space="preserve"> or patients that are COVID-19 positive </w:t>
      </w:r>
      <w:r w:rsidR="00375848" w:rsidRPr="007B46C9">
        <w:rPr>
          <w:szCs w:val="24"/>
        </w:rPr>
        <w:t>(</w:t>
      </w:r>
      <w:r w:rsidR="00375848" w:rsidRPr="00375848">
        <w:rPr>
          <w:szCs w:val="24"/>
        </w:rPr>
        <w:t>n = 79;</w:t>
      </w:r>
      <w:r w:rsidR="00375848" w:rsidRPr="007B46C9">
        <w:rPr>
          <w:szCs w:val="24"/>
        </w:rPr>
        <w:t xml:space="preserve"> displayed in </w:t>
      </w:r>
      <w:r w:rsidR="00375848">
        <w:rPr>
          <w:szCs w:val="24"/>
        </w:rPr>
        <w:t>red</w:t>
      </w:r>
      <w:r w:rsidR="00375848" w:rsidRPr="007B46C9">
        <w:rPr>
          <w:szCs w:val="24"/>
        </w:rPr>
        <w:t>)</w:t>
      </w:r>
      <w:r w:rsidR="00375848">
        <w:rPr>
          <w:szCs w:val="24"/>
        </w:rPr>
        <w:t xml:space="preserve">. The median value and interquartile range (IQR) are indicated. </w:t>
      </w:r>
      <w:r w:rsidR="00375848" w:rsidRPr="007B46C9">
        <w:rPr>
          <w:szCs w:val="24"/>
        </w:rPr>
        <w:t>Statistical difference was tested</w:t>
      </w:r>
      <w:r w:rsidR="00375848">
        <w:rPr>
          <w:szCs w:val="24"/>
        </w:rPr>
        <w:t xml:space="preserve"> for all concentrations of agonist</w:t>
      </w:r>
      <w:r w:rsidR="00375848" w:rsidRPr="007B46C9">
        <w:rPr>
          <w:szCs w:val="24"/>
        </w:rPr>
        <w:t xml:space="preserve"> using one-way ANOVA with </w:t>
      </w:r>
      <w:proofErr w:type="spellStart"/>
      <w:r w:rsidR="00375848" w:rsidRPr="007B46C9">
        <w:rPr>
          <w:szCs w:val="24"/>
        </w:rPr>
        <w:t>Sidak’s</w:t>
      </w:r>
      <w:proofErr w:type="spellEnd"/>
      <w:r w:rsidR="00375848" w:rsidRPr="007B46C9">
        <w:rPr>
          <w:szCs w:val="24"/>
        </w:rPr>
        <w:t xml:space="preserve"> multiple comparisons test</w:t>
      </w:r>
      <w:r w:rsidR="00375848">
        <w:rPr>
          <w:szCs w:val="24"/>
        </w:rPr>
        <w:t>.</w:t>
      </w:r>
      <w:r w:rsidR="00375848" w:rsidRPr="00B901C4">
        <w:rPr>
          <w:szCs w:val="24"/>
        </w:rPr>
        <w:t xml:space="preserve"> </w:t>
      </w:r>
      <w:r w:rsidR="00375848">
        <w:rPr>
          <w:szCs w:val="24"/>
        </w:rPr>
        <w:t xml:space="preserve">** = </w:t>
      </w:r>
      <w:r w:rsidR="00375848" w:rsidRPr="00B901C4">
        <w:rPr>
          <w:i/>
          <w:szCs w:val="24"/>
        </w:rPr>
        <w:t>p</w:t>
      </w:r>
      <w:r w:rsidR="00375848" w:rsidRPr="00B901C4">
        <w:rPr>
          <w:szCs w:val="24"/>
        </w:rPr>
        <w:t xml:space="preserve"> &lt;0.005;</w:t>
      </w:r>
      <w:r w:rsidR="00375848">
        <w:rPr>
          <w:szCs w:val="24"/>
        </w:rPr>
        <w:t xml:space="preserve"> *** =  </w:t>
      </w:r>
      <w:r w:rsidR="00375848" w:rsidRPr="00E9191E">
        <w:rPr>
          <w:i/>
          <w:szCs w:val="24"/>
        </w:rPr>
        <w:t>p</w:t>
      </w:r>
      <w:r w:rsidR="00375848">
        <w:rPr>
          <w:szCs w:val="24"/>
        </w:rPr>
        <w:t xml:space="preserve"> &lt;0.0005; **** =  </w:t>
      </w:r>
      <w:r w:rsidR="00375848" w:rsidRPr="00E9191E">
        <w:rPr>
          <w:i/>
          <w:szCs w:val="24"/>
        </w:rPr>
        <w:t>p</w:t>
      </w:r>
      <w:r w:rsidR="00375848">
        <w:rPr>
          <w:szCs w:val="24"/>
        </w:rPr>
        <w:t xml:space="preserve"> &lt;0.0001.</w:t>
      </w:r>
    </w:p>
    <w:p w14:paraId="06CCAF62" w14:textId="77777777" w:rsidR="00FF449F" w:rsidRDefault="00FF449F" w:rsidP="00186A9A">
      <w:pPr>
        <w:rPr>
          <w:szCs w:val="24"/>
        </w:rPr>
      </w:pPr>
    </w:p>
    <w:p w14:paraId="40CC746E" w14:textId="77777777" w:rsidR="00FF449F" w:rsidRDefault="00FF449F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7015A155" w14:textId="10BDC3CE" w:rsidR="00FF449F" w:rsidRDefault="00FF449F" w:rsidP="00FF449F">
      <w:pPr>
        <w:spacing w:before="0" w:after="0"/>
        <w:jc w:val="both"/>
        <w:rPr>
          <w:b/>
        </w:rPr>
      </w:pPr>
      <w:r>
        <w:object w:dxaOrig="14182" w:dyaOrig="6924" w14:anchorId="434A34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55pt;height:238.55pt" o:ole="">
            <v:imagedata r:id="rId10" o:title=""/>
          </v:shape>
          <o:OLEObject Type="Embed" ProgID="Prism8.Document" ShapeID="_x0000_i1025" DrawAspect="Content" ObjectID="_1679510202" r:id="rId11"/>
        </w:object>
      </w:r>
    </w:p>
    <w:p w14:paraId="564E07AE" w14:textId="75570904" w:rsidR="00FF449F" w:rsidRDefault="00C91C0B" w:rsidP="00FF449F">
      <w:pPr>
        <w:spacing w:before="0" w:after="0"/>
        <w:jc w:val="both"/>
      </w:pPr>
      <w:r>
        <w:rPr>
          <w:b/>
        </w:rPr>
        <w:t>Supplemental Figure 4</w:t>
      </w:r>
      <w:r w:rsidR="00FF449F">
        <w:rPr>
          <w:b/>
        </w:rPr>
        <w:t xml:space="preserve">: </w:t>
      </w:r>
      <w:r w:rsidR="00FF449F">
        <w:t xml:space="preserve">Supplementation of exogenous fibrinogen to healthy donor blood (under </w:t>
      </w:r>
      <w:r w:rsidR="00FF449F" w:rsidRPr="000F5EF9">
        <w:t>approval by the local medical ethics committee with written informed consent)</w:t>
      </w:r>
      <w:r w:rsidR="00FF449F">
        <w:t xml:space="preserve">. </w:t>
      </w:r>
      <w:r w:rsidR="00FF449F" w:rsidRPr="000F5EF9">
        <w:t>Median fluorescenc</w:t>
      </w:r>
      <w:r w:rsidR="00FF449F">
        <w:rPr>
          <w:szCs w:val="24"/>
        </w:rPr>
        <w:t>e intensity (MFI) of platelet bound fibrinogen (</w:t>
      </w:r>
      <w:r w:rsidR="00FF449F" w:rsidRPr="00B901C4">
        <w:rPr>
          <w:b/>
          <w:szCs w:val="24"/>
        </w:rPr>
        <w:t>A,B</w:t>
      </w:r>
      <w:r w:rsidR="00FF449F">
        <w:rPr>
          <w:szCs w:val="24"/>
        </w:rPr>
        <w:t>) in response to ADP (</w:t>
      </w:r>
      <w:r w:rsidR="00FF449F" w:rsidRPr="002C5583">
        <w:rPr>
          <w:b/>
          <w:szCs w:val="24"/>
        </w:rPr>
        <w:t>A</w:t>
      </w:r>
      <w:r w:rsidR="00FF449F">
        <w:rPr>
          <w:szCs w:val="24"/>
        </w:rPr>
        <w:t>), or TRAP-6 (</w:t>
      </w:r>
      <w:r w:rsidR="00FF449F" w:rsidRPr="002C5583">
        <w:rPr>
          <w:b/>
          <w:szCs w:val="24"/>
        </w:rPr>
        <w:t>B</w:t>
      </w:r>
      <w:r w:rsidR="00FF449F">
        <w:rPr>
          <w:szCs w:val="24"/>
        </w:rPr>
        <w:t xml:space="preserve">). Mean and standard error of healthy citrated donor blood (n = 3) supplemented with buffer control (final concentration of 3 </w:t>
      </w:r>
      <w:r w:rsidR="00FF449F">
        <w:rPr>
          <w:rFonts w:cs="Times New Roman"/>
          <w:szCs w:val="24"/>
        </w:rPr>
        <w:t>µ</w:t>
      </w:r>
      <w:r w:rsidR="00FF449F">
        <w:rPr>
          <w:szCs w:val="24"/>
        </w:rPr>
        <w:t xml:space="preserve">g/mL fibrinogen; displayed in grey), or exogenous human fibrinogen diluted in PBS buffer (Enzyme Research Laboratories, South Bend, Indiana, USA) prior to platelet function testing (final concentrations of 4,5; 9, or 15 </w:t>
      </w:r>
      <w:r w:rsidR="00FF449F">
        <w:rPr>
          <w:rFonts w:cs="Times New Roman"/>
          <w:szCs w:val="24"/>
        </w:rPr>
        <w:t>µ</w:t>
      </w:r>
      <w:r w:rsidR="00FF449F">
        <w:rPr>
          <w:szCs w:val="24"/>
        </w:rPr>
        <w:t xml:space="preserve">g/mL fibrinogen, displayed in blue, red and orange respectively). </w:t>
      </w:r>
    </w:p>
    <w:p w14:paraId="48B9D299" w14:textId="77777777" w:rsidR="006C7180" w:rsidRDefault="006C7180" w:rsidP="00186A9A">
      <w:pPr>
        <w:rPr>
          <w:szCs w:val="24"/>
        </w:rPr>
      </w:pPr>
    </w:p>
    <w:p w14:paraId="2119D7B1" w14:textId="77777777" w:rsidR="006C7180" w:rsidRDefault="006C7180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3B3BB980" w14:textId="10F4FA9F" w:rsidR="00FB6DC1" w:rsidRDefault="00C91C0B" w:rsidP="00FB6DC1">
      <w:pPr>
        <w:pStyle w:val="Kop1"/>
        <w:numPr>
          <w:ilvl w:val="0"/>
          <w:numId w:val="14"/>
        </w:numPr>
      </w:pPr>
      <w:r>
        <w:lastRenderedPageBreak/>
        <w:t>Supplemental</w:t>
      </w:r>
      <w:r w:rsidR="00FB6DC1">
        <w:t xml:space="preserve"> Tables</w:t>
      </w: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2547"/>
        <w:gridCol w:w="567"/>
        <w:gridCol w:w="709"/>
        <w:gridCol w:w="708"/>
        <w:gridCol w:w="1418"/>
        <w:gridCol w:w="1276"/>
        <w:gridCol w:w="1134"/>
        <w:gridCol w:w="1134"/>
      </w:tblGrid>
      <w:tr w:rsidR="00FB6DC1" w:rsidRPr="005C0CDD" w14:paraId="6A6F4E01" w14:textId="77777777" w:rsidTr="00C16146">
        <w:tc>
          <w:tcPr>
            <w:tcW w:w="2547" w:type="dxa"/>
            <w:vAlign w:val="bottom"/>
          </w:tcPr>
          <w:p w14:paraId="7D484068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TE</w:t>
            </w:r>
          </w:p>
        </w:tc>
        <w:tc>
          <w:tcPr>
            <w:tcW w:w="567" w:type="dxa"/>
          </w:tcPr>
          <w:p w14:paraId="57DBDEF9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Total</w:t>
            </w:r>
          </w:p>
        </w:tc>
        <w:tc>
          <w:tcPr>
            <w:tcW w:w="709" w:type="dxa"/>
          </w:tcPr>
          <w:p w14:paraId="2905E6C7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No ICU stay</w:t>
            </w:r>
          </w:p>
        </w:tc>
        <w:tc>
          <w:tcPr>
            <w:tcW w:w="708" w:type="dxa"/>
          </w:tcPr>
          <w:p w14:paraId="62731E7B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Prior to ICU stay</w:t>
            </w:r>
          </w:p>
        </w:tc>
        <w:tc>
          <w:tcPr>
            <w:tcW w:w="1418" w:type="dxa"/>
          </w:tcPr>
          <w:p w14:paraId="75654BBE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During ICU stay without mechanical ventilation</w:t>
            </w:r>
          </w:p>
        </w:tc>
        <w:tc>
          <w:tcPr>
            <w:tcW w:w="1276" w:type="dxa"/>
          </w:tcPr>
          <w:p w14:paraId="4A17A9EA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During ICU stay during mechanical ventilation</w:t>
            </w:r>
          </w:p>
        </w:tc>
        <w:tc>
          <w:tcPr>
            <w:tcW w:w="1134" w:type="dxa"/>
          </w:tcPr>
          <w:p w14:paraId="08DE5372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During ICU stay after mechanical ventilation</w:t>
            </w:r>
          </w:p>
        </w:tc>
        <w:tc>
          <w:tcPr>
            <w:tcW w:w="1134" w:type="dxa"/>
          </w:tcPr>
          <w:p w14:paraId="5434034C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After ICU stay after mechanical ventilation</w:t>
            </w:r>
          </w:p>
        </w:tc>
      </w:tr>
      <w:tr w:rsidR="00FB6DC1" w14:paraId="353F91D6" w14:textId="77777777" w:rsidTr="00C16146">
        <w:tc>
          <w:tcPr>
            <w:tcW w:w="2547" w:type="dxa"/>
            <w:vAlign w:val="bottom"/>
          </w:tcPr>
          <w:p w14:paraId="4B105C92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DVT  (n, %)</w:t>
            </w:r>
          </w:p>
        </w:tc>
        <w:tc>
          <w:tcPr>
            <w:tcW w:w="567" w:type="dxa"/>
            <w:vAlign w:val="bottom"/>
          </w:tcPr>
          <w:p w14:paraId="4DBC2F92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bottom"/>
          </w:tcPr>
          <w:p w14:paraId="4779C868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708" w:type="dxa"/>
            <w:vAlign w:val="bottom"/>
          </w:tcPr>
          <w:p w14:paraId="260A2BDA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1418" w:type="dxa"/>
            <w:vAlign w:val="bottom"/>
          </w:tcPr>
          <w:p w14:paraId="6F411D83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1276" w:type="dxa"/>
            <w:vAlign w:val="bottom"/>
          </w:tcPr>
          <w:p w14:paraId="30162A32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3 (75)</w:t>
            </w:r>
          </w:p>
        </w:tc>
        <w:tc>
          <w:tcPr>
            <w:tcW w:w="1134" w:type="dxa"/>
            <w:vAlign w:val="bottom"/>
          </w:tcPr>
          <w:p w14:paraId="5D5D8087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1134" w:type="dxa"/>
            <w:vAlign w:val="bottom"/>
          </w:tcPr>
          <w:p w14:paraId="67189601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1 (25)</w:t>
            </w:r>
          </w:p>
        </w:tc>
      </w:tr>
      <w:tr w:rsidR="00FB6DC1" w14:paraId="3B42D85E" w14:textId="77777777" w:rsidTr="00C16146">
        <w:tc>
          <w:tcPr>
            <w:tcW w:w="2547" w:type="dxa"/>
            <w:vAlign w:val="bottom"/>
          </w:tcPr>
          <w:p w14:paraId="62CA80AD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Pulmonary thrombosis (n, %)</w:t>
            </w:r>
          </w:p>
        </w:tc>
        <w:tc>
          <w:tcPr>
            <w:tcW w:w="567" w:type="dxa"/>
            <w:vAlign w:val="bottom"/>
          </w:tcPr>
          <w:p w14:paraId="0DB7670F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bottom"/>
          </w:tcPr>
          <w:p w14:paraId="4FF967BD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3 (20)</w:t>
            </w:r>
          </w:p>
        </w:tc>
        <w:tc>
          <w:tcPr>
            <w:tcW w:w="708" w:type="dxa"/>
            <w:vAlign w:val="bottom"/>
          </w:tcPr>
          <w:p w14:paraId="2E0DADD4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1418" w:type="dxa"/>
            <w:vAlign w:val="bottom"/>
          </w:tcPr>
          <w:p w14:paraId="5DD274A2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1 (7)</w:t>
            </w:r>
          </w:p>
        </w:tc>
        <w:tc>
          <w:tcPr>
            <w:tcW w:w="1276" w:type="dxa"/>
            <w:vAlign w:val="bottom"/>
          </w:tcPr>
          <w:p w14:paraId="6DD143CA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8 (53)</w:t>
            </w:r>
          </w:p>
        </w:tc>
        <w:tc>
          <w:tcPr>
            <w:tcW w:w="1134" w:type="dxa"/>
            <w:vAlign w:val="bottom"/>
          </w:tcPr>
          <w:p w14:paraId="10228D87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1 (7)</w:t>
            </w:r>
          </w:p>
        </w:tc>
        <w:tc>
          <w:tcPr>
            <w:tcW w:w="1134" w:type="dxa"/>
            <w:vAlign w:val="bottom"/>
          </w:tcPr>
          <w:p w14:paraId="189C3250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2 (13)</w:t>
            </w:r>
          </w:p>
        </w:tc>
      </w:tr>
      <w:tr w:rsidR="00FB6DC1" w14:paraId="1413EA8D" w14:textId="77777777" w:rsidTr="00C16146">
        <w:tc>
          <w:tcPr>
            <w:tcW w:w="2547" w:type="dxa"/>
            <w:vAlign w:val="bottom"/>
          </w:tcPr>
          <w:p w14:paraId="0E73558F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proofErr w:type="spellStart"/>
            <w:r w:rsidRPr="005C0CDD">
              <w:rPr>
                <w:sz w:val="16"/>
                <w:szCs w:val="16"/>
              </w:rPr>
              <w:t>iCVA</w:t>
            </w:r>
            <w:proofErr w:type="spellEnd"/>
            <w:r w:rsidRPr="005C0CDD">
              <w:rPr>
                <w:sz w:val="16"/>
                <w:szCs w:val="16"/>
              </w:rPr>
              <w:t xml:space="preserve">  (n, %)</w:t>
            </w:r>
          </w:p>
        </w:tc>
        <w:tc>
          <w:tcPr>
            <w:tcW w:w="567" w:type="dxa"/>
            <w:vAlign w:val="bottom"/>
          </w:tcPr>
          <w:p w14:paraId="79A60665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bottom"/>
          </w:tcPr>
          <w:p w14:paraId="71503A6A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708" w:type="dxa"/>
            <w:vAlign w:val="bottom"/>
          </w:tcPr>
          <w:p w14:paraId="2DDDD9BD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1418" w:type="dxa"/>
            <w:vAlign w:val="bottom"/>
          </w:tcPr>
          <w:p w14:paraId="32F6EA6C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1276" w:type="dxa"/>
            <w:vAlign w:val="bottom"/>
          </w:tcPr>
          <w:p w14:paraId="458C0501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2 (100)</w:t>
            </w:r>
          </w:p>
        </w:tc>
        <w:tc>
          <w:tcPr>
            <w:tcW w:w="1134" w:type="dxa"/>
            <w:vAlign w:val="bottom"/>
          </w:tcPr>
          <w:p w14:paraId="27A8D40D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1134" w:type="dxa"/>
            <w:vAlign w:val="bottom"/>
          </w:tcPr>
          <w:p w14:paraId="12DBC4A7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</w:tr>
      <w:tr w:rsidR="00FB6DC1" w14:paraId="2C603DED" w14:textId="77777777" w:rsidTr="00C16146">
        <w:tc>
          <w:tcPr>
            <w:tcW w:w="2547" w:type="dxa"/>
            <w:vAlign w:val="bottom"/>
          </w:tcPr>
          <w:p w14:paraId="5B19D952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Thrombus in other location  (n, %)</w:t>
            </w:r>
          </w:p>
        </w:tc>
        <w:tc>
          <w:tcPr>
            <w:tcW w:w="567" w:type="dxa"/>
            <w:vAlign w:val="bottom"/>
          </w:tcPr>
          <w:p w14:paraId="09B2FE2D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bottom"/>
          </w:tcPr>
          <w:p w14:paraId="32CDC097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1 (33)</w:t>
            </w:r>
          </w:p>
        </w:tc>
        <w:tc>
          <w:tcPr>
            <w:tcW w:w="708" w:type="dxa"/>
            <w:vAlign w:val="bottom"/>
          </w:tcPr>
          <w:p w14:paraId="1A623C32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1 (33)</w:t>
            </w:r>
          </w:p>
        </w:tc>
        <w:tc>
          <w:tcPr>
            <w:tcW w:w="1418" w:type="dxa"/>
            <w:vAlign w:val="bottom"/>
          </w:tcPr>
          <w:p w14:paraId="45AC0DC0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1276" w:type="dxa"/>
            <w:vAlign w:val="bottom"/>
          </w:tcPr>
          <w:p w14:paraId="74985271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1(33)</w:t>
            </w:r>
          </w:p>
        </w:tc>
        <w:tc>
          <w:tcPr>
            <w:tcW w:w="1134" w:type="dxa"/>
            <w:vAlign w:val="bottom"/>
          </w:tcPr>
          <w:p w14:paraId="129FB523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1134" w:type="dxa"/>
            <w:vAlign w:val="bottom"/>
          </w:tcPr>
          <w:p w14:paraId="13F4AB67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</w:tr>
      <w:tr w:rsidR="00FB6DC1" w14:paraId="586D4772" w14:textId="77777777" w:rsidTr="00C16146">
        <w:tc>
          <w:tcPr>
            <w:tcW w:w="2547" w:type="dxa"/>
            <w:vAlign w:val="bottom"/>
          </w:tcPr>
          <w:p w14:paraId="033466B9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Thrombus in CVVH filter  (n, %)</w:t>
            </w:r>
          </w:p>
        </w:tc>
        <w:tc>
          <w:tcPr>
            <w:tcW w:w="567" w:type="dxa"/>
            <w:vAlign w:val="bottom"/>
          </w:tcPr>
          <w:p w14:paraId="0C556E79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bottom"/>
          </w:tcPr>
          <w:p w14:paraId="447BD254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708" w:type="dxa"/>
            <w:vAlign w:val="bottom"/>
          </w:tcPr>
          <w:p w14:paraId="5D40BE17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1418" w:type="dxa"/>
            <w:vAlign w:val="bottom"/>
          </w:tcPr>
          <w:p w14:paraId="17C96441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1276" w:type="dxa"/>
            <w:vAlign w:val="bottom"/>
          </w:tcPr>
          <w:p w14:paraId="2417DAAC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2 (100)</w:t>
            </w:r>
          </w:p>
        </w:tc>
        <w:tc>
          <w:tcPr>
            <w:tcW w:w="1134" w:type="dxa"/>
            <w:vAlign w:val="bottom"/>
          </w:tcPr>
          <w:p w14:paraId="422CAFC8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  <w:tc>
          <w:tcPr>
            <w:tcW w:w="1134" w:type="dxa"/>
            <w:vAlign w:val="bottom"/>
          </w:tcPr>
          <w:p w14:paraId="47606771" w14:textId="77777777" w:rsidR="00FB6DC1" w:rsidRPr="005C0CDD" w:rsidRDefault="00FB6DC1" w:rsidP="00C16146">
            <w:pPr>
              <w:spacing w:before="0" w:after="0"/>
              <w:rPr>
                <w:sz w:val="16"/>
                <w:szCs w:val="16"/>
              </w:rPr>
            </w:pPr>
            <w:r w:rsidRPr="005C0CDD">
              <w:rPr>
                <w:sz w:val="16"/>
                <w:szCs w:val="16"/>
              </w:rPr>
              <w:t>0 (0)</w:t>
            </w:r>
          </w:p>
        </w:tc>
      </w:tr>
      <w:tr w:rsidR="00FB6DC1" w14:paraId="7BC79459" w14:textId="77777777" w:rsidTr="00C16146">
        <w:trPr>
          <w:trHeight w:val="389"/>
        </w:trPr>
        <w:tc>
          <w:tcPr>
            <w:tcW w:w="9493" w:type="dxa"/>
            <w:gridSpan w:val="8"/>
            <w:vAlign w:val="bottom"/>
          </w:tcPr>
          <w:p w14:paraId="735AC1BE" w14:textId="77777777" w:rsidR="00FB6DC1" w:rsidRDefault="00FB6DC1" w:rsidP="00C16146">
            <w:r w:rsidRPr="005C0CDD">
              <w:rPr>
                <w:sz w:val="16"/>
                <w:szCs w:val="16"/>
              </w:rPr>
              <w:t xml:space="preserve">Abbreviations: CVVH, continuous </w:t>
            </w:r>
            <w:proofErr w:type="spellStart"/>
            <w:r w:rsidRPr="005C0CDD">
              <w:rPr>
                <w:sz w:val="16"/>
                <w:szCs w:val="16"/>
              </w:rPr>
              <w:t>venovenous</w:t>
            </w:r>
            <w:proofErr w:type="spellEnd"/>
            <w:r w:rsidRPr="005C0CDD">
              <w:rPr>
                <w:sz w:val="16"/>
                <w:szCs w:val="16"/>
              </w:rPr>
              <w:t xml:space="preserve"> hemofiltration; DVT, deep vein thrombosis;  ICU, intensive care unit; </w:t>
            </w:r>
            <w:proofErr w:type="spellStart"/>
            <w:r w:rsidRPr="005C0CDD">
              <w:rPr>
                <w:sz w:val="16"/>
                <w:szCs w:val="16"/>
              </w:rPr>
              <w:t>iCVA</w:t>
            </w:r>
            <w:proofErr w:type="spellEnd"/>
            <w:r w:rsidRPr="005C0CDD">
              <w:rPr>
                <w:sz w:val="16"/>
                <w:szCs w:val="16"/>
              </w:rPr>
              <w:t xml:space="preserve">, ischemic cerebrovascular </w:t>
            </w:r>
            <w:r>
              <w:rPr>
                <w:sz w:val="16"/>
                <w:szCs w:val="16"/>
              </w:rPr>
              <w:t>accident; TE, thrombotic event.</w:t>
            </w:r>
          </w:p>
        </w:tc>
      </w:tr>
    </w:tbl>
    <w:p w14:paraId="5DA677C0" w14:textId="1BB18B76" w:rsidR="006C7180" w:rsidRPr="00FB6DC1" w:rsidRDefault="00C91C0B">
      <w:pPr>
        <w:spacing w:before="0" w:after="200" w:line="276" w:lineRule="auto"/>
        <w:rPr>
          <w:b/>
        </w:rPr>
      </w:pPr>
      <w:r>
        <w:rPr>
          <w:b/>
        </w:rPr>
        <w:t xml:space="preserve">Supplemental Table </w:t>
      </w:r>
      <w:r w:rsidR="00FB6DC1" w:rsidRPr="005C0CDD">
        <w:rPr>
          <w:b/>
        </w:rPr>
        <w:t>1:</w:t>
      </w:r>
      <w:r w:rsidR="00FB6DC1">
        <w:rPr>
          <w:b/>
        </w:rPr>
        <w:t xml:space="preserve"> </w:t>
      </w:r>
      <w:r w:rsidR="00FB6DC1" w:rsidRPr="00F049A1">
        <w:rPr>
          <w:bCs/>
          <w:szCs w:val="24"/>
        </w:rPr>
        <w:t>Thrombotic events in relation to intensive care unit (ICU) stay.</w:t>
      </w:r>
    </w:p>
    <w:sectPr w:rsidR="006C7180" w:rsidRPr="00FB6DC1" w:rsidSect="009B220F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D54D06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56EA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D54D06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56EAB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2C383F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56EA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0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2C383F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56EAB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4CC3B" w14:textId="321BF642" w:rsidR="005C0CDD" w:rsidRDefault="005C0CDD">
    <w:pPr>
      <w:pStyle w:val="Voettekst"/>
    </w:pPr>
    <w:r>
      <w:t>Page 1 of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nl-NL" w:eastAsia="nl-NL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Kop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Kop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Kop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2FB2"/>
    <w:rsid w:val="0001436A"/>
    <w:rsid w:val="00034304"/>
    <w:rsid w:val="00035434"/>
    <w:rsid w:val="00052A14"/>
    <w:rsid w:val="00077D53"/>
    <w:rsid w:val="00092757"/>
    <w:rsid w:val="00105FD9"/>
    <w:rsid w:val="00117666"/>
    <w:rsid w:val="001549D3"/>
    <w:rsid w:val="00160065"/>
    <w:rsid w:val="00177D84"/>
    <w:rsid w:val="00186A9A"/>
    <w:rsid w:val="00267D18"/>
    <w:rsid w:val="00274347"/>
    <w:rsid w:val="002868E2"/>
    <w:rsid w:val="002869C3"/>
    <w:rsid w:val="002936E4"/>
    <w:rsid w:val="002B4A57"/>
    <w:rsid w:val="002B6EF4"/>
    <w:rsid w:val="002C74CA"/>
    <w:rsid w:val="002D197D"/>
    <w:rsid w:val="003123F4"/>
    <w:rsid w:val="003544FB"/>
    <w:rsid w:val="00364AA8"/>
    <w:rsid w:val="00375848"/>
    <w:rsid w:val="003B34B0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C0CDD"/>
    <w:rsid w:val="006375C7"/>
    <w:rsid w:val="00654E8F"/>
    <w:rsid w:val="00660D05"/>
    <w:rsid w:val="006820B1"/>
    <w:rsid w:val="006B7D14"/>
    <w:rsid w:val="006C7180"/>
    <w:rsid w:val="00701727"/>
    <w:rsid w:val="0070566C"/>
    <w:rsid w:val="00714C50"/>
    <w:rsid w:val="00725A7D"/>
    <w:rsid w:val="007501BE"/>
    <w:rsid w:val="00790BB3"/>
    <w:rsid w:val="007C206C"/>
    <w:rsid w:val="007C37B8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B220F"/>
    <w:rsid w:val="009C2B12"/>
    <w:rsid w:val="00A174D9"/>
    <w:rsid w:val="00AA4D24"/>
    <w:rsid w:val="00AB6715"/>
    <w:rsid w:val="00B1671E"/>
    <w:rsid w:val="00B25EB8"/>
    <w:rsid w:val="00B37F4D"/>
    <w:rsid w:val="00C50BC1"/>
    <w:rsid w:val="00C52A7B"/>
    <w:rsid w:val="00C56BAF"/>
    <w:rsid w:val="00C679AA"/>
    <w:rsid w:val="00C75972"/>
    <w:rsid w:val="00C91C0B"/>
    <w:rsid w:val="00CD066B"/>
    <w:rsid w:val="00CE4FEE"/>
    <w:rsid w:val="00D060CF"/>
    <w:rsid w:val="00D56EAB"/>
    <w:rsid w:val="00DB59C3"/>
    <w:rsid w:val="00DC259A"/>
    <w:rsid w:val="00DE23E8"/>
    <w:rsid w:val="00E155DA"/>
    <w:rsid w:val="00E52377"/>
    <w:rsid w:val="00E537AD"/>
    <w:rsid w:val="00E64E17"/>
    <w:rsid w:val="00E70537"/>
    <w:rsid w:val="00E866C9"/>
    <w:rsid w:val="00EA3D3C"/>
    <w:rsid w:val="00EC090A"/>
    <w:rsid w:val="00ED20B5"/>
    <w:rsid w:val="00F00DCC"/>
    <w:rsid w:val="00F46900"/>
    <w:rsid w:val="00F61D89"/>
    <w:rsid w:val="00FB6DC1"/>
    <w:rsid w:val="00FF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Kop1">
    <w:name w:val="heading 1"/>
    <w:basedOn w:val="Lijstalinea"/>
    <w:next w:val="Standaard"/>
    <w:link w:val="Kop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Kop2">
    <w:name w:val="heading 2"/>
    <w:basedOn w:val="Kop1"/>
    <w:next w:val="Standaard"/>
    <w:link w:val="Kop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Kop3">
    <w:name w:val="heading 3"/>
    <w:basedOn w:val="Standaard"/>
    <w:next w:val="Standaard"/>
    <w:link w:val="Kop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Kop4">
    <w:name w:val="heading 4"/>
    <w:basedOn w:val="Kop3"/>
    <w:next w:val="Standaard"/>
    <w:link w:val="Kop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Kop5">
    <w:name w:val="heading 5"/>
    <w:basedOn w:val="Kop4"/>
    <w:next w:val="Standaard"/>
    <w:link w:val="Kop5Char"/>
    <w:uiPriority w:val="2"/>
    <w:qFormat/>
    <w:rsid w:val="00AB6715"/>
    <w:pPr>
      <w:numPr>
        <w:ilvl w:val="4"/>
      </w:numPr>
      <w:outlineLvl w:val="4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Ondertitel">
    <w:name w:val="Subtitle"/>
    <w:basedOn w:val="Standaard"/>
    <w:next w:val="Standaard"/>
    <w:link w:val="Ondertitel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Ondertitel"/>
    <w:next w:val="Standaard"/>
    <w:uiPriority w:val="1"/>
    <w:qFormat/>
    <w:rsid w:val="00AB6715"/>
  </w:style>
  <w:style w:type="paragraph" w:styleId="Ballontekst">
    <w:name w:val="Balloon Text"/>
    <w:basedOn w:val="Standaard"/>
    <w:link w:val="Ballonteks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elvanboek">
    <w:name w:val="Book Title"/>
    <w:basedOn w:val="Standaardalinea-lettertype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ijschrift">
    <w:name w:val="caption"/>
    <w:basedOn w:val="Standaard"/>
    <w:next w:val="Geenafstand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Geenafstand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B671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B671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B671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adruk">
    <w:name w:val="Emphasis"/>
    <w:basedOn w:val="Standaardalinea-lettertype"/>
    <w:uiPriority w:val="20"/>
    <w:qFormat/>
    <w:rsid w:val="00AB6715"/>
    <w:rPr>
      <w:rFonts w:ascii="Times New Roman" w:hAnsi="Times New Roman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6715"/>
    <w:rPr>
      <w:rFonts w:ascii="Times New Roman" w:hAnsi="Times New Roman"/>
      <w:sz w:val="24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tekstChar">
    <w:name w:val="Koptekst Char"/>
    <w:basedOn w:val="Standaardalinea-lettertype"/>
    <w:link w:val="Koptekst"/>
    <w:uiPriority w:val="99"/>
    <w:rsid w:val="00AB6715"/>
    <w:rPr>
      <w:rFonts w:ascii="Times New Roman" w:hAnsi="Times New Roman"/>
      <w:b/>
      <w:sz w:val="24"/>
    </w:rPr>
  </w:style>
  <w:style w:type="paragraph" w:styleId="Lijstalinea">
    <w:name w:val="List Paragraph"/>
    <w:basedOn w:val="Standa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Standaardalinea-lettertype"/>
    <w:uiPriority w:val="99"/>
    <w:unhideWhenUsed/>
    <w:rsid w:val="00AB6715"/>
    <w:rPr>
      <w:color w:val="0000FF"/>
      <w:u w:val="single"/>
    </w:rPr>
  </w:style>
  <w:style w:type="character" w:styleId="Intensievebenadrukking">
    <w:name w:val="Intense Emphasis"/>
    <w:basedOn w:val="Standaardalinea-lettertype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AB6715"/>
    <w:rPr>
      <w:b/>
      <w:bCs/>
      <w:smallCaps/>
      <w:color w:val="auto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AB6715"/>
  </w:style>
  <w:style w:type="character" w:customStyle="1" w:styleId="Kop3Char">
    <w:name w:val="Kop 3 Char"/>
    <w:basedOn w:val="Standaardalinea-lettertype"/>
    <w:link w:val="Kop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Zwaar">
    <w:name w:val="Strong"/>
    <w:basedOn w:val="Standaardalinea-lettertype"/>
    <w:uiPriority w:val="22"/>
    <w:qFormat/>
    <w:rsid w:val="00AB6715"/>
    <w:rPr>
      <w:rFonts w:ascii="Times New Roman" w:hAnsi="Times New Roman"/>
      <w:b/>
      <w:bCs/>
    </w:rPr>
  </w:style>
  <w:style w:type="character" w:styleId="Subtielebenadrukking">
    <w:name w:val="Subtle Emphasis"/>
    <w:basedOn w:val="Standaardalinea-lettertype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raster">
    <w:name w:val="Table Grid"/>
    <w:basedOn w:val="Standaardtabe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3859B83-4B9E-4F79-B6F7-C91C1D604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446</Words>
  <Characters>2458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Jukema-3, B.N. (Bernard)</cp:lastModifiedBy>
  <cp:revision>2</cp:revision>
  <cp:lastPrinted>2021-03-22T16:24:00Z</cp:lastPrinted>
  <dcterms:created xsi:type="dcterms:W3CDTF">2021-04-09T19:50:00Z</dcterms:created>
  <dcterms:modified xsi:type="dcterms:W3CDTF">2021-04-09T19:50:00Z</dcterms:modified>
</cp:coreProperties>
</file>