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852"/>
        <w:tblW w:w="144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40"/>
        <w:gridCol w:w="665"/>
        <w:gridCol w:w="808"/>
        <w:gridCol w:w="806"/>
        <w:gridCol w:w="808"/>
        <w:gridCol w:w="806"/>
        <w:gridCol w:w="806"/>
        <w:gridCol w:w="806"/>
        <w:gridCol w:w="807"/>
        <w:gridCol w:w="809"/>
        <w:gridCol w:w="818"/>
        <w:gridCol w:w="806"/>
        <w:gridCol w:w="807"/>
        <w:gridCol w:w="1167"/>
        <w:gridCol w:w="1166"/>
        <w:gridCol w:w="1168"/>
        <w:gridCol w:w="10"/>
      </w:tblGrid>
      <w:tr w:rsidR="00022F81" w:rsidRPr="00642810" w14:paraId="33BAB24F" w14:textId="77777777" w:rsidTr="00440854">
        <w:trPr>
          <w:trHeight w:val="461"/>
        </w:trPr>
        <w:tc>
          <w:tcPr>
            <w:tcW w:w="14403" w:type="dxa"/>
            <w:gridSpan w:val="17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46FF3D" w14:textId="77777777" w:rsidR="00022F81" w:rsidRPr="00642810" w:rsidRDefault="00022F81" w:rsidP="00440854">
            <w:pPr>
              <w:rPr>
                <w:rFonts w:cstheme="minorHAnsi"/>
                <w:b/>
                <w:bCs/>
              </w:rPr>
            </w:pPr>
            <w:r w:rsidRPr="00642810">
              <w:rPr>
                <w:rFonts w:cstheme="minorHAnsi"/>
                <w:b/>
                <w:bCs/>
              </w:rPr>
              <w:t>Supplemental Table 1: Responses &amp; Survival Outcomes</w:t>
            </w:r>
          </w:p>
        </w:tc>
      </w:tr>
      <w:tr w:rsidR="00022F81" w:rsidRPr="00642810" w14:paraId="0ABD7B31" w14:textId="77777777" w:rsidTr="008C2F06">
        <w:trPr>
          <w:gridAfter w:val="1"/>
          <w:wAfter w:w="10" w:type="dxa"/>
          <w:trHeight w:val="809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750F3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C9425B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80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039339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ORR(n)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3B658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ORR (%)</w:t>
            </w:r>
          </w:p>
        </w:tc>
        <w:tc>
          <w:tcPr>
            <w:tcW w:w="80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71022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P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2AABD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CR(n)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3CEBF3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CR (%)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4BA91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CRi(n)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63F17" w14:textId="77777777" w:rsidR="00022F81" w:rsidRPr="00642810" w:rsidRDefault="00022F81" w:rsidP="00440854">
            <w:pPr>
              <w:rPr>
                <w:rFonts w:cstheme="minorHAnsi"/>
              </w:rPr>
            </w:pPr>
            <w:proofErr w:type="gramStart"/>
            <w:r w:rsidRPr="00642810">
              <w:rPr>
                <w:rFonts w:cstheme="minorHAnsi"/>
                <w:b/>
                <w:bCs/>
              </w:rPr>
              <w:t>CRi(</w:t>
            </w:r>
            <w:proofErr w:type="gramEnd"/>
            <w:r w:rsidRPr="00642810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F3D47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MLFS(n)</w:t>
            </w:r>
          </w:p>
        </w:tc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AECA99" w14:textId="77777777" w:rsidR="00022F81" w:rsidRPr="00642810" w:rsidRDefault="00022F81" w:rsidP="00440854">
            <w:pPr>
              <w:rPr>
                <w:rFonts w:cstheme="minorHAnsi"/>
              </w:rPr>
            </w:pPr>
            <w:proofErr w:type="gramStart"/>
            <w:r w:rsidRPr="00642810">
              <w:rPr>
                <w:rFonts w:cstheme="minorHAnsi"/>
                <w:b/>
                <w:bCs/>
              </w:rPr>
              <w:t>MLFS(</w:t>
            </w:r>
            <w:proofErr w:type="gramEnd"/>
            <w:r w:rsidRPr="00642810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F2886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NR(n)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E26776" w14:textId="77777777" w:rsidR="00022F81" w:rsidRPr="00642810" w:rsidRDefault="00022F81" w:rsidP="00440854">
            <w:pPr>
              <w:rPr>
                <w:rFonts w:cstheme="minorHAnsi"/>
              </w:rPr>
            </w:pPr>
            <w:proofErr w:type="gramStart"/>
            <w:r w:rsidRPr="00642810">
              <w:rPr>
                <w:rFonts w:cstheme="minorHAnsi"/>
                <w:b/>
                <w:bCs/>
              </w:rPr>
              <w:t>NR(</w:t>
            </w:r>
            <w:proofErr w:type="gramEnd"/>
            <w:r w:rsidRPr="00642810">
              <w:rPr>
                <w:rFonts w:cstheme="minorHAnsi"/>
                <w:b/>
                <w:bCs/>
              </w:rPr>
              <w:t>%)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A7D7FB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Median OS (Months)</w:t>
            </w:r>
          </w:p>
        </w:tc>
        <w:tc>
          <w:tcPr>
            <w:tcW w:w="11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5A846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Hazard Ratio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57B70" w14:textId="0CE6FA6C" w:rsidR="00022F81" w:rsidRPr="00642810" w:rsidRDefault="003A0F6D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95% CI</w:t>
            </w:r>
          </w:p>
        </w:tc>
      </w:tr>
      <w:tr w:rsidR="008E4663" w:rsidRPr="00642810" w14:paraId="26DBC699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2BB1E3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  <w:b/>
                <w:bCs/>
              </w:rPr>
              <w:t>Overall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415F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AE5DE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14048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52.0%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BC5D6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1835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95610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16.0%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75E0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0F37EA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16.0%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E0F222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5F24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20.0%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D0F52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1A217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48.0%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43C5F" w14:textId="77C8C68C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CF78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1E3C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02794A" w:rsidRPr="00642810" w14:paraId="67AF1B88" w14:textId="77777777" w:rsidTr="008C2F06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EA0BD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de Novo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49659A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B90D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0AEC0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53.3%</w:t>
            </w:r>
          </w:p>
        </w:tc>
        <w:tc>
          <w:tcPr>
            <w:tcW w:w="8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CAE07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1.0000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6D17C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7552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13.3%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CAF47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123D2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13.3%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9732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54271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26.7%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2A46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98B2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46.7%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8B8C76" w14:textId="1DB34C3B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5.</w:t>
            </w:r>
            <w:r w:rsidR="00BD6F03" w:rsidRPr="008C2F0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988767" w14:textId="71AFCD75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0.84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F40A0" w14:textId="2E33DC57" w:rsidR="00022F81" w:rsidRPr="008C2F06" w:rsidRDefault="00294BE5" w:rsidP="00294BE5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0.31</w:t>
            </w:r>
            <w:r w:rsidRPr="008C2F06">
              <w:rPr>
                <w:rFonts w:cstheme="minorHAnsi"/>
                <w:sz w:val="20"/>
                <w:szCs w:val="20"/>
              </w:rPr>
              <w:t xml:space="preserve"> </w:t>
            </w:r>
            <w:r w:rsidRPr="008C2F06">
              <w:rPr>
                <w:rFonts w:cstheme="minorHAnsi"/>
                <w:sz w:val="20"/>
                <w:szCs w:val="20"/>
              </w:rPr>
              <w:t>to 2.28</w:t>
            </w:r>
          </w:p>
        </w:tc>
      </w:tr>
      <w:tr w:rsidR="0002794A" w:rsidRPr="00642810" w14:paraId="5E252E6F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00F57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Secondary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5BC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23BE7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0F49E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50.0%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53A3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NS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77B0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822C6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20.0%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CACE3C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6B880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20.0%</w:t>
            </w:r>
          </w:p>
        </w:tc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0E522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33300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10.0%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8655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4620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50.0%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1221F" w14:textId="6AFECA9C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4.</w:t>
            </w:r>
            <w:r w:rsidR="00BD6F03"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66E3F8" w14:textId="0069F8F2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1.18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4595D" w14:textId="05CF7549" w:rsidR="00022F81" w:rsidRPr="008C2F06" w:rsidRDefault="00294BE5" w:rsidP="00294BE5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0.43 to 3.19</w:t>
            </w:r>
          </w:p>
        </w:tc>
      </w:tr>
      <w:tr w:rsidR="008E4663" w:rsidRPr="00642810" w14:paraId="73EE91FE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33682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Prior HMA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EFF6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9EF83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6322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46.2%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FF463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0.6951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8F6676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A974E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7.7%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B6E6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76D11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7.7%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116C3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12E66C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30.8%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1E7DD3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DD127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53.8%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DDCCA3" w14:textId="543B946D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4.</w:t>
            </w:r>
            <w:r w:rsidR="00BD6F03" w:rsidRPr="008C2F0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0072A4" w14:textId="5B4400FF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2.4</w:t>
            </w:r>
            <w:r w:rsidR="004F7CBE" w:rsidRPr="008C2F0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3AC6F0" w14:textId="0DECC45E" w:rsidR="00022F81" w:rsidRPr="008C2F06" w:rsidRDefault="004F7CBE" w:rsidP="00D807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0.93 to 6.64</w:t>
            </w:r>
          </w:p>
        </w:tc>
      </w:tr>
      <w:tr w:rsidR="008E4663" w:rsidRPr="00642810" w14:paraId="7232E5E8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3AEF1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 xml:space="preserve">HMA Naïve 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B1C28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404B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6E18A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58.3%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A72FE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NS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E61A78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924E1A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25.0%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CB137C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B7664C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25.0%</w:t>
            </w:r>
          </w:p>
        </w:tc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C3AD1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9292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8.3%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3CDD71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07FFD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41.7%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E68AC" w14:textId="33E59B25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21.</w:t>
            </w:r>
            <w:r w:rsidR="00BD6F03" w:rsidRPr="008C2F0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323D3E" w14:textId="6B7BF85C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0.4</w:t>
            </w:r>
            <w:r w:rsidR="004F7CBE" w:rsidRPr="008C2F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4342F" w14:textId="5DB947D3" w:rsidR="00022F81" w:rsidRPr="008C2F06" w:rsidRDefault="004F7CBE" w:rsidP="00D807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0.15 to 1.07</w:t>
            </w:r>
          </w:p>
        </w:tc>
      </w:tr>
      <w:tr w:rsidR="0002794A" w:rsidRPr="00642810" w14:paraId="096F8367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AAF8C8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Azole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6E21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EA4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E519D6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56.3%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CF15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4A00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D0B10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18.8%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7E0D5A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D2F370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18.8%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1DCF1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5C771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18.8%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91153E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E8A12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43.8%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BF0ED" w14:textId="5AC684FC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4.</w:t>
            </w:r>
            <w:r w:rsidR="00BD6F03"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662B4" w14:textId="27ED9FDF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56C7C" w14:textId="3E5E36B1" w:rsidR="00022F81" w:rsidRPr="008C2F06" w:rsidRDefault="00701BC3" w:rsidP="00701BC3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0.43 to 3.56</w:t>
            </w:r>
          </w:p>
        </w:tc>
      </w:tr>
      <w:tr w:rsidR="0002794A" w:rsidRPr="00642810" w14:paraId="25AC1FE5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10BC4B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Micafungin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1453BA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CCF2C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04CB90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55.6%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22176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NS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CA9704" w14:textId="76753CC6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0448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11.1%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2B5B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A29EF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22.2%</w:t>
            </w:r>
          </w:p>
        </w:tc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9A0B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5708F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22.2%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F8A9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5097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55.6%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9EEA2" w14:textId="52A46B5D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5.</w:t>
            </w:r>
            <w:r w:rsidR="00BD6F03" w:rsidRPr="008C2F0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4477D2" w14:textId="3736698B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</w:t>
            </w:r>
            <w:r w:rsidR="00BD6F03" w:rsidRPr="008C2F06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58B41" w14:textId="1A5117F1" w:rsidR="00022F81" w:rsidRPr="008C2F06" w:rsidRDefault="00701BC3" w:rsidP="00701BC3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0.28 to 2.27</w:t>
            </w:r>
          </w:p>
        </w:tc>
      </w:tr>
      <w:tr w:rsidR="008C2F06" w:rsidRPr="00642810" w14:paraId="6A46A21E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506184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Age &gt;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9F02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FC56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54FE5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54.5%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6DC9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5A0D09" w14:textId="622C3646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2ED4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27.3%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6BDC7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EB391B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9.1%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ABB6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3CB77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18.2%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1496D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AD97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45.5%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4FE8D" w14:textId="08E0F2E5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5.5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61EAC" w14:textId="524A9D35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E36FDA" w14:textId="22A88292" w:rsidR="00022F81" w:rsidRPr="008C2F06" w:rsidRDefault="00642810" w:rsidP="00642810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0.62 to 4.75</w:t>
            </w:r>
          </w:p>
        </w:tc>
      </w:tr>
      <w:tr w:rsidR="00257ED9" w:rsidRPr="00642810" w14:paraId="283A7C4A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65BE0" w14:textId="77777777" w:rsidR="00022F81" w:rsidRPr="00642810" w:rsidRDefault="00022F81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Age ≤ 60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F6754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C023F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1EE0C2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50.0%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16351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NS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C098C" w14:textId="5A645FE4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701B9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7.1%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9E316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98467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21.4%</w:t>
            </w:r>
          </w:p>
        </w:tc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95336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A18C1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21.4%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491A8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4C94C" w14:textId="77777777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50.0%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B5EB2" w14:textId="06C4657B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6.</w:t>
            </w:r>
            <w:r w:rsidR="00BD6F03" w:rsidRPr="008C2F06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CB6B2" w14:textId="5D9A6A40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0.58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AA9C2" w14:textId="0907D67D" w:rsidR="00642810" w:rsidRPr="008C2F06" w:rsidRDefault="00642810" w:rsidP="00642810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0.21 to 1.6</w:t>
            </w:r>
          </w:p>
          <w:p w14:paraId="53F990F2" w14:textId="5E0A9382" w:rsidR="00022F81" w:rsidRPr="008C2F06" w:rsidRDefault="00022F81" w:rsidP="004408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94A" w:rsidRPr="00642810" w14:paraId="49954FE4" w14:textId="77777777" w:rsidTr="008E4663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1F0E4" w14:textId="7138DDDB" w:rsidR="00257ED9" w:rsidRPr="00642810" w:rsidRDefault="008147FC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Fav</w:t>
            </w:r>
            <w:r w:rsidR="008C2F06">
              <w:rPr>
                <w:rFonts w:cstheme="minorHAnsi"/>
              </w:rPr>
              <w:t xml:space="preserve">. </w:t>
            </w:r>
            <w:r w:rsidR="00257ED9" w:rsidRPr="00642810">
              <w:rPr>
                <w:rFonts w:cstheme="minorHAnsi"/>
              </w:rPr>
              <w:t>ELN Risk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3F4F" w14:textId="16A532DB" w:rsidR="008147FC" w:rsidRPr="008C2F06" w:rsidRDefault="00200A9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0836D" w14:textId="77CC3836" w:rsidR="008147FC" w:rsidRPr="008C2F06" w:rsidRDefault="00F558D0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EE29D" w14:textId="2EE86711" w:rsidR="008147FC" w:rsidRPr="008C2F06" w:rsidRDefault="00C50F33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100.0%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857CE" w14:textId="1C961B5C" w:rsidR="008147FC" w:rsidRPr="008C2F06" w:rsidRDefault="00B43D67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D7193" w14:textId="73F36199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AD1EB" w14:textId="422080A0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40315" w14:textId="73F61214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706E2" w14:textId="38C4E0EF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FE62B" w14:textId="455EE5F1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DBFD5" w14:textId="112564B5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100%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541C5" w14:textId="1D14D086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F1EB" w14:textId="656A4423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5858E" w14:textId="5AF424DD" w:rsidR="008147FC" w:rsidRPr="008C2F06" w:rsidRDefault="001C7AF8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199D5" w14:textId="29E06581" w:rsidR="008147FC" w:rsidRPr="008C2F06" w:rsidRDefault="0064048E" w:rsidP="00440854">
            <w:pPr>
              <w:rPr>
                <w:rFonts w:cstheme="minorHAnsi"/>
                <w:sz w:val="20"/>
                <w:szCs w:val="20"/>
              </w:rPr>
            </w:pPr>
            <w:bookmarkStart w:id="0" w:name="OLE_LINK1"/>
            <w:r w:rsidRPr="008C2F06">
              <w:rPr>
                <w:rFonts w:cstheme="minorHAnsi"/>
                <w:sz w:val="20"/>
                <w:szCs w:val="20"/>
              </w:rPr>
              <w:t>N/A</w:t>
            </w:r>
            <w:bookmarkEnd w:id="0"/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78D51" w14:textId="4A4AD678" w:rsidR="008147FC" w:rsidRPr="008C2F06" w:rsidRDefault="0064048E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8C2F06" w:rsidRPr="00642810" w14:paraId="2C5B51B1" w14:textId="77777777" w:rsidTr="008C2F06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C7397" w14:textId="450EB52C" w:rsidR="008147FC" w:rsidRPr="00642810" w:rsidRDefault="00257ED9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Int</w:t>
            </w:r>
            <w:r w:rsidR="008C2F06">
              <w:rPr>
                <w:rFonts w:cstheme="minorHAnsi"/>
              </w:rPr>
              <w:t>.</w:t>
            </w:r>
            <w:r w:rsidRPr="00642810">
              <w:rPr>
                <w:rFonts w:cstheme="minorHAnsi"/>
              </w:rPr>
              <w:t xml:space="preserve"> ELN Risk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B5075" w14:textId="253BB271" w:rsidR="008147FC" w:rsidRPr="008C2F06" w:rsidRDefault="00DE45B7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A61DC" w14:textId="70956374" w:rsidR="008147FC" w:rsidRPr="008C2F06" w:rsidRDefault="00F558D0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90818" w14:textId="5BD65E75" w:rsidR="008147FC" w:rsidRPr="008C2F06" w:rsidRDefault="00C50F33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45.5%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84C05" w14:textId="4682CF6D" w:rsidR="008147FC" w:rsidRPr="008C2F06" w:rsidRDefault="00B43D67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1.0000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4AB6" w14:textId="0C91B454" w:rsidR="008147FC" w:rsidRPr="008C2F06" w:rsidRDefault="007114FB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FB5D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EF10F" w14:textId="4CBFC2BF" w:rsidR="008147FC" w:rsidRPr="008C2F06" w:rsidRDefault="007114FB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290DB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1B8A" w14:textId="739EF71F" w:rsidR="008147FC" w:rsidRPr="008C2F06" w:rsidRDefault="007114FB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9723F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B121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81B73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1EA29" w14:textId="1AD6C6A6" w:rsidR="008147FC" w:rsidRPr="008C2F06" w:rsidRDefault="00E20274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5.8</w:t>
            </w:r>
          </w:p>
        </w:tc>
        <w:tc>
          <w:tcPr>
            <w:tcW w:w="11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10981" w14:textId="2D13C5BA" w:rsidR="008147FC" w:rsidRPr="008C2F06" w:rsidRDefault="00D62E35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0.56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64ED7" w14:textId="5E9173D4" w:rsidR="008147FC" w:rsidRPr="008C2F06" w:rsidRDefault="00D62E35" w:rsidP="00D62E35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0.20</w:t>
            </w:r>
            <w:r w:rsidRPr="008C2F06">
              <w:rPr>
                <w:rFonts w:cstheme="minorHAnsi"/>
                <w:sz w:val="20"/>
                <w:szCs w:val="20"/>
              </w:rPr>
              <w:t xml:space="preserve"> </w:t>
            </w:r>
            <w:r w:rsidRPr="008C2F06">
              <w:rPr>
                <w:rFonts w:cstheme="minorHAnsi"/>
                <w:sz w:val="20"/>
                <w:szCs w:val="20"/>
              </w:rPr>
              <w:t>to 1.53</w:t>
            </w:r>
          </w:p>
        </w:tc>
      </w:tr>
      <w:tr w:rsidR="008C2F06" w:rsidRPr="00642810" w14:paraId="570F9150" w14:textId="77777777" w:rsidTr="008C2F06">
        <w:trPr>
          <w:gridAfter w:val="1"/>
          <w:wAfter w:w="10" w:type="dxa"/>
          <w:trHeight w:val="420"/>
        </w:trPr>
        <w:tc>
          <w:tcPr>
            <w:tcW w:w="1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FB792" w14:textId="27317EEB" w:rsidR="008147FC" w:rsidRPr="00642810" w:rsidRDefault="00257ED9" w:rsidP="00440854">
            <w:pPr>
              <w:rPr>
                <w:rFonts w:cstheme="minorHAnsi"/>
              </w:rPr>
            </w:pPr>
            <w:r w:rsidRPr="00642810">
              <w:rPr>
                <w:rFonts w:cstheme="minorHAnsi"/>
              </w:rPr>
              <w:t>Adv</w:t>
            </w:r>
            <w:r w:rsidR="008C2F06">
              <w:rPr>
                <w:rFonts w:cstheme="minorHAnsi"/>
              </w:rPr>
              <w:t xml:space="preserve">. </w:t>
            </w:r>
            <w:r w:rsidR="00440854" w:rsidRPr="00642810">
              <w:rPr>
                <w:rFonts w:cstheme="minorHAnsi"/>
              </w:rPr>
              <w:t>ELN Risk</w:t>
            </w:r>
          </w:p>
        </w:tc>
        <w:tc>
          <w:tcPr>
            <w:tcW w:w="665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240AB" w14:textId="7CD6E80C" w:rsidR="008147FC" w:rsidRPr="008C2F06" w:rsidRDefault="00DE45B7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7B7CA" w14:textId="4BDF33CF" w:rsidR="008147FC" w:rsidRPr="008C2F06" w:rsidRDefault="00C50F33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287CA" w14:textId="37A4C43D" w:rsidR="008147FC" w:rsidRPr="008C2F06" w:rsidRDefault="00B51405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53.8%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02E31" w14:textId="2C3E9D15" w:rsidR="008147FC" w:rsidRPr="008C2F06" w:rsidRDefault="00B43D67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NS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8F787" w14:textId="1B1F7377" w:rsidR="008147FC" w:rsidRPr="008C2F06" w:rsidRDefault="006D68F0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CB4D5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23176" w14:textId="209D4D63" w:rsidR="008147FC" w:rsidRPr="008C2F06" w:rsidRDefault="006D68F0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04CCA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EC1D1" w14:textId="4DAE886F" w:rsidR="008147FC" w:rsidRPr="008C2F06" w:rsidRDefault="006D68F0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E4000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A0803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1FD8F" w14:textId="77777777" w:rsidR="008147FC" w:rsidRPr="008C2F06" w:rsidRDefault="008147FC" w:rsidP="0044085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91FB4" w14:textId="362AEC90" w:rsidR="008147FC" w:rsidRPr="008C2F06" w:rsidRDefault="00E20274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4.4</w:t>
            </w:r>
          </w:p>
        </w:tc>
        <w:tc>
          <w:tcPr>
            <w:tcW w:w="1166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2248B" w14:textId="56E41AF1" w:rsidR="008147FC" w:rsidRPr="008C2F06" w:rsidRDefault="00516D0C" w:rsidP="00440854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1.79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0AE67" w14:textId="3B28E3C9" w:rsidR="008147FC" w:rsidRPr="008C2F06" w:rsidRDefault="003A0F6D" w:rsidP="003A0F6D">
            <w:pPr>
              <w:rPr>
                <w:rFonts w:cstheme="minorHAnsi"/>
                <w:sz w:val="20"/>
                <w:szCs w:val="20"/>
              </w:rPr>
            </w:pPr>
            <w:r w:rsidRPr="008C2F06">
              <w:rPr>
                <w:rFonts w:cstheme="minorHAnsi"/>
                <w:sz w:val="20"/>
                <w:szCs w:val="20"/>
              </w:rPr>
              <w:t>0.65 to 4.95</w:t>
            </w:r>
          </w:p>
        </w:tc>
      </w:tr>
    </w:tbl>
    <w:p w14:paraId="08DA006F" w14:textId="57BFA497" w:rsidR="00F162F7" w:rsidRPr="00642810" w:rsidRDefault="00022F81">
      <w:pPr>
        <w:rPr>
          <w:rFonts w:cstheme="minorHAnsi"/>
        </w:rPr>
      </w:pPr>
      <w:r w:rsidRPr="0064281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6B9E2" wp14:editId="5413243D">
                <wp:simplePos x="0" y="0"/>
                <wp:positionH relativeFrom="margin">
                  <wp:align>center</wp:align>
                </wp:positionH>
                <wp:positionV relativeFrom="paragraph">
                  <wp:posOffset>4247515</wp:posOffset>
                </wp:positionV>
                <wp:extent cx="9096375" cy="646331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3CCDD3-4557-4CEF-8495-16A6BEB836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D5DA6" w14:textId="1C6B64C2" w:rsidR="00022F81" w:rsidRDefault="00022F81" w:rsidP="00022F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Supplemental Table 1: Comparisons between patient groups with notable baseline risk factors are again shown, with specific response types also shown.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Fisher</w:t>
                            </w:r>
                            <w:r w:rsidR="00DF26E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s exact test,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2-tailed, was used to calculate for significant difference, and none were seen. Kaplan-Meier survival estimates are shown for these risk groups (right), with </w:t>
                            </w:r>
                            <w:proofErr w:type="spellStart"/>
                            <w:r w:rsidR="0064048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ogrank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calculated hazard ratios also shown.  Prior HMA use trended toward significance, but P remained &gt; 0.05, at 0.7.</w:t>
                            </w:r>
                            <w:r w:rsidR="00403BE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O</w:t>
                            </w:r>
                            <w:r w:rsidR="00403BE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nly a single ELN Favorable Risk patient was treated</w:t>
                            </w:r>
                            <w:r w:rsidR="000343C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with s</w:t>
                            </w:r>
                            <w:r w:rsidR="000343C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urvival </w:t>
                            </w:r>
                            <w:r w:rsidR="000343C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of</w:t>
                            </w:r>
                            <w:r w:rsidR="000343C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5.5 months for this patient after MLFS response</w:t>
                            </w:r>
                            <w:r w:rsidR="000343C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r w:rsidR="0064048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Due to this limited sample </w:t>
                            </w:r>
                            <w:proofErr w:type="gramStart"/>
                            <w:r w:rsidR="0064048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number</w:t>
                            </w:r>
                            <w:proofErr w:type="gramEnd"/>
                            <w:r w:rsidR="0064048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403BE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they were excluded from Fisher’s exact test and </w:t>
                            </w:r>
                            <w:proofErr w:type="spellStart"/>
                            <w:r w:rsidR="0064048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="00403BE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ogrank</w:t>
                            </w:r>
                            <w:proofErr w:type="spellEnd"/>
                            <w:r w:rsidR="00403BE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64048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analysis</w:t>
                            </w:r>
                            <w:r w:rsidR="00403BEC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6B9E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0;margin-top:334.45pt;width:716.25pt;height:50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" filled="f" stroked="f">
                <v:textbox style="mso-fit-shape-to-text:t">
                  <w:txbxContent>
                    <w:p w14:paraId="62BD5DA6" w14:textId="1C6B64C2" w:rsidR="00022F81" w:rsidRDefault="00022F81" w:rsidP="00022F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Supplemental Table 1: Comparisons between patient groups with notable baseline risk factors are again shown, with specific response types also shown.  </w:t>
                      </w:r>
                      <w:proofErr w:type="gramStart"/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Fisher</w:t>
                      </w:r>
                      <w:r w:rsidR="00DF26E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’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s exact test,</w:t>
                      </w:r>
                      <w:proofErr w:type="gramEnd"/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2-tailed, was used to calculate for significant difference, and none were seen. Kaplan-Meier survival estimates are shown for these risk groups (right), with </w:t>
                      </w:r>
                      <w:proofErr w:type="spellStart"/>
                      <w:r w:rsidR="0064048E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l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ogrank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calculated hazard ratios also shown.  Prior HMA use trended toward significance, but P remained &gt; 0.05, at 0.7.</w:t>
                      </w:r>
                      <w:r w:rsidR="00403BEC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O</w:t>
                      </w:r>
                      <w:r w:rsidR="00403BEC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nly a single ELN Favorable Risk patient was treated</w:t>
                      </w:r>
                      <w:r w:rsidR="000343C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with s</w:t>
                      </w:r>
                      <w:r w:rsidR="000343C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urvival </w:t>
                      </w:r>
                      <w:r w:rsidR="000343C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of</w:t>
                      </w:r>
                      <w:r w:rsidR="000343C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5.5 months for this patient after MLFS response</w:t>
                      </w:r>
                      <w:r w:rsidR="000343C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. </w:t>
                      </w:r>
                      <w:r w:rsidR="0064048E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Due to this limited sample </w:t>
                      </w:r>
                      <w:proofErr w:type="gramStart"/>
                      <w:r w:rsidR="0064048E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number</w:t>
                      </w:r>
                      <w:proofErr w:type="gramEnd"/>
                      <w:r w:rsidR="0064048E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403BEC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they were excluded from Fisher’s exact test and </w:t>
                      </w:r>
                      <w:proofErr w:type="spellStart"/>
                      <w:r w:rsidR="0064048E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l</w:t>
                      </w:r>
                      <w:r w:rsidR="00403BEC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ogrank</w:t>
                      </w:r>
                      <w:proofErr w:type="spellEnd"/>
                      <w:r w:rsidR="00403BEC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4048E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analysis</w:t>
                      </w:r>
                      <w:r w:rsidR="00403BEC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62F7" w:rsidRPr="00642810" w:rsidSect="00022F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81"/>
    <w:rsid w:val="00022F81"/>
    <w:rsid w:val="0002794A"/>
    <w:rsid w:val="000343C2"/>
    <w:rsid w:val="00083678"/>
    <w:rsid w:val="001C7AF8"/>
    <w:rsid w:val="00200A98"/>
    <w:rsid w:val="00243049"/>
    <w:rsid w:val="00257ED9"/>
    <w:rsid w:val="00294BE5"/>
    <w:rsid w:val="002A6977"/>
    <w:rsid w:val="00331E9A"/>
    <w:rsid w:val="003A0F6D"/>
    <w:rsid w:val="00403BEC"/>
    <w:rsid w:val="00440854"/>
    <w:rsid w:val="004F7CBE"/>
    <w:rsid w:val="00516D0C"/>
    <w:rsid w:val="005F4412"/>
    <w:rsid w:val="0064048E"/>
    <w:rsid w:val="00642810"/>
    <w:rsid w:val="006A11F3"/>
    <w:rsid w:val="006D68F0"/>
    <w:rsid w:val="00701BC3"/>
    <w:rsid w:val="007114FB"/>
    <w:rsid w:val="008147FC"/>
    <w:rsid w:val="008A5E94"/>
    <w:rsid w:val="008C2F06"/>
    <w:rsid w:val="008E4663"/>
    <w:rsid w:val="009B200A"/>
    <w:rsid w:val="00B43D67"/>
    <w:rsid w:val="00B51405"/>
    <w:rsid w:val="00BD6F03"/>
    <w:rsid w:val="00C50F33"/>
    <w:rsid w:val="00CC566E"/>
    <w:rsid w:val="00D62E35"/>
    <w:rsid w:val="00D80754"/>
    <w:rsid w:val="00DE45B7"/>
    <w:rsid w:val="00DF26E2"/>
    <w:rsid w:val="00E20274"/>
    <w:rsid w:val="00F558D0"/>
    <w:rsid w:val="00FA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0690"/>
  <w15:chartTrackingRefBased/>
  <w15:docId w15:val="{E74DC818-F0DB-4A1A-B7D4-FD46A1F1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Tenold</dc:creator>
  <cp:keywords/>
  <dc:description/>
  <cp:lastModifiedBy>Matt Tenold</cp:lastModifiedBy>
  <cp:revision>37</cp:revision>
  <dcterms:created xsi:type="dcterms:W3CDTF">2021-01-21T18:03:00Z</dcterms:created>
  <dcterms:modified xsi:type="dcterms:W3CDTF">2021-01-21T19:41:00Z</dcterms:modified>
</cp:coreProperties>
</file>