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73F" w:rsidRDefault="005E373F" w:rsidP="00AE5DED">
      <w:pPr>
        <w:rPr>
          <w:rFonts w:ascii="Times New Roman" w:hAnsi="Times New Roman" w:cs="Times New Roman"/>
          <w:b/>
          <w:sz w:val="24"/>
          <w:szCs w:val="24"/>
        </w:rPr>
      </w:pPr>
      <w:r w:rsidRPr="00B01F25">
        <w:rPr>
          <w:rFonts w:ascii="Times New Roman" w:hAnsi="Times New Roman" w:cs="Times New Roman"/>
          <w:b/>
          <w:sz w:val="24"/>
          <w:szCs w:val="24"/>
        </w:rPr>
        <w:t>Supplementary</w:t>
      </w:r>
      <w:r w:rsidRPr="004C7D65">
        <w:rPr>
          <w:rFonts w:ascii="Times New Roman" w:hAnsi="Times New Roman" w:cs="Times New Roman"/>
          <w:b/>
          <w:sz w:val="24"/>
          <w:szCs w:val="24"/>
        </w:rPr>
        <w:t xml:space="preserve"> Table 1. Demographics and clinical characteristics of enrolled patients</w:t>
      </w:r>
    </w:p>
    <w:p w:rsidR="00064719" w:rsidRPr="00064719" w:rsidRDefault="00064719" w:rsidP="00064719">
      <w:pPr>
        <w:widowControl/>
        <w:spacing w:line="120" w:lineRule="exact"/>
        <w:jc w:val="left"/>
        <w:rPr>
          <w:rFonts w:ascii="Times New Roman" w:eastAsia="宋体" w:hAnsi="Times New Roman" w:cs="Times New Roman"/>
          <w:color w:val="000000"/>
          <w:kern w:val="0"/>
          <w:sz w:val="11"/>
          <w:szCs w:val="18"/>
        </w:rPr>
      </w:pPr>
    </w:p>
    <w:tbl>
      <w:tblPr>
        <w:tblW w:w="9641" w:type="dxa"/>
        <w:tblInd w:w="426" w:type="dxa"/>
        <w:tblLook w:val="04A0" w:firstRow="1" w:lastRow="0" w:firstColumn="1" w:lastColumn="0" w:noHBand="0" w:noVBand="1"/>
      </w:tblPr>
      <w:tblGrid>
        <w:gridCol w:w="1701"/>
        <w:gridCol w:w="1985"/>
        <w:gridCol w:w="1985"/>
        <w:gridCol w:w="1985"/>
        <w:gridCol w:w="1985"/>
      </w:tblGrid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Variables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8547E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All patients</w:t>
            </w:r>
            <w:r w:rsidR="0008547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n=25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8547E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90-day survivors</w:t>
            </w:r>
            <w:r w:rsidR="0008547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n=18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49054D" w:rsidP="0008547E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90-day non-s</w:t>
            </w:r>
            <w:r w:rsidR="003266FE"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urvivors</w:t>
            </w:r>
            <w:r w:rsidR="0008547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</w:t>
            </w:r>
            <w:r w:rsidR="003266FE"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n=7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themeColor="background1" w:fill="auto"/>
            <w:noWrap/>
            <w:vAlign w:val="bottom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p value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Demographics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Age(years)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64.00(59.00-77.00)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63.50(56.50-75.00)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71.00(61.50-80.50)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bottom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0.205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Weight(kg)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78.00(67.00-90.00)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82.50(75.00-91.50)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65.00(59.00-81.50)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0.179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Height(cm)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175.00(163.00-180.00)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177.00(165.25-180.75)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165.00(162.50-170.00)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0.383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Gender(male)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14(56.00%)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10(55.56%)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4(57.14%)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Site of infection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Lung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5(20.00%)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4(22.22%)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1(14.29%)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Abdomen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19(76.00%)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14(77.78%)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5(71.43%)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Genitourinary tract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3(12.00%)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2(11.11%)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1(14.29%)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Catheter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1(4.00%)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0(0%)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1(14.29%)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0.280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Mediastinum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2(8.00%)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1(5.56%)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1(14.29%)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0.490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Combined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5(20.00%)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3(16.67%)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2(28.57%)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0.597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Culture positive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24(96.00%)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17(94.44%)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7(100%)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Organism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Bacteria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23(92.00%)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16(88.89%)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7(100%)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  Gram-negative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15(60.00%)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9(50.00%)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6(85.71%)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0.179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  Gram-positive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17(68.00%)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14(77.78%)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3(42.86%)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0.156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Fungal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5(20.00%)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3(16.67%)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2(28.57%)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bottom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0.597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Viral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0(0%)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0(0%)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0(0%)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-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Mixed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14(56.00%)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10(55.56%)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4(57.14%)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Septic shock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21(84.00%)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15(83.33%)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6(85.71%)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03392C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392C" w:rsidRPr="00064719" w:rsidRDefault="00E008D9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-day mortality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392C" w:rsidRPr="00064719" w:rsidRDefault="0003392C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2</w:t>
            </w:r>
            <w:r w:rsidR="00E008D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</w:t>
            </w:r>
            <w:r w:rsidR="00E008D9"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392C" w:rsidRPr="00064719" w:rsidRDefault="00E008D9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392C" w:rsidRPr="00064719" w:rsidRDefault="00E008D9" w:rsidP="00E008D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(2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57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</w:tcPr>
          <w:p w:rsidR="0003392C" w:rsidRPr="00C1261E" w:rsidRDefault="00E008D9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-</w:t>
            </w:r>
          </w:p>
        </w:tc>
      </w:tr>
      <w:tr w:rsidR="0003392C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392C" w:rsidRPr="00064719" w:rsidRDefault="00E008D9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28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-day mortality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392C" w:rsidRPr="00064719" w:rsidRDefault="0003392C" w:rsidP="00E008D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4</w:t>
            </w:r>
            <w:r w:rsidR="00E008D9"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</w:t>
            </w:r>
            <w:r w:rsidR="00E008D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</w:t>
            </w:r>
            <w:r w:rsidR="00E008D9"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392C" w:rsidRPr="00064719" w:rsidRDefault="00E008D9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3392C" w:rsidRPr="00064719" w:rsidRDefault="00E008D9" w:rsidP="00E008D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(57.12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</w:tcPr>
          <w:p w:rsidR="0003392C" w:rsidRPr="00C1261E" w:rsidRDefault="00E008D9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-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90-day mortality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7(28.00%)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E008D9" w:rsidP="00E008D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7(100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bottom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-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Clinical parameters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3392C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PCT(ng/ml)</w:t>
            </w:r>
            <w:r w:rsidR="0003392C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D1</w:t>
            </w:r>
            <w:r w:rsidR="0003392C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or </w:t>
            </w:r>
            <w:r w:rsidR="005E373F"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D2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8.65(2.49-43.30)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9.015(3.54-39.72)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2.36(0.76-44.77)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0.348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 xml:space="preserve">/L) D1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15.40(10.61-23.86)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15.39(10.66-29.12)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16.38(12.41-18.81)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bottom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0.694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 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>/L) D2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14.13(9.75-25.31)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14.90(11.16-27.84)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9.85(9.18-19.08)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0.263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 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>/L) D3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12.45(9.99-19.73)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12.97(10.43-17.93)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11.175(9.68-24.78)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0.571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 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>/L) D4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11.46(9.77-16.69)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10.84(9.93-15.06)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12.27(9.81-19.26)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0.714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 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>/L) D5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12.11(9.87-17.47)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12.18(10.17-15.93)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10.40(8.69-19.60)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0.527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 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>/L) D6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13.87(10.57-18.45)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15.29(11.00-18.44)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11.70(8.08-19.52)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bottom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0.421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 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>/L) D7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13.13(11.00-19.45)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15.29(11.79-20.22)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11.13(7.55-12.17)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0.177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182.30(91.70-258.40)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186.65(145.68-277.23)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596CF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596CF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91.70(59.8-204.05)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0.107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219.60(159.40-283.50)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243.75(218.88-323.43)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596CF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596CF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159.40(102.25-195.85)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517EC6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</w:pPr>
            <w:r w:rsidRPr="00517E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  <w:t>0.012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197.10(154.75-266.33)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244.90(160.23-283.58)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596CF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596CF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159.10(143.73-178.68)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517EC6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</w:pPr>
            <w:r w:rsidRPr="00517E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  <w:t>0.017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152.25(113.10-181.53)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153.95(107.10-186.18)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596CF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596CF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150.45(134.65-154.93)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bottom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0.886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100.40(79.83-138.73)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99.90(73.88-131.73)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110.80(89.30-143.63)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0.738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64.80(54.50-114.35)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64.80(55.30-112.70)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82.20(53.23-113.20)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0.550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83.90(53.55-126.70)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83.90(56.50-127.20)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87.95(56.55-103.90)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0.916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312.00(244.00-468.00)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329.00(267.50-500.25)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284.00(232.00-333.50)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0.468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292.00(234.00-459.00)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286.50(216.50-372.25)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438.00(254.50-1706.00)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0.155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294.50(237.75-361.00)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294.50(243.25-343.00)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295.00(235.25-423.75)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0.816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305.50(220.25-350.50)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326.50(224.75-344.75)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245.00(218.00-346.25)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0.681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297.00(235.25-370.00)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318.00(241.00-380.00)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247.00(238.50-326.00)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bottom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0.495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331.00(247.25-383.75)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374.00(243.75-392.25)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272.50(249.50-333.75)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0.213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317.50(269.75-406.75)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347.00(280.25-443.00)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291.50(269.75-302.75)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0.040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19.90(13.30-38.50)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19.85(14.33-28.85)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25.60(15.65-60.20)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0.506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13.60(10.65-27.75)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12.20(10.60-19.60)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27.75(20.08-64.45)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0.064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11.05(9.55-17.35)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10.45(8.88-15.18)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16.85(14.7-18.40)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517EC6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</w:pPr>
            <w:r w:rsidRPr="00517E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  <w:t>0.036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12.40(10.15-16.35)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12.40(9.90-14.90)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13.20(10.63-17.65)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0.485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10.75(9.45-16.48)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11.80(9.98-16.73)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10.30(8.70-10.78)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0.417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11.40(9.70-14.80)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11.40(9.40-15.20)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11.05(9.80-13.88)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0.786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11.30(9.00-14.50)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11.30(9.40-14.55)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10.05(8.23-11.80)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0.938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Scoring models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SOFA(D1)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13.00(10.00-14.00)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12.50(10.25-14.00)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14.00(9.50-14.50)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0.874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11.00(9.00-15.00)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10.50(9.00-12.75)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16.00(7.50-17.50)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0.466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11.00(8.00-14.00)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10.50(8.00-13.00)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13.50(7.25-16.75)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0.422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9.00(6.75-12.25)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9.00(6.25-9.00)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13.00(8.75-15.00)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0.146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8.00(6.00-10.00)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8.00(6.00-9.75)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11.50(6.75-14.75)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0.181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8.00(4.50-10.00)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7.00(4.00-9.00)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11.00(6.00-13.75)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0.157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6.00(3.50-8.00)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6.00(3.00-8.00)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11.50(5.50-15.25)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0.124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66.00(52.00-78.00)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64.50(51.25-70.00)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76.00(63.00-81.50)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0.416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67.00(49.00-75.00)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63.00(46.75-73.50)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75.00(61.50-85.00)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0.123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62.50(47.50-67.75)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62.50(43.75-66.75)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60.00(49.25-77.5)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0.326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54.00(40.75-70.25)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53.50(39.50-59.50)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71.00(49.00-81.75)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0.100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49.50(37.75-60.75)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43.00(35.25-58.50)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61.50(49.00-83.75)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0.056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48.00(34.50-60.50)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45.00(34.00-59.00)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63.00(41.25-84.75)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0.101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46.00(34.50-64.00)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44.00(31.00-48.00)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66.50(44.50-82.50)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517EC6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</w:pPr>
            <w:r w:rsidRPr="00517EC6"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  <w:t>0.037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30.00(24.00-33.00)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29.50(24.00-32.00)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36.00(28.50-40.00)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0.256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31.00(25.00-34.00)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29.00(20.50-33.75)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32.00(30.00-35.00)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0.508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27.50(19.50-33.25)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27.50(18.50-32.50)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26.50(21.00-34.25)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0.714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24.50(19.00-28.5)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23.50(19.50-26.75)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27.00(20.75-31.00)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0.277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24.00(17.75-28.25) (n=24)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22.00(17.25-27.50)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29.00(23.50-30.00)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0.222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22.00(20.00-28.50) (n=23)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22.00(21.00-24.00) (n=17)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29.00(17.50-30.75) (n=6)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0.245</w:t>
            </w:r>
          </w:p>
        </w:tc>
      </w:tr>
      <w:tr w:rsidR="003266FE" w:rsidRPr="003266FE" w:rsidTr="0003392C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23.00(15.50-29.00) (n=23)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22.00(16.00-24.00) (n=17)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66FE" w:rsidRPr="00064719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30.50(18.75-34.00) (n=6)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themeColor="background1" w:fill="auto"/>
            <w:noWrap/>
            <w:vAlign w:val="center"/>
            <w:hideMark/>
          </w:tcPr>
          <w:p w:rsidR="003266FE" w:rsidRPr="00C1261E" w:rsidRDefault="003266FE" w:rsidP="00064719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0.175</w:t>
            </w:r>
          </w:p>
        </w:tc>
      </w:tr>
    </w:tbl>
    <w:p w:rsidR="005E373F" w:rsidRDefault="005E373F" w:rsidP="0003392C">
      <w:pPr>
        <w:rPr>
          <w:rFonts w:cs="Times New Roman"/>
          <w:color w:val="000000" w:themeColor="text1"/>
          <w:sz w:val="20"/>
          <w:szCs w:val="20"/>
        </w:rPr>
      </w:pPr>
    </w:p>
    <w:p w:rsidR="0003392C" w:rsidRPr="0003392C" w:rsidRDefault="0003392C" w:rsidP="0003392C">
      <w:pPr>
        <w:rPr>
          <w:rFonts w:ascii="Times New Roman" w:hAnsi="Times New Roman" w:cs="Times New Roman"/>
          <w:sz w:val="18"/>
          <w:szCs w:val="21"/>
        </w:rPr>
      </w:pPr>
      <w:r w:rsidRPr="0003392C">
        <w:rPr>
          <w:rFonts w:ascii="Times New Roman" w:hAnsi="Times New Roman" w:cs="Times New Roman"/>
          <w:sz w:val="18"/>
          <w:szCs w:val="21"/>
        </w:rPr>
        <w:t>Variables were shown as frequencies (percentages) for categorical data and medians (interquartile ranges) for continuous data.</w:t>
      </w:r>
    </w:p>
    <w:p w:rsidR="0003392C" w:rsidRPr="0003392C" w:rsidRDefault="0003392C" w:rsidP="0003392C">
      <w:pPr>
        <w:rPr>
          <w:rFonts w:ascii="Times New Roman" w:hAnsi="Times New Roman" w:cs="Times New Roman"/>
          <w:sz w:val="18"/>
          <w:szCs w:val="21"/>
        </w:rPr>
      </w:pPr>
      <w:r w:rsidRPr="0003392C">
        <w:rPr>
          <w:rFonts w:ascii="Times New Roman" w:hAnsi="Times New Roman" w:cs="Times New Roman"/>
          <w:sz w:val="18"/>
          <w:szCs w:val="21"/>
        </w:rPr>
        <w:t>D1 mean the first day after onset of spesis,</w:t>
      </w:r>
      <w:r>
        <w:rPr>
          <w:rFonts w:ascii="Times New Roman" w:hAnsi="Times New Roman" w:cs="Times New Roman"/>
          <w:sz w:val="18"/>
          <w:szCs w:val="21"/>
        </w:rPr>
        <w:t xml:space="preserve"> </w:t>
      </w:r>
      <w:r w:rsidRPr="0003392C">
        <w:rPr>
          <w:rFonts w:ascii="Times New Roman" w:hAnsi="Times New Roman" w:cs="Times New Roman"/>
          <w:sz w:val="18"/>
          <w:szCs w:val="21"/>
        </w:rPr>
        <w:t>D2 means</w:t>
      </w:r>
      <w:r>
        <w:rPr>
          <w:rFonts w:ascii="Times New Roman" w:hAnsi="Times New Roman" w:cs="Times New Roman"/>
          <w:sz w:val="18"/>
          <w:szCs w:val="21"/>
        </w:rPr>
        <w:t xml:space="preserve"> </w:t>
      </w:r>
      <w:r w:rsidRPr="0003392C">
        <w:rPr>
          <w:rFonts w:ascii="Times New Roman" w:hAnsi="Times New Roman" w:cs="Times New Roman"/>
          <w:sz w:val="18"/>
          <w:szCs w:val="21"/>
        </w:rPr>
        <w:t xml:space="preserve">the </w:t>
      </w:r>
      <w:r>
        <w:rPr>
          <w:rFonts w:ascii="Times New Roman" w:hAnsi="Times New Roman" w:cs="Times New Roman" w:hint="eastAsia"/>
          <w:sz w:val="18"/>
          <w:szCs w:val="21"/>
        </w:rPr>
        <w:t>second</w:t>
      </w:r>
      <w:r w:rsidRPr="0003392C">
        <w:rPr>
          <w:rFonts w:ascii="Times New Roman" w:hAnsi="Times New Roman" w:cs="Times New Roman"/>
          <w:sz w:val="18"/>
          <w:szCs w:val="21"/>
        </w:rPr>
        <w:t xml:space="preserve"> day after onset of </w:t>
      </w:r>
      <w:r>
        <w:rPr>
          <w:rFonts w:ascii="Times New Roman" w:hAnsi="Times New Roman" w:cs="Times New Roman"/>
          <w:sz w:val="18"/>
          <w:szCs w:val="21"/>
        </w:rPr>
        <w:t>sepsis……</w:t>
      </w:r>
    </w:p>
    <w:p w:rsidR="005E45BB" w:rsidRDefault="005E45BB" w:rsidP="0003392C">
      <w:pPr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>The n value of non-survivors becomes 6 from Day 3, because</w:t>
      </w:r>
      <w:r w:rsidR="0049054D"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8"/>
          <w:szCs w:val="21"/>
        </w:rPr>
        <w:t>1 patient d</w:t>
      </w:r>
      <w:r w:rsidR="0049054D">
        <w:rPr>
          <w:rFonts w:ascii="Times New Roman" w:hAnsi="Times New Roman" w:cs="Times New Roman" w:hint="eastAsia"/>
          <w:sz w:val="18"/>
          <w:szCs w:val="21"/>
        </w:rPr>
        <w:t>ied</w:t>
      </w:r>
      <w:r w:rsidR="0049054D"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8"/>
          <w:szCs w:val="21"/>
        </w:rPr>
        <w:t>on day 2.</w:t>
      </w:r>
    </w:p>
    <w:p w:rsidR="005E45BB" w:rsidRPr="001D7BCE" w:rsidRDefault="005E45BB" w:rsidP="005E45BB">
      <w:pPr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>The n value of survivors</w:t>
      </w:r>
      <w:r w:rsidR="0049054D">
        <w:rPr>
          <w:rFonts w:ascii="Times New Roman" w:hAnsi="Times New Roman" w:cs="Times New Roman"/>
          <w:sz w:val="18"/>
          <w:szCs w:val="21"/>
        </w:rPr>
        <w:t xml:space="preserve"> wa</w:t>
      </w:r>
      <w:r>
        <w:rPr>
          <w:rFonts w:ascii="Times New Roman" w:hAnsi="Times New Roman" w:cs="Times New Roman"/>
          <w:sz w:val="18"/>
          <w:szCs w:val="21"/>
        </w:rPr>
        <w:t xml:space="preserve">s 17 </w:t>
      </w:r>
      <w:r w:rsidR="0049054D">
        <w:rPr>
          <w:rFonts w:ascii="Times New Roman" w:hAnsi="Times New Roman" w:cs="Times New Roman" w:hint="eastAsia"/>
          <w:sz w:val="18"/>
          <w:szCs w:val="21"/>
        </w:rPr>
        <w:t>on</w:t>
      </w:r>
      <w:r>
        <w:rPr>
          <w:rFonts w:ascii="Times New Roman" w:hAnsi="Times New Roman" w:cs="Times New Roman"/>
          <w:sz w:val="18"/>
          <w:szCs w:val="21"/>
        </w:rPr>
        <w:t xml:space="preserve"> Day 6, </w:t>
      </w:r>
      <w:r w:rsidR="0049054D">
        <w:rPr>
          <w:rFonts w:ascii="Times New Roman" w:hAnsi="Times New Roman" w:cs="Times New Roman" w:hint="eastAsia"/>
          <w:sz w:val="18"/>
          <w:szCs w:val="21"/>
        </w:rPr>
        <w:t>as</w:t>
      </w:r>
      <w:r w:rsidR="0049054D">
        <w:rPr>
          <w:rFonts w:ascii="Times New Roman" w:hAnsi="Times New Roman" w:cs="Times New Roman"/>
          <w:sz w:val="18"/>
          <w:szCs w:val="21"/>
        </w:rPr>
        <w:t xml:space="preserve"> samples of</w:t>
      </w:r>
      <w:r>
        <w:rPr>
          <w:rFonts w:ascii="Times New Roman" w:hAnsi="Times New Roman" w:cs="Times New Roman"/>
          <w:sz w:val="18"/>
          <w:szCs w:val="21"/>
        </w:rPr>
        <w:t xml:space="preserve"> 2 patient</w:t>
      </w:r>
      <w:r w:rsidR="0049054D">
        <w:rPr>
          <w:rFonts w:ascii="Times New Roman" w:hAnsi="Times New Roman" w:cs="Times New Roman"/>
          <w:sz w:val="18"/>
          <w:szCs w:val="21"/>
        </w:rPr>
        <w:t>s</w:t>
      </w:r>
      <w:r>
        <w:rPr>
          <w:rFonts w:ascii="Times New Roman" w:hAnsi="Times New Roman" w:cs="Times New Roman"/>
          <w:sz w:val="18"/>
          <w:szCs w:val="21"/>
        </w:rPr>
        <w:t xml:space="preserve"> </w:t>
      </w:r>
      <w:r w:rsidR="0049054D">
        <w:rPr>
          <w:rFonts w:ascii="Times New Roman" w:hAnsi="Times New Roman" w:cs="Times New Roman" w:hint="eastAsia"/>
          <w:sz w:val="18"/>
          <w:szCs w:val="21"/>
        </w:rPr>
        <w:t>were</w:t>
      </w:r>
      <w:r>
        <w:rPr>
          <w:rFonts w:ascii="Times New Roman" w:hAnsi="Times New Roman" w:cs="Times New Roman"/>
          <w:sz w:val="18"/>
          <w:szCs w:val="21"/>
        </w:rPr>
        <w:t xml:space="preserve"> not </w:t>
      </w:r>
      <w:r w:rsidR="0049054D">
        <w:rPr>
          <w:rFonts w:ascii="Times New Roman" w:hAnsi="Times New Roman" w:cs="Times New Roman" w:hint="eastAsia"/>
          <w:sz w:val="18"/>
          <w:szCs w:val="21"/>
        </w:rPr>
        <w:t>available</w:t>
      </w:r>
      <w:r>
        <w:rPr>
          <w:rFonts w:ascii="Times New Roman" w:hAnsi="Times New Roman" w:cs="Times New Roman"/>
          <w:sz w:val="18"/>
          <w:szCs w:val="21"/>
        </w:rPr>
        <w:t xml:space="preserve"> on day 6 and day 7. </w:t>
      </w:r>
    </w:p>
    <w:p w:rsidR="005F4276" w:rsidRDefault="00F6407E" w:rsidP="006E01DF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sectPr w:rsidR="005F4276" w:rsidSect="007A6748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Bold values for p&lt;0.05</w:t>
      </w:r>
    </w:p>
    <w:p w:rsidR="005F4276" w:rsidRPr="000E6677" w:rsidRDefault="005F4276" w:rsidP="005F4276">
      <w:pPr>
        <w:rPr>
          <w:rFonts w:ascii="Times New Roman" w:hAnsi="Times New Roman" w:cs="Times New Roman"/>
          <w:b/>
          <w:sz w:val="24"/>
          <w:szCs w:val="24"/>
        </w:rPr>
      </w:pPr>
      <w:r w:rsidRPr="00B01F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Table 2. Cytokines</w:t>
      </w:r>
      <w:r w:rsidRPr="00B01F25">
        <w:rPr>
          <w:rFonts w:ascii="Times New Roman" w:hAnsi="Times New Roman" w:cs="Times New Roman"/>
          <w:b/>
          <w:sz w:val="24"/>
          <w:szCs w:val="24"/>
        </w:rPr>
        <w:t xml:space="preserve"> in serum samples of </w:t>
      </w:r>
      <w:r w:rsidRPr="000E6677">
        <w:rPr>
          <w:rFonts w:ascii="Times New Roman" w:hAnsi="Times New Roman" w:cs="Times New Roman" w:hint="eastAsia"/>
          <w:b/>
          <w:sz w:val="24"/>
          <w:szCs w:val="24"/>
        </w:rPr>
        <w:t>healthy</w:t>
      </w:r>
      <w:r w:rsidRPr="000E6677">
        <w:rPr>
          <w:rFonts w:ascii="Times New Roman" w:hAnsi="Times New Roman" w:cs="Times New Roman"/>
          <w:b/>
          <w:sz w:val="24"/>
          <w:szCs w:val="24"/>
        </w:rPr>
        <w:t xml:space="preserve"> donors</w:t>
      </w:r>
      <w:r w:rsidRPr="00B01F25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0E6677">
        <w:rPr>
          <w:rFonts w:ascii="Times New Roman" w:hAnsi="Times New Roman" w:cs="Times New Roman"/>
          <w:b/>
          <w:sz w:val="24"/>
          <w:szCs w:val="24"/>
        </w:rPr>
        <w:t>sepsis</w:t>
      </w:r>
      <w:r w:rsidRPr="00B01F25">
        <w:rPr>
          <w:rFonts w:ascii="Times New Roman" w:hAnsi="Times New Roman" w:cs="Times New Roman"/>
          <w:b/>
          <w:sz w:val="24"/>
          <w:szCs w:val="24"/>
        </w:rPr>
        <w:t xml:space="preserve"> patients.</w:t>
      </w:r>
    </w:p>
    <w:p w:rsidR="005F4276" w:rsidRDefault="005F4276" w:rsidP="005F4276"/>
    <w:tbl>
      <w:tblPr>
        <w:tblW w:w="15398" w:type="dxa"/>
        <w:tblLook w:val="04A0" w:firstRow="1" w:lastRow="0" w:firstColumn="1" w:lastColumn="0" w:noHBand="0" w:noVBand="1"/>
      </w:tblPr>
      <w:tblGrid>
        <w:gridCol w:w="981"/>
        <w:gridCol w:w="1398"/>
        <w:gridCol w:w="1537"/>
        <w:gridCol w:w="1258"/>
        <w:gridCol w:w="1398"/>
        <w:gridCol w:w="1118"/>
        <w:gridCol w:w="1257"/>
        <w:gridCol w:w="1064"/>
        <w:gridCol w:w="1471"/>
        <w:gridCol w:w="1293"/>
        <w:gridCol w:w="1407"/>
        <w:gridCol w:w="1216"/>
      </w:tblGrid>
      <w:tr w:rsidR="005F4276" w:rsidRPr="00DD5F9C" w:rsidTr="00066A93">
        <w:trPr>
          <w:trHeight w:val="270"/>
        </w:trPr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HD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n=19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D1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n=24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0E667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</w:p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vs.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(n=22)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0E667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value </w:t>
            </w:r>
          </w:p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vs.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(n=17)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0E667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value </w:t>
            </w:r>
          </w:p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vs.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(n=18)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0E667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</w:p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vs.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(n=16)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0E6677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</w:p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HD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vs.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D7</w:t>
            </w:r>
          </w:p>
        </w:tc>
      </w:tr>
      <w:tr w:rsidR="005F4276" w:rsidRPr="00DD5F9C" w:rsidTr="00066A93">
        <w:trPr>
          <w:trHeight w:val="27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IL-1β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1.99±0.22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17.41±6.63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0.0099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10.59±3.79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0.0868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1.92±0.19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1.69±0.19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0.1667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1.49±0.11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0.1082</w:t>
            </w:r>
          </w:p>
        </w:tc>
      </w:tr>
      <w:tr w:rsidR="005F4276" w:rsidRPr="00DD5F9C" w:rsidTr="00066A93">
        <w:trPr>
          <w:trHeight w:val="27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221.02±44.04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1386.96±506.32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0.0106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940.97±164.61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1550.03±751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0.0011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713.69±200.71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0.0002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1464.62±829.39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0.0005</w:t>
            </w:r>
          </w:p>
        </w:tc>
      </w:tr>
      <w:tr w:rsidR="005F4276" w:rsidRPr="00DD5F9C" w:rsidTr="00066A93">
        <w:trPr>
          <w:trHeight w:val="27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TNFα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1.46±0.09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6.96±3.18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0.0189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10.12±7.36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1.32±0.1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0.2223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1.19±0.11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0.0298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1.29±0.23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0.034</w:t>
            </w:r>
          </w:p>
        </w:tc>
      </w:tr>
      <w:tr w:rsidR="005F4276" w:rsidRPr="00DD5F9C" w:rsidTr="00066A93">
        <w:trPr>
          <w:trHeight w:val="27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MCP-1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738.77±102.56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4930.03±1183.58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1817.15±269.95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0.0039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860.1±109.51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0.3749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1013.64±165.44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1196.25±212.36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0.0945</w:t>
            </w:r>
          </w:p>
        </w:tc>
      </w:tr>
      <w:tr w:rsidR="005F4276" w:rsidRPr="00DD5F9C" w:rsidTr="00066A93">
        <w:trPr>
          <w:trHeight w:val="27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IFN-γ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3.36±0.51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401.39±350.17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0.0024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63.3±25.48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3.68±0.69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0.8991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5.58±2.28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0.3539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5.03±1.53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0.7033</w:t>
            </w:r>
          </w:p>
        </w:tc>
      </w:tr>
      <w:tr w:rsidR="005F4276" w:rsidRPr="00DD5F9C" w:rsidTr="00066A93">
        <w:trPr>
          <w:trHeight w:val="27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12.4±9.41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6777.33±3332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592.44±390.04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185.58±41.59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191.1±34.52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254.81±87.54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</w:tr>
      <w:tr w:rsidR="005F4276" w:rsidRPr="00DD5F9C" w:rsidTr="00066A93">
        <w:trPr>
          <w:trHeight w:val="27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IL-12p70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3.8±2.31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13.28±7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13.24±5.66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0.0484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1.36±0.11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1.44±0.13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1.38±0.11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0.631</w:t>
            </w:r>
          </w:p>
        </w:tc>
      </w:tr>
      <w:tr w:rsidR="005F4276" w:rsidRPr="00DD5F9C" w:rsidTr="00066A93">
        <w:trPr>
          <w:trHeight w:val="270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20.69±5.18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391.56±79.53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112.82±18.7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96.65±19.48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105.59±14.74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132.15±20.6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</w:tr>
      <w:tr w:rsidR="005F4276" w:rsidRPr="00DD5F9C" w:rsidTr="00066A93">
        <w:trPr>
          <w:trHeight w:val="270"/>
        </w:trPr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3.51±1.63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183.1±86.29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29.74±7.34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17.49±5.88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17.94±5.25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18.03±6.21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&lt;0.0001</w:t>
            </w:r>
          </w:p>
        </w:tc>
      </w:tr>
    </w:tbl>
    <w:p w:rsidR="005F4276" w:rsidRDefault="005F4276" w:rsidP="005F427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</w:p>
    <w:p w:rsidR="005F4276" w:rsidRPr="000E6677" w:rsidRDefault="005F4276" w:rsidP="005F427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0E6677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HDs,</w:t>
      </w:r>
      <w:r w:rsidRPr="000E6677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0E6677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healthy</w:t>
      </w:r>
      <w:r w:rsidRPr="000E6677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donors</w:t>
      </w:r>
      <w:r w:rsidRPr="000E6677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; </w:t>
      </w:r>
      <w:r w:rsidRPr="000E6677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D1, day 1 after the onset of sepsis; D3, day 3 after the onset of sepsis……</w:t>
      </w:r>
    </w:p>
    <w:p w:rsidR="005F4276" w:rsidRPr="000E6677" w:rsidRDefault="005F4276" w:rsidP="005F427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0E6677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SEM, Standard Error of Mean.</w:t>
      </w:r>
    </w:p>
    <w:p w:rsidR="005F4276" w:rsidRPr="001D7BCE" w:rsidRDefault="005F4276" w:rsidP="005F4276">
      <w:pPr>
        <w:widowControl/>
        <w:jc w:val="left"/>
        <w:rPr>
          <w:rFonts w:ascii="Times New Roman" w:hAnsi="Times New Roman" w:cs="Times New Roman"/>
          <w:sz w:val="18"/>
          <w:szCs w:val="21"/>
        </w:rPr>
      </w:pPr>
      <w:r w:rsidRPr="000E6677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Variables are described as mean</w:t>
      </w:r>
      <w:r w:rsidRPr="000E6677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±SEM. Mann-Whitney U test was used for testing the difference between healthy donors and sepsis p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atients. Bold values for p&lt;0.05</w:t>
      </w:r>
    </w:p>
    <w:p w:rsidR="0003392C" w:rsidRDefault="0003392C" w:rsidP="006E01DF">
      <w:pP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5F4276" w:rsidRDefault="005F4276" w:rsidP="006E01DF">
      <w:pPr>
        <w:rPr>
          <w:rFonts w:ascii="Times New Roman" w:hAnsi="Times New Roman" w:cs="Times New Roman"/>
          <w:sz w:val="18"/>
          <w:szCs w:val="21"/>
        </w:rPr>
        <w:sectPr w:rsidR="005F4276" w:rsidSect="005F4276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5F4276" w:rsidRDefault="005F4276" w:rsidP="005F4276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 w:rsidRPr="00B01F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Table 3. Cytokines</w:t>
      </w:r>
      <w:r w:rsidRPr="00B01F25">
        <w:rPr>
          <w:rFonts w:ascii="Times New Roman" w:hAnsi="Times New Roman" w:cs="Times New Roman"/>
          <w:b/>
          <w:sz w:val="24"/>
          <w:szCs w:val="24"/>
        </w:rPr>
        <w:t xml:space="preserve"> in serum samples of </w:t>
      </w:r>
      <w:r>
        <w:rPr>
          <w:rFonts w:ascii="Times New Roman" w:hAnsi="Times New Roman" w:cs="Times New Roman" w:hint="eastAsia"/>
          <w:b/>
          <w:sz w:val="24"/>
          <w:szCs w:val="24"/>
        </w:rPr>
        <w:t>survivors</w:t>
      </w:r>
      <w:r w:rsidRPr="00B01F25">
        <w:rPr>
          <w:rFonts w:ascii="Times New Roman" w:hAnsi="Times New Roman" w:cs="Times New Roman"/>
          <w:b/>
          <w:sz w:val="24"/>
          <w:szCs w:val="24"/>
        </w:rPr>
        <w:t xml:space="preserve"> and </w:t>
      </w:r>
      <w:r>
        <w:rPr>
          <w:rFonts w:ascii="Times New Roman" w:hAnsi="Times New Roman" w:cs="Times New Roman" w:hint="eastAsia"/>
          <w:b/>
          <w:sz w:val="24"/>
          <w:szCs w:val="24"/>
        </w:rPr>
        <w:t>non-</w:t>
      </w:r>
      <w:r>
        <w:rPr>
          <w:rFonts w:ascii="Times New Roman" w:hAnsi="Times New Roman" w:cs="Times New Roman"/>
          <w:b/>
          <w:sz w:val="24"/>
          <w:szCs w:val="24"/>
        </w:rPr>
        <w:t>survivors</w:t>
      </w:r>
      <w:r w:rsidRPr="00B01F25">
        <w:rPr>
          <w:rFonts w:ascii="Times New Roman" w:hAnsi="Times New Roman" w:cs="Times New Roman"/>
          <w:b/>
          <w:sz w:val="24"/>
          <w:szCs w:val="24"/>
        </w:rPr>
        <w:t>.</w:t>
      </w:r>
    </w:p>
    <w:p w:rsidR="005F4276" w:rsidRPr="006E0899" w:rsidRDefault="005F4276" w:rsidP="005F427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676"/>
        <w:gridCol w:w="1345"/>
        <w:gridCol w:w="972"/>
        <w:gridCol w:w="407"/>
        <w:gridCol w:w="1224"/>
        <w:gridCol w:w="881"/>
        <w:gridCol w:w="503"/>
        <w:gridCol w:w="1305"/>
        <w:gridCol w:w="152"/>
        <w:gridCol w:w="1092"/>
        <w:gridCol w:w="531"/>
        <w:gridCol w:w="1305"/>
        <w:gridCol w:w="479"/>
        <w:gridCol w:w="825"/>
        <w:gridCol w:w="225"/>
        <w:gridCol w:w="1305"/>
        <w:gridCol w:w="1263"/>
      </w:tblGrid>
      <w:tr w:rsidR="005F4276" w:rsidRPr="006E0899" w:rsidTr="00066A93">
        <w:trPr>
          <w:trHeight w:val="270"/>
        </w:trPr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D3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D6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D7</w:t>
            </w: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cytokines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276" w:rsidRPr="006E0899" w:rsidRDefault="005F4276" w:rsidP="00066A93">
            <w:pPr>
              <w:widowControl/>
              <w:ind w:firstLineChars="100" w:firstLine="18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6E089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cytokines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276" w:rsidRPr="006E0899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6E089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cytokines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276" w:rsidRPr="006E0899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6E089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cytokines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276" w:rsidRPr="006E0899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6E089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cytokines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4276" w:rsidRPr="006E0899" w:rsidRDefault="005F4276" w:rsidP="00066A9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</w:rPr>
              <w:t>p</w:t>
            </w:r>
            <w:r w:rsidRPr="006E089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</w:t>
            </w: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value</w:t>
            </w: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IL-1β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18.31±9.16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0.8371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10.44±4.912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0.9406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1.968±0.2244</w:t>
            </w:r>
          </w:p>
        </w:tc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0.7193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1.663±0.2593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0.5119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1.382±0.1342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0.2249</w:t>
            </w: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15.22±5.745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10.99±5.25</w:t>
            </w: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1.82±0.3648</w:t>
            </w:r>
          </w:p>
        </w:tc>
        <w:tc>
          <w:tcPr>
            <w:tcW w:w="12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1.735±0.2513</w:t>
            </w: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1.667±0.1842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IL-18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1381±664.3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0.9857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3709±2836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0.3753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3071±2036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0.8034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727.9±289.7</w:t>
            </w:r>
          </w:p>
        </w:tc>
        <w:tc>
          <w:tcPr>
            <w:tcW w:w="13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0.426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1827±1327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0.5904</w:t>
            </w: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1402±714.8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1097±352.6</w:t>
            </w: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2289±1811</w:t>
            </w:r>
          </w:p>
        </w:tc>
        <w:tc>
          <w:tcPr>
            <w:tcW w:w="12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685.3±203.2</w:t>
            </w: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860.6±315.8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TNF-a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8.411±4.464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ind w:firstLineChars="50" w:firstLine="9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0.4884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12.03±10.12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1.431±0.1395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0.0979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1.294±0.16</w:t>
            </w:r>
          </w:p>
        </w:tc>
        <w:tc>
          <w:tcPr>
            <w:tcW w:w="13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0.3343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1.425±0.3686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0.4841</w:t>
            </w:r>
          </w:p>
        </w:tc>
      </w:tr>
      <w:tr w:rsidR="005F4276" w:rsidRPr="006E0899" w:rsidTr="00066A93">
        <w:trPr>
          <w:trHeight w:val="196"/>
        </w:trPr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3.427±0.9242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4.997±2.874</w:t>
            </w: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1.082±0.06804</w:t>
            </w:r>
          </w:p>
        </w:tc>
        <w:tc>
          <w:tcPr>
            <w:tcW w:w="12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1.012±0.04238</w:t>
            </w: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1.077±0.05812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MCP-1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3674±818.5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0.099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1533±311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753.8±152.6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0.1978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1020±245.4</w:t>
            </w:r>
          </w:p>
        </w:tc>
        <w:tc>
          <w:tcPr>
            <w:tcW w:w="13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0.3254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1117±331.8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0.6469</w:t>
            </w:r>
          </w:p>
        </w:tc>
      </w:tr>
      <w:tr w:rsidR="005F4276" w:rsidRPr="006E0899" w:rsidTr="00066A93">
        <w:trPr>
          <w:trHeight w:val="93"/>
        </w:trPr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7980±3447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2576±436</w:t>
            </w: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1055±107.4</w:t>
            </w:r>
          </w:p>
        </w:tc>
        <w:tc>
          <w:tcPr>
            <w:tcW w:w="12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1000±119.1</w:t>
            </w: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1328±158.1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IFN-r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50.93±34.38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0.121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56.57±29.33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0.7028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3.53±0.965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0.779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5.421±2.958</w:t>
            </w:r>
          </w:p>
        </w:tc>
        <w:tc>
          <w:tcPr>
            <w:tcW w:w="13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4.524±1.942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0.6865</w:t>
            </w: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1253±1197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81.23±54.99</w:t>
            </w: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3.957±0.9566</w:t>
            </w:r>
          </w:p>
        </w:tc>
        <w:tc>
          <w:tcPr>
            <w:tcW w:w="12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4.2±2.094</w:t>
            </w: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5.868±2.702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5129±2790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0.0564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200.9±36.81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0.3602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159.3±46.11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0.3431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199.5±50.49</w:t>
            </w:r>
          </w:p>
        </w:tc>
        <w:tc>
          <w:tcPr>
            <w:tcW w:w="13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0.9278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148.1±65.37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0.1183</w:t>
            </w: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21531±11040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1637±1426</w:t>
            </w: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248.7±89.87</w:t>
            </w:r>
          </w:p>
        </w:tc>
        <w:tc>
          <w:tcPr>
            <w:tcW w:w="12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177.9±44.26</w:t>
            </w: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432.7±195.9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IL-12p70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15.08±9.783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0.6974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13.86±7.495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0.8226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1.422±0.1599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0.468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1.538±0.1949</w:t>
            </w:r>
          </w:p>
        </w:tc>
        <w:tc>
          <w:tcPr>
            <w:tcW w:w="13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0.5423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1.383±0.1537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0.9989</w:t>
            </w: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8.903±4.439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11.58±6.596</w:t>
            </w: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1.252±0.08754</w:t>
            </w:r>
          </w:p>
        </w:tc>
        <w:tc>
          <w:tcPr>
            <w:tcW w:w="12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1.255±0.0754</w:t>
            </w: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1.383±0.1501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338.7±73.36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93.6±16.64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69.44±18.61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0.0552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97.49±21.79</w:t>
            </w:r>
          </w:p>
        </w:tc>
        <w:tc>
          <w:tcPr>
            <w:tcW w:w="13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0.0678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101.6±23.69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0.052</w:t>
            </w: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3981±3445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164.1±49.51</w:t>
            </w:r>
          </w:p>
        </w:tc>
        <w:tc>
          <w:tcPr>
            <w:tcW w:w="88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146.5±37.44</w:t>
            </w:r>
          </w:p>
        </w:tc>
        <w:tc>
          <w:tcPr>
            <w:tcW w:w="12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121.8±6.962</w:t>
            </w: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183±29.73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58.12±13.98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0.0203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22.68±5.896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0.2943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16.19±8.269</w:t>
            </w:r>
          </w:p>
        </w:tc>
        <w:tc>
          <w:tcPr>
            <w:tcW w:w="12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0.7761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14.99±6.425</w:t>
            </w:r>
          </w:p>
        </w:tc>
        <w:tc>
          <w:tcPr>
            <w:tcW w:w="13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0.426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13.78±5.232</w:t>
            </w:r>
          </w:p>
        </w:tc>
        <w:tc>
          <w:tcPr>
            <w:tcW w:w="1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0.3942</w:t>
            </w:r>
          </w:p>
        </w:tc>
      </w:tr>
      <w:tr w:rsidR="005F4276" w:rsidRPr="006E0899" w:rsidTr="00066A93">
        <w:trPr>
          <w:trHeight w:val="270"/>
        </w:trPr>
        <w:tc>
          <w:tcPr>
            <w:tcW w:w="9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486.6±273.7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48.57±21.31</w:t>
            </w:r>
          </w:p>
        </w:tc>
        <w:tc>
          <w:tcPr>
            <w:tcW w:w="88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19.86±7.822</w:t>
            </w:r>
          </w:p>
        </w:tc>
        <w:tc>
          <w:tcPr>
            <w:tcW w:w="12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23.84±9.421</w:t>
            </w:r>
          </w:p>
        </w:tc>
        <w:tc>
          <w:tcPr>
            <w:tcW w:w="13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6E0899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25.13±14.49</w:t>
            </w:r>
          </w:p>
        </w:tc>
        <w:tc>
          <w:tcPr>
            <w:tcW w:w="12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6E0899" w:rsidRDefault="005F4276" w:rsidP="00066A93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5F4276" w:rsidRDefault="005F4276" w:rsidP="005F4276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5F4276" w:rsidRDefault="005F4276" w:rsidP="005F427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0E6677"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Variables are described as mean</w:t>
      </w:r>
      <w:r w:rsidRPr="000E6677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±SEM. </w:t>
      </w:r>
    </w:p>
    <w:p w:rsidR="005F4276" w:rsidRPr="000E6677" w:rsidRDefault="005F4276" w:rsidP="005F427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S, survivors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 xml:space="preserve">; NS, non-survivors; </w:t>
      </w:r>
      <w:r w:rsidRPr="000E6677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SEM, Standard Error of Mean.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0E6677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D1, day 1 after the onset of sepsis; D3, day 3 after the onset of sepsis……</w:t>
      </w:r>
    </w:p>
    <w:p w:rsidR="005F4276" w:rsidRDefault="005F4276" w:rsidP="005F427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The n value of </w:t>
      </w:r>
      <w:r w:rsidRPr="006E089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survivors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on D1, D3, D5, D6 and D7 was </w:t>
      </w:r>
      <w:r w:rsidRPr="006E089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17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, </w:t>
      </w:r>
      <w:r w:rsidRPr="006E089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16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, </w:t>
      </w:r>
      <w:r w:rsidRPr="006E089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12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, </w:t>
      </w:r>
      <w:r w:rsidRPr="006E089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11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and </w:t>
      </w:r>
      <w:r w:rsidRPr="006E089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10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respectively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;</w:t>
      </w:r>
    </w:p>
    <w:p w:rsidR="005F4276" w:rsidRDefault="005F4276" w:rsidP="005F4276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6E089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The n value of non-survivors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on D1, D3, D5, D6 and D7 was </w:t>
      </w:r>
      <w:r w:rsidRPr="006E089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7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, </w:t>
      </w:r>
      <w:r w:rsidRPr="006E089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6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, </w:t>
      </w:r>
      <w:r w:rsidRPr="006E089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5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, </w:t>
      </w:r>
      <w:r w:rsidRPr="006E089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7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and </w:t>
      </w:r>
      <w:r w:rsidRPr="006E0899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6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respectively.</w:t>
      </w:r>
    </w:p>
    <w:p w:rsidR="005F4276" w:rsidRDefault="005F4276" w:rsidP="005F4276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Bold values for p&lt;0.05</w:t>
      </w:r>
    </w:p>
    <w:p w:rsidR="005F4276" w:rsidRDefault="005F4276" w:rsidP="006E01DF">
      <w:pPr>
        <w:rPr>
          <w:rFonts w:ascii="Times New Roman" w:hAnsi="Times New Roman" w:cs="Times New Roman"/>
          <w:sz w:val="18"/>
          <w:szCs w:val="21"/>
        </w:rPr>
        <w:sectPr w:rsidR="005F4276" w:rsidSect="006043C3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5F4276" w:rsidRDefault="005F4276" w:rsidP="005F4276">
      <w:pPr>
        <w:rPr>
          <w:rFonts w:ascii="Times New Roman" w:hAnsi="Times New Roman" w:cs="Times New Roman"/>
          <w:b/>
          <w:sz w:val="24"/>
          <w:szCs w:val="24"/>
        </w:rPr>
      </w:pPr>
      <w:r w:rsidRPr="00B01F25">
        <w:rPr>
          <w:rFonts w:ascii="Times New Roman" w:hAnsi="Times New Roman" w:cs="Times New Roman"/>
          <w:b/>
          <w:sz w:val="24"/>
          <w:szCs w:val="24"/>
        </w:rPr>
        <w:lastRenderedPageBreak/>
        <w:t>Supplementary</w:t>
      </w:r>
      <w:r>
        <w:rPr>
          <w:rFonts w:ascii="Times New Roman" w:hAnsi="Times New Roman" w:cs="Times New Roman"/>
          <w:b/>
          <w:sz w:val="24"/>
          <w:szCs w:val="24"/>
        </w:rPr>
        <w:t xml:space="preserve"> Table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C7D65">
        <w:rPr>
          <w:rFonts w:ascii="Times New Roman" w:hAnsi="Times New Roman" w:cs="Times New Roman"/>
          <w:b/>
          <w:sz w:val="24"/>
          <w:szCs w:val="24"/>
        </w:rPr>
        <w:t xml:space="preserve">. Demographics and clinical characteristics of </w:t>
      </w:r>
      <w:r>
        <w:rPr>
          <w:rFonts w:ascii="Times New Roman" w:hAnsi="Times New Roman" w:cs="Times New Roman"/>
          <w:b/>
          <w:sz w:val="24"/>
          <w:szCs w:val="24"/>
        </w:rPr>
        <w:t xml:space="preserve">the 18 </w:t>
      </w:r>
      <w:r w:rsidRPr="004C7D65">
        <w:rPr>
          <w:rFonts w:ascii="Times New Roman" w:hAnsi="Times New Roman" w:cs="Times New Roman"/>
          <w:b/>
          <w:sz w:val="24"/>
          <w:szCs w:val="24"/>
        </w:rPr>
        <w:t>patients</w:t>
      </w:r>
    </w:p>
    <w:p w:rsidR="005F4276" w:rsidRPr="00064719" w:rsidRDefault="005F4276" w:rsidP="005F4276">
      <w:pPr>
        <w:widowControl/>
        <w:spacing w:line="120" w:lineRule="exact"/>
        <w:jc w:val="left"/>
        <w:rPr>
          <w:rFonts w:ascii="Times New Roman" w:eastAsia="宋体" w:hAnsi="Times New Roman" w:cs="Times New Roman"/>
          <w:color w:val="000000"/>
          <w:kern w:val="0"/>
          <w:sz w:val="11"/>
          <w:szCs w:val="18"/>
        </w:rPr>
      </w:pPr>
    </w:p>
    <w:tbl>
      <w:tblPr>
        <w:tblW w:w="9641" w:type="dxa"/>
        <w:tblInd w:w="426" w:type="dxa"/>
        <w:tblLook w:val="04A0" w:firstRow="1" w:lastRow="0" w:firstColumn="1" w:lastColumn="0" w:noHBand="0" w:noVBand="1"/>
      </w:tblPr>
      <w:tblGrid>
        <w:gridCol w:w="1701"/>
        <w:gridCol w:w="1985"/>
        <w:gridCol w:w="1985"/>
        <w:gridCol w:w="1985"/>
        <w:gridCol w:w="1985"/>
      </w:tblGrid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Variables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All patients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n=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D6 ASC-Speck high 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n=1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D6 ASC-Speck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low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n=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themeColor="background1" w:fill="auto"/>
            <w:noWrap/>
            <w:vAlign w:val="bottom"/>
            <w:hideMark/>
          </w:tcPr>
          <w:p w:rsidR="005F4276" w:rsidRPr="00C1261E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C1261E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p value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Demographics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Age(years)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67.50(59.25-77.00)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64.00(56.00-76.50)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71.00(61.50-82.00)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0.260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Weight(kg)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75.00(65.00-80.25)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75.00(71.00-78.50)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65.00(61.50-81.00)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0.664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Height(cm)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165.50(162.25-179.50)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168.00(162.50-179.00)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165.00(162.50-175.50)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0.892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Gender(male)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9(50.00%)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5(45.45%)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4(57.14%)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Site of infection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Lung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3(16.67%)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3(27.27%)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0(0%)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0.245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Abdomen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13(72.22%)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8(72.73%)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5(71.43%)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Genitourinary tract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1(5.56%)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0(0%)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1(14.29%)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0.389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Catheter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1(5.56%)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0(0%)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1(14.29%)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0.389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Mediastinum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2(11.11%)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2(18.18%)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0(0%)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0.497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Combined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2(11.11%)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2(18.18%)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0(0%)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0.497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Culture positive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17(94.44%)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10(90.91%)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7(100%)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Organism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Bacteria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16(88.89%)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9(81.82%)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7(100%)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0.497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  Gram-negative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10(55.56%)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4(36.36%)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6(85.71%)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0.066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  Gram-positive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11(61.11%)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7(63.64%)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4(57.14%)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Fungal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5(27.78%)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4(36.36%)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1(14.29%)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0.596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Viral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0(0%)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0(0%)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0(0%)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Mixed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8(44.44%)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4(36.36%)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4(57.14%)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0.631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Septic shock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15(83.33%)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10(90.91%)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5(71.43%)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0.528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-day mortality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1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56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0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1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14.29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0.389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28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-day mortality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3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67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1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09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2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28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57</w:t>
            </w: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0.528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90-day mortality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6(33.33%)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1(9.09%)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5(71.42%)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  <w:t>0.013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Clinical parameters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PCT(ng/ml)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D1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or 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D2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7.44(2.63-39.72)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8.65(3.36-32.55)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3.50(1.72-55.85)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0.786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 xml:space="preserve">/L) D1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15.93(8.77-24.40)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16.90(9.13-31.58)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14.96(9.12-18.81)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0.235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 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>/L) D2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12.40(9.42-30.10)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14.13(10.38-32.11)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9.75(9.07-19.08)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0.319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 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>/L) D3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11.65(9.69-25.48)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13.30(9.46-22.00)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11.62(10.37-20.41)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0.928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 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>/L) D4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11.48(9.93-18.36)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11.15(10.36-17.52)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11.80(9.09-17.09)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0.651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 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>/L) D5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12.14(10.32-21.22)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12.21(10.62-24.57)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10.50(8.68-17.59)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0.277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 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>/L) D6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14.58(11.21-20.88)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16.44(13.4-28.78)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12.59(8.29-17.35)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0.124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WBC (10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  <w:vertAlign w:val="superscript"/>
              </w:rPr>
              <w:t>9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20"/>
              </w:rPr>
              <w:t>/L) D7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14.04(11.09-19.84)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15.81(13.40-23.68)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11.04(7.83-12.81)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0.088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167.55(93.50-256.48)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179.30(147.75-287.00)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98.90(77.30-206.60)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0.151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219.10(162.78-274.85)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219.60(218.75-321.75)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159.40(102.25-210.90)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  <w:t>0.031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190.15(143.73-259.80)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202.10(176.15-267.25)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153.40(137.85-174.05)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0.174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150.45(107.10-186.18)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156.00(110.10-196.15)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148.30(104.90-154.15)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0.709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107.10(74.25-145.38)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109.90(79.75-142.05)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104.30(77.30-134.85)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0.790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82.80(54.28-116.08)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100.80(54.85-125.20)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64.80(55.35-110.40)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0.435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CRP(mg/l)D7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99.05(53.25-126.95)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126.20(61.65-157.60)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74.40(55.90-103.10)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0.120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284.00(235.25-466.00)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460.00(260.00-670.50)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244.00(219.00-292.00)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b/>
                <w:color w:val="000000"/>
                <w:kern w:val="0"/>
                <w:sz w:val="11"/>
                <w:szCs w:val="18"/>
              </w:rPr>
              <w:t>0.026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291.50(216.50-453.75)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327.00(208.00-420.00)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256.00(235.50-472.50)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0.651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260.50(215.25-416.25)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277.00(221.50-384.50)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244.00(215.00-399.50)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1.000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253.50(214.75-355.50)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325.00(217.50-347.00)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253.00(211.50-315.50)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0.786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314.50(238.50-361.75)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337.00(256.50-380.00)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246.00(209.50-349.50)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0.383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331.00(249.50-388.75)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385.00(286.50-425.50)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263.00(210.00-354.50)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0.116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LDH(U/l)D7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310.00(269.75-361.00)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324.00(303.50-392.50)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284.00(235.00-301.50)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0.105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19.55(12.93-47.80)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19.20(12.45-48.65)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20.80(18.30-38.25)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0.684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16.40(10.30-33.10)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11.45(9.60-29.98)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19.60(15.35-27.75)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0.270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15.00(9.45-18.10)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10.50(8.65-19.45)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15.60(12.95-17.25)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0.925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12.00(10.40-18.28)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11.60(10.15-15.75)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15.10(10.85-18.05)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0.446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10.55(9.23-16.48)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10.40(9.25-14.50)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10.80(9.10-16.55)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0.442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10.95(9.25-14.73)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10.70(8.75-13.40)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12.20(9.90-15.30)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0.663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Lactate(mg/dl)D7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10.60(8.70-14.58)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11.50(9.05-14.65)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9.70(8.35-13.20)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0.954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Scoring models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SOFA(D1)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13.50(10.25-14.00)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14.00(11.50-14.00)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11.00(8.50-14.50)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0.517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11.00(9.00-15.75)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10.00(9.00-14.50)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12.00(9.00-16.50)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0.663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10.50(8.00-15.50)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10.00(8.00-14.00)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11.00(8.50-16.50)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0.673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9.00(7.25-13.00)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9.00(8.00-12.50)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9.00(6.50-15.00)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0.901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8.00(6.00-11.50)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8.00(7.00-10.00)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7.00(5.00-14.50)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0.899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9.00(6.25-10.75)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9.00(7.50-10.00)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6.00(4.00-13.50)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0.971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SOFA(D7)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8.00(4.25-9.50)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8.00(6.50-8.00)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4.00(2.50-14.50)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0.892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70.00(52.00-78.75)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70.00(58.50-79.50)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65.00(48.50-77.50)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0.569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69.50(48.50-76.50)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64.00(48.00-78.50)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75.00(60.00-76.00)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0.483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62.00(48.25-69.25)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60.00(47.00-66.50)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67.00(49.50-75.00)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0.494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58.00(43.25-71.75)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56.00(50.00-71.50)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60.00(41.00-77.50)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0.847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49.50(39.25-66.00)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51.00(40.50-61.50)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48.00(35.00-79.50)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0.486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48.50(35.75-64.00)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49.00(44.50-60.50)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38.00(32.00-78.50)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0.797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SAPS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47.50(38.25-65.50)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48.00(44.00-65.00)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38.00(29.50-75.50)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0.965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(D1)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30.50(24.75-35.25)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31.00(25.50-32.50)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30.00(26.00-36.00)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0.916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31.50(25.75-34.00)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33.00(26.50-34.00)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31.00(24.00-34.00)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0.560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30.00(20.00-35.50)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31.00(24.50-35.00)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24.00(19.00-32.00)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0.452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(D4)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26.00(21.25-30.75)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26.00(22.50-31.00)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26.00(17.50-29.50)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0.340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25.50(19.25-28.75)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25.00(19.50-28.00)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26.00(18.50-30.00)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0.845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22.00(21.00-29.00)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22.00(21.00-29.00)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22.00(14.00-29.00)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0.525</w:t>
            </w:r>
          </w:p>
        </w:tc>
      </w:tr>
      <w:tr w:rsidR="005F4276" w:rsidRPr="003266FE" w:rsidTr="00066A93">
        <w:trPr>
          <w:trHeight w:hRule="exact" w:val="17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4276" w:rsidRPr="00064719" w:rsidRDefault="005F4276" w:rsidP="00066A93">
            <w:pPr>
              <w:widowControl/>
              <w:spacing w:line="12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 xml:space="preserve">  APACHE</w:t>
            </w:r>
            <w:r w:rsidRPr="00064719">
              <w:rPr>
                <w:rFonts w:ascii="Times New Roman" w:eastAsia="宋体" w:hAnsi="Times New Roman" w:cs="Times New Roman" w:hint="eastAsia"/>
                <w:color w:val="000000"/>
                <w:kern w:val="0"/>
                <w:sz w:val="11"/>
                <w:szCs w:val="18"/>
              </w:rPr>
              <w:t>Ⅱ</w:t>
            </w:r>
            <w:r w:rsidRPr="00064719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(D7)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23.50(18.25-30.75)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24.00(19.50-29.50)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23.00(14.50-30.50)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themeColor="background1" w:fill="auto"/>
            <w:noWrap/>
            <w:hideMark/>
          </w:tcPr>
          <w:p w:rsidR="005F4276" w:rsidRPr="006E28D0" w:rsidRDefault="005F4276" w:rsidP="00066A93">
            <w:pPr>
              <w:widowControl/>
              <w:spacing w:line="12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</w:pPr>
            <w:r w:rsidRPr="006E28D0">
              <w:rPr>
                <w:rFonts w:ascii="Times New Roman" w:eastAsia="宋体" w:hAnsi="Times New Roman" w:cs="Times New Roman"/>
                <w:color w:val="000000"/>
                <w:kern w:val="0"/>
                <w:sz w:val="11"/>
                <w:szCs w:val="18"/>
              </w:rPr>
              <w:t>0.581</w:t>
            </w:r>
          </w:p>
        </w:tc>
      </w:tr>
    </w:tbl>
    <w:p w:rsidR="005F4276" w:rsidRDefault="005F4276" w:rsidP="005F4276">
      <w:pPr>
        <w:rPr>
          <w:rFonts w:cs="Times New Roman"/>
          <w:color w:val="000000" w:themeColor="text1"/>
          <w:sz w:val="20"/>
          <w:szCs w:val="20"/>
        </w:rPr>
      </w:pPr>
    </w:p>
    <w:p w:rsidR="005F4276" w:rsidRPr="0003392C" w:rsidRDefault="005F4276" w:rsidP="005F4276">
      <w:pPr>
        <w:rPr>
          <w:rFonts w:ascii="Times New Roman" w:hAnsi="Times New Roman" w:cs="Times New Roman"/>
          <w:sz w:val="18"/>
          <w:szCs w:val="21"/>
        </w:rPr>
      </w:pPr>
      <w:r w:rsidRPr="0003392C">
        <w:rPr>
          <w:rFonts w:ascii="Times New Roman" w:hAnsi="Times New Roman" w:cs="Times New Roman"/>
          <w:sz w:val="18"/>
          <w:szCs w:val="21"/>
        </w:rPr>
        <w:t>Variables were shown as frequencies (percentages) for categorical data and medians (interquartile ranges) for continuous data.</w:t>
      </w:r>
    </w:p>
    <w:p w:rsidR="005F4276" w:rsidRPr="0003392C" w:rsidRDefault="005F4276" w:rsidP="005F4276">
      <w:pPr>
        <w:rPr>
          <w:rFonts w:ascii="Times New Roman" w:hAnsi="Times New Roman" w:cs="Times New Roman"/>
          <w:sz w:val="18"/>
          <w:szCs w:val="21"/>
        </w:rPr>
      </w:pPr>
      <w:r w:rsidRPr="0003392C">
        <w:rPr>
          <w:rFonts w:ascii="Times New Roman" w:hAnsi="Times New Roman" w:cs="Times New Roman"/>
          <w:sz w:val="18"/>
          <w:szCs w:val="21"/>
        </w:rPr>
        <w:t>D1 mean the first day after onset of spesis,</w:t>
      </w:r>
      <w:r>
        <w:rPr>
          <w:rFonts w:ascii="Times New Roman" w:hAnsi="Times New Roman" w:cs="Times New Roman"/>
          <w:sz w:val="18"/>
          <w:szCs w:val="21"/>
        </w:rPr>
        <w:t xml:space="preserve"> </w:t>
      </w:r>
      <w:r w:rsidRPr="0003392C">
        <w:rPr>
          <w:rFonts w:ascii="Times New Roman" w:hAnsi="Times New Roman" w:cs="Times New Roman"/>
          <w:sz w:val="18"/>
          <w:szCs w:val="21"/>
        </w:rPr>
        <w:t>D2 means</w:t>
      </w:r>
      <w:r>
        <w:rPr>
          <w:rFonts w:ascii="Times New Roman" w:hAnsi="Times New Roman" w:cs="Times New Roman"/>
          <w:sz w:val="18"/>
          <w:szCs w:val="21"/>
        </w:rPr>
        <w:t xml:space="preserve"> </w:t>
      </w:r>
      <w:r w:rsidRPr="0003392C">
        <w:rPr>
          <w:rFonts w:ascii="Times New Roman" w:hAnsi="Times New Roman" w:cs="Times New Roman"/>
          <w:sz w:val="18"/>
          <w:szCs w:val="21"/>
        </w:rPr>
        <w:t xml:space="preserve">the </w:t>
      </w:r>
      <w:r>
        <w:rPr>
          <w:rFonts w:ascii="Times New Roman" w:hAnsi="Times New Roman" w:cs="Times New Roman" w:hint="eastAsia"/>
          <w:sz w:val="18"/>
          <w:szCs w:val="21"/>
        </w:rPr>
        <w:t>second</w:t>
      </w:r>
      <w:r w:rsidRPr="0003392C">
        <w:rPr>
          <w:rFonts w:ascii="Times New Roman" w:hAnsi="Times New Roman" w:cs="Times New Roman"/>
          <w:sz w:val="18"/>
          <w:szCs w:val="21"/>
        </w:rPr>
        <w:t xml:space="preserve"> day after onset of </w:t>
      </w:r>
      <w:r>
        <w:rPr>
          <w:rFonts w:ascii="Times New Roman" w:hAnsi="Times New Roman" w:cs="Times New Roman"/>
          <w:sz w:val="18"/>
          <w:szCs w:val="21"/>
        </w:rPr>
        <w:t>sepsis……</w:t>
      </w:r>
    </w:p>
    <w:p w:rsidR="005F4276" w:rsidRPr="001D7BCE" w:rsidRDefault="005F4276" w:rsidP="005F4276">
      <w:pPr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Bold values for p&lt;0.05</w:t>
      </w:r>
    </w:p>
    <w:p w:rsidR="005F4276" w:rsidRDefault="005F4276" w:rsidP="006E01DF">
      <w:pPr>
        <w:rPr>
          <w:rFonts w:ascii="Times New Roman" w:hAnsi="Times New Roman" w:cs="Times New Roman"/>
          <w:sz w:val="18"/>
          <w:szCs w:val="21"/>
        </w:rPr>
        <w:sectPr w:rsidR="005F4276" w:rsidSect="007A6748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5F4276" w:rsidRDefault="005F4276" w:rsidP="005F4276">
      <w:pPr>
        <w:rPr>
          <w:rFonts w:ascii="Times New Roman" w:hAnsi="Times New Roman" w:cs="Times New Roman"/>
          <w:b/>
          <w:sz w:val="24"/>
          <w:szCs w:val="24"/>
        </w:rPr>
      </w:pPr>
      <w:r w:rsidRPr="00B01F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B01F25">
        <w:rPr>
          <w:rFonts w:ascii="Times New Roman" w:hAnsi="Times New Roman" w:cs="Times New Roman"/>
          <w:b/>
          <w:sz w:val="24"/>
          <w:szCs w:val="24"/>
        </w:rPr>
        <w:t xml:space="preserve">able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01F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ROC curve analysis established the best cutoff values for different parameters to predict 90</w:t>
      </w:r>
      <w:r w:rsidRPr="00BA324E">
        <w:rPr>
          <w:rFonts w:ascii="Times New Roman" w:hAnsi="Times New Roman" w:cs="Times New Roman"/>
          <w:b/>
          <w:sz w:val="24"/>
          <w:szCs w:val="24"/>
        </w:rPr>
        <w:t>-day mortality</w:t>
      </w:r>
      <w:r w:rsidRPr="00B01F25">
        <w:rPr>
          <w:rFonts w:ascii="Times New Roman" w:hAnsi="Times New Roman" w:cs="Times New Roman"/>
          <w:b/>
          <w:sz w:val="24"/>
          <w:szCs w:val="24"/>
        </w:rPr>
        <w:t>.</w:t>
      </w:r>
    </w:p>
    <w:p w:rsidR="005F4276" w:rsidRPr="00B01F25" w:rsidRDefault="005F4276" w:rsidP="005F4276">
      <w:pPr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21"/>
        <w:gridCol w:w="1683"/>
        <w:gridCol w:w="1567"/>
        <w:gridCol w:w="1574"/>
        <w:gridCol w:w="1207"/>
        <w:gridCol w:w="1391"/>
        <w:gridCol w:w="1023"/>
      </w:tblGrid>
      <w:tr w:rsidR="005F4276" w:rsidRPr="000E6677" w:rsidTr="00066A93">
        <w:trPr>
          <w:trHeight w:val="315"/>
        </w:trPr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Cutoff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Sensitivity%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Specificity%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AU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RO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95% CI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 value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mASC(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absolute number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1650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/ml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83.33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83.33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0.875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0.699-1.05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AD3DBF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AD3DBF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8"/>
              </w:rPr>
              <w:t>0.011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mASC(%)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0.1994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%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66.67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83.33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0.778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0.552-1.003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hyperlink r:id="rId7" w:anchor="RANGE!A1" w:history="1">
              <w:r w:rsidRPr="000E6677">
                <w:rPr>
                  <w:rFonts w:ascii="Times New Roman" w:eastAsia="宋体" w:hAnsi="Times New Roman" w:cs="Times New Roman"/>
                  <w:color w:val="000000"/>
                  <w:kern w:val="0"/>
                  <w:sz w:val="18"/>
                  <w:szCs w:val="18"/>
                </w:rPr>
                <w:t>SOFA</w:t>
              </w:r>
            </w:hyperlink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6.500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16.67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0.507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0.185-0.829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0.963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hyperlink r:id="rId8" w:anchor="RANGE!A1" w:history="1">
              <w:r w:rsidRPr="000E6677">
                <w:rPr>
                  <w:rFonts w:ascii="Times New Roman" w:eastAsia="宋体" w:hAnsi="Times New Roman" w:cs="Times New Roman"/>
                  <w:color w:val="000000"/>
                  <w:kern w:val="0"/>
                  <w:sz w:val="18"/>
                  <w:szCs w:val="18"/>
                </w:rPr>
                <w:t>SAPS</w:t>
              </w:r>
              <w:r w:rsidRPr="000E6677">
                <w:rPr>
                  <w:rFonts w:ascii="Times New Roman" w:eastAsia="宋体" w:hAnsi="Times New Roman" w:cs="Times New Roman" w:hint="eastAsia"/>
                  <w:color w:val="000000"/>
                  <w:kern w:val="0"/>
                  <w:sz w:val="18"/>
                  <w:szCs w:val="18"/>
                </w:rPr>
                <w:t>Ⅱ</w:t>
              </w:r>
            </w:hyperlink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70.50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66.67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0.256-0.855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0.708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hyperlink r:id="rId9" w:anchor="RANGE!A1" w:history="1">
              <w:r w:rsidRPr="000E6677">
                <w:rPr>
                  <w:rFonts w:ascii="Times New Roman" w:eastAsia="宋体" w:hAnsi="Times New Roman" w:cs="Times New Roman"/>
                  <w:color w:val="000000"/>
                  <w:kern w:val="0"/>
                  <w:sz w:val="18"/>
                  <w:szCs w:val="18"/>
                </w:rPr>
                <w:t>APACHE</w:t>
              </w:r>
              <w:r w:rsidRPr="000E6677">
                <w:rPr>
                  <w:rFonts w:ascii="Times New Roman" w:eastAsia="宋体" w:hAnsi="Times New Roman" w:cs="Times New Roman" w:hint="eastAsia"/>
                  <w:color w:val="000000"/>
                  <w:kern w:val="0"/>
                  <w:sz w:val="18"/>
                  <w:szCs w:val="18"/>
                </w:rPr>
                <w:t>Ⅱ</w:t>
              </w:r>
            </w:hyperlink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34.50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83.33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0.569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0.263-0.876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0.640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hyperlink r:id="rId10" w:anchor="RANGE!A1" w:history="1">
              <w:r w:rsidRPr="000E6677">
                <w:rPr>
                  <w:rFonts w:ascii="Times New Roman" w:eastAsia="宋体" w:hAnsi="Times New Roman" w:cs="Times New Roman"/>
                  <w:color w:val="000000"/>
                  <w:kern w:val="0"/>
                  <w:sz w:val="18"/>
                  <w:szCs w:val="18"/>
                </w:rPr>
                <w:t>Weight</w:t>
              </w:r>
            </w:hyperlink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66.00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kg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66.67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83.33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0.674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0.355-0.993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0.242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hyperlink r:id="rId11" w:anchor="RANGE!A1" w:history="1">
              <w:r w:rsidRPr="000E6677">
                <w:rPr>
                  <w:rFonts w:ascii="Times New Roman" w:eastAsia="宋体" w:hAnsi="Times New Roman" w:cs="Times New Roman"/>
                  <w:color w:val="000000"/>
                  <w:kern w:val="0"/>
                  <w:sz w:val="18"/>
                  <w:szCs w:val="18"/>
                </w:rPr>
                <w:t>Age</w:t>
              </w:r>
            </w:hyperlink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78.00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（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years</w:t>
            </w: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91.67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0.632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0.344-0.92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0.374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hyperlink r:id="rId12" w:anchor="RANGE!A1" w:history="1">
              <w:r w:rsidRPr="000E6677">
                <w:rPr>
                  <w:rFonts w:ascii="Times New Roman" w:eastAsia="宋体" w:hAnsi="Times New Roman" w:cs="Times New Roman"/>
                  <w:color w:val="000000"/>
                  <w:kern w:val="0"/>
                  <w:sz w:val="18"/>
                  <w:szCs w:val="18"/>
                </w:rPr>
                <w:t>IFN-γ</w:t>
              </w:r>
            </w:hyperlink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3.180(pg/ml)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41.67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0.681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0.408-0.954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0.223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hyperlink r:id="rId13" w:anchor="RANGE!A1" w:history="1">
              <w:r w:rsidRPr="000E6677">
                <w:rPr>
                  <w:rFonts w:ascii="Times New Roman" w:eastAsia="宋体" w:hAnsi="Times New Roman" w:cs="Times New Roman"/>
                  <w:color w:val="000000"/>
                  <w:kern w:val="0"/>
                  <w:sz w:val="18"/>
                  <w:szCs w:val="18"/>
                </w:rPr>
                <w:t>IL-10</w:t>
              </w:r>
            </w:hyperlink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222.7(pg/ml)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33.33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0.242-0.869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0.708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hyperlink r:id="rId14" w:anchor="RANGE!A1" w:history="1">
              <w:r w:rsidRPr="000E6677">
                <w:rPr>
                  <w:rFonts w:ascii="Times New Roman" w:eastAsia="宋体" w:hAnsi="Times New Roman" w:cs="Times New Roman"/>
                  <w:color w:val="000000"/>
                  <w:kern w:val="0"/>
                  <w:sz w:val="18"/>
                  <w:szCs w:val="18"/>
                </w:rPr>
                <w:t>IL-12p70</w:t>
              </w:r>
            </w:hyperlink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1.060(pg/ml)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0.556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0.281-0.830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0.708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IL-18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331.2(pg/ml)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83.33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0.611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0.309-0.914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0.454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IL-1β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6.840(pg/ml)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66.67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0.583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0.303-0.864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0.574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IL-6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53952(pg/ml)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33.33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0.583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0.283-0.884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0.574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IL-8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99.80(pg/ml)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25.00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0.583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0.297-0.870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0.574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MCP-1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3179(pg/ml)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66.67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0.542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0.249-0.834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0.779</w:t>
            </w:r>
          </w:p>
        </w:tc>
      </w:tr>
      <w:tr w:rsidR="005F4276" w:rsidRPr="000E6677" w:rsidTr="00066A93">
        <w:trPr>
          <w:trHeight w:val="315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TNFα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1.085(pg/ml)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25.00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0.514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0.243-0.784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4276" w:rsidRPr="000E6677" w:rsidRDefault="005F4276" w:rsidP="00066A9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0E667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0.925</w:t>
            </w:r>
          </w:p>
        </w:tc>
      </w:tr>
    </w:tbl>
    <w:p w:rsidR="005F4276" w:rsidRDefault="005F4276" w:rsidP="005F4276">
      <w:pPr>
        <w:rPr>
          <w:rFonts w:ascii="Times New Roman" w:hAnsi="Times New Roman" w:cs="Times New Roman"/>
          <w:szCs w:val="21"/>
        </w:rPr>
      </w:pPr>
    </w:p>
    <w:p w:rsidR="005F4276" w:rsidRPr="000E6677" w:rsidRDefault="005F4276" w:rsidP="005F4276">
      <w:pPr>
        <w:rPr>
          <w:rFonts w:ascii="Times New Roman" w:hAnsi="Times New Roman" w:cs="Times New Roman"/>
          <w:sz w:val="18"/>
          <w:szCs w:val="18"/>
        </w:rPr>
      </w:pPr>
      <w:r w:rsidRPr="000E6677">
        <w:rPr>
          <w:rFonts w:ascii="Times New Roman" w:hAnsi="Times New Roman" w:cs="Times New Roman"/>
          <w:sz w:val="18"/>
          <w:szCs w:val="18"/>
        </w:rPr>
        <w:t xml:space="preserve">AUC, area under the </w:t>
      </w:r>
      <w:r>
        <w:rPr>
          <w:rFonts w:ascii="Times New Roman" w:hAnsi="Times New Roman" w:cs="Times New Roman"/>
          <w:sz w:val="18"/>
          <w:szCs w:val="18"/>
        </w:rPr>
        <w:t xml:space="preserve">ROC </w:t>
      </w:r>
      <w:r w:rsidRPr="000E6677">
        <w:rPr>
          <w:rFonts w:ascii="Times New Roman" w:hAnsi="Times New Roman" w:cs="Times New Roman"/>
          <w:sz w:val="18"/>
          <w:szCs w:val="18"/>
        </w:rPr>
        <w:t>curve; CI, confidence interval; mASC(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absolute number</w:t>
      </w:r>
      <w:r w:rsidRPr="000E6677">
        <w:rPr>
          <w:rFonts w:ascii="Times New Roman" w:hAnsi="Times New Roman" w:cs="Times New Roman" w:hint="eastAsia"/>
          <w:sz w:val="18"/>
          <w:szCs w:val="18"/>
        </w:rPr>
        <w:t>),</w:t>
      </w:r>
      <w:r w:rsidRPr="000E6677">
        <w:rPr>
          <w:rFonts w:ascii="Times New Roman" w:hAnsi="Times New Roman" w:cs="Times New Roman"/>
          <w:sz w:val="18"/>
          <w:szCs w:val="18"/>
        </w:rPr>
        <w:t xml:space="preserve"> absolute number of ASC-speck+ monocytes; mASC(%</w:t>
      </w:r>
      <w:r w:rsidRPr="000E6677">
        <w:rPr>
          <w:rFonts w:ascii="Times New Roman" w:hAnsi="Times New Roman" w:cs="Times New Roman" w:hint="eastAsia"/>
          <w:sz w:val="18"/>
          <w:szCs w:val="18"/>
        </w:rPr>
        <w:t>)</w:t>
      </w:r>
      <w:r w:rsidRPr="000E6677">
        <w:rPr>
          <w:rFonts w:ascii="Times New Roman" w:hAnsi="Times New Roman" w:cs="Times New Roman"/>
          <w:sz w:val="18"/>
          <w:szCs w:val="18"/>
        </w:rPr>
        <w:t xml:space="preserve">, the percentage of ASC-specks in monocytes. Bold values for </w:t>
      </w:r>
      <w:r w:rsidRPr="002648CA">
        <w:rPr>
          <w:rFonts w:ascii="Times New Roman" w:hAnsi="Times New Roman" w:cs="Times New Roman"/>
          <w:i/>
          <w:sz w:val="18"/>
          <w:szCs w:val="18"/>
        </w:rPr>
        <w:t>p</w:t>
      </w:r>
      <w:r w:rsidRPr="000E6677">
        <w:rPr>
          <w:rFonts w:ascii="Times New Roman" w:hAnsi="Times New Roman" w:cs="Times New Roman"/>
          <w:sz w:val="18"/>
          <w:szCs w:val="18"/>
        </w:rPr>
        <w:t>&lt;0.05.</w:t>
      </w:r>
    </w:p>
    <w:p w:rsidR="005F4276" w:rsidRPr="000E6677" w:rsidRDefault="005F4276" w:rsidP="005F4276">
      <w:pPr>
        <w:rPr>
          <w:rFonts w:ascii="Times New Roman" w:hAnsi="Times New Roman" w:cs="Times New Roman"/>
          <w:sz w:val="18"/>
          <w:szCs w:val="18"/>
        </w:rPr>
      </w:pPr>
      <w:r w:rsidRPr="000E6677">
        <w:rPr>
          <w:rFonts w:ascii="Times New Roman" w:hAnsi="Times New Roman" w:cs="Times New Roman"/>
          <w:sz w:val="18"/>
          <w:szCs w:val="18"/>
        </w:rPr>
        <w:t>*mASC(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absolute number</w:t>
      </w:r>
      <w:r w:rsidRPr="000E6677">
        <w:rPr>
          <w:rFonts w:ascii="Times New Roman" w:hAnsi="Times New Roman" w:cs="Times New Roman"/>
          <w:sz w:val="18"/>
          <w:szCs w:val="18"/>
        </w:rPr>
        <w:t>) and mASC(%) values are from day 6 after onset of sepsis, values of all the other variables are from day 1 after onset of sepsis.</w:t>
      </w:r>
    </w:p>
    <w:p w:rsidR="005F4276" w:rsidRPr="005F4276" w:rsidRDefault="005F4276" w:rsidP="006E01DF">
      <w:pPr>
        <w:rPr>
          <w:rFonts w:ascii="Times New Roman" w:hAnsi="Times New Roman" w:cs="Times New Roman"/>
          <w:sz w:val="18"/>
          <w:szCs w:val="21"/>
        </w:rPr>
      </w:pPr>
      <w:bookmarkStart w:id="0" w:name="_GoBack"/>
      <w:bookmarkEnd w:id="0"/>
    </w:p>
    <w:sectPr w:rsidR="005F4276" w:rsidRPr="005F4276" w:rsidSect="007A67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501" w:rsidRDefault="00F02501" w:rsidP="000173EA">
      <w:r>
        <w:separator/>
      </w:r>
    </w:p>
  </w:endnote>
  <w:endnote w:type="continuationSeparator" w:id="0">
    <w:p w:rsidR="00F02501" w:rsidRDefault="00F02501" w:rsidP="0001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501" w:rsidRDefault="00F02501" w:rsidP="000173EA">
      <w:r>
        <w:separator/>
      </w:r>
    </w:p>
  </w:footnote>
  <w:footnote w:type="continuationSeparator" w:id="0">
    <w:p w:rsidR="00F02501" w:rsidRDefault="00F02501" w:rsidP="0001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37"/>
    <w:rsid w:val="00005D52"/>
    <w:rsid w:val="00011688"/>
    <w:rsid w:val="00014CB7"/>
    <w:rsid w:val="000173EA"/>
    <w:rsid w:val="0003392C"/>
    <w:rsid w:val="00033A8E"/>
    <w:rsid w:val="000341DD"/>
    <w:rsid w:val="00061DD8"/>
    <w:rsid w:val="00064719"/>
    <w:rsid w:val="00084203"/>
    <w:rsid w:val="0008547E"/>
    <w:rsid w:val="000921D9"/>
    <w:rsid w:val="000E1C34"/>
    <w:rsid w:val="000E6677"/>
    <w:rsid w:val="000F5055"/>
    <w:rsid w:val="001225FA"/>
    <w:rsid w:val="0017001E"/>
    <w:rsid w:val="00170209"/>
    <w:rsid w:val="00172F08"/>
    <w:rsid w:val="001D7BCE"/>
    <w:rsid w:val="001F755D"/>
    <w:rsid w:val="00206EC8"/>
    <w:rsid w:val="0021530A"/>
    <w:rsid w:val="00225A19"/>
    <w:rsid w:val="00257C82"/>
    <w:rsid w:val="002648CA"/>
    <w:rsid w:val="00272D9F"/>
    <w:rsid w:val="002E16E6"/>
    <w:rsid w:val="002E77C6"/>
    <w:rsid w:val="002F19D7"/>
    <w:rsid w:val="002F22B8"/>
    <w:rsid w:val="002F4E5E"/>
    <w:rsid w:val="00322131"/>
    <w:rsid w:val="003266FE"/>
    <w:rsid w:val="003955F3"/>
    <w:rsid w:val="003D6DC3"/>
    <w:rsid w:val="003E75D0"/>
    <w:rsid w:val="00404B3F"/>
    <w:rsid w:val="00435BDF"/>
    <w:rsid w:val="00451AA7"/>
    <w:rsid w:val="00464334"/>
    <w:rsid w:val="0049054D"/>
    <w:rsid w:val="004956C8"/>
    <w:rsid w:val="004E42DA"/>
    <w:rsid w:val="004E5948"/>
    <w:rsid w:val="00500FF2"/>
    <w:rsid w:val="00517B53"/>
    <w:rsid w:val="00517EC6"/>
    <w:rsid w:val="0052442C"/>
    <w:rsid w:val="00535F16"/>
    <w:rsid w:val="00565F11"/>
    <w:rsid w:val="00591D1C"/>
    <w:rsid w:val="00596CF9"/>
    <w:rsid w:val="005A68BC"/>
    <w:rsid w:val="005B64C1"/>
    <w:rsid w:val="005C0568"/>
    <w:rsid w:val="005C5933"/>
    <w:rsid w:val="005D0337"/>
    <w:rsid w:val="005E373F"/>
    <w:rsid w:val="005E45BB"/>
    <w:rsid w:val="005F4276"/>
    <w:rsid w:val="005F79FE"/>
    <w:rsid w:val="0062363A"/>
    <w:rsid w:val="00674ADD"/>
    <w:rsid w:val="006909C9"/>
    <w:rsid w:val="006A7FA3"/>
    <w:rsid w:val="006B56D9"/>
    <w:rsid w:val="006C01D4"/>
    <w:rsid w:val="006E01DF"/>
    <w:rsid w:val="006F55C8"/>
    <w:rsid w:val="00705BAA"/>
    <w:rsid w:val="0071713D"/>
    <w:rsid w:val="00733ADB"/>
    <w:rsid w:val="007671C1"/>
    <w:rsid w:val="00781040"/>
    <w:rsid w:val="007901E7"/>
    <w:rsid w:val="007A6748"/>
    <w:rsid w:val="007D2C26"/>
    <w:rsid w:val="007E46BE"/>
    <w:rsid w:val="0081357B"/>
    <w:rsid w:val="00833A87"/>
    <w:rsid w:val="00884BBB"/>
    <w:rsid w:val="008923E8"/>
    <w:rsid w:val="008A20AF"/>
    <w:rsid w:val="008C7552"/>
    <w:rsid w:val="008C7933"/>
    <w:rsid w:val="00961480"/>
    <w:rsid w:val="00A10120"/>
    <w:rsid w:val="00A46587"/>
    <w:rsid w:val="00A5442A"/>
    <w:rsid w:val="00A578C3"/>
    <w:rsid w:val="00A96772"/>
    <w:rsid w:val="00AB0305"/>
    <w:rsid w:val="00AB19E5"/>
    <w:rsid w:val="00AD3DBF"/>
    <w:rsid w:val="00AE42E4"/>
    <w:rsid w:val="00AE5DED"/>
    <w:rsid w:val="00AF0658"/>
    <w:rsid w:val="00AF1C5A"/>
    <w:rsid w:val="00AF2614"/>
    <w:rsid w:val="00AF6FD0"/>
    <w:rsid w:val="00B97057"/>
    <w:rsid w:val="00BC43D1"/>
    <w:rsid w:val="00BD55BD"/>
    <w:rsid w:val="00BE3068"/>
    <w:rsid w:val="00C1261E"/>
    <w:rsid w:val="00C54340"/>
    <w:rsid w:val="00CA0D0E"/>
    <w:rsid w:val="00CB74B5"/>
    <w:rsid w:val="00CC5440"/>
    <w:rsid w:val="00D203C1"/>
    <w:rsid w:val="00D4318D"/>
    <w:rsid w:val="00D52EC0"/>
    <w:rsid w:val="00D76F4A"/>
    <w:rsid w:val="00D8215F"/>
    <w:rsid w:val="00D95197"/>
    <w:rsid w:val="00DA7C26"/>
    <w:rsid w:val="00DC678E"/>
    <w:rsid w:val="00DD0017"/>
    <w:rsid w:val="00DD5F9C"/>
    <w:rsid w:val="00E008D9"/>
    <w:rsid w:val="00E15D47"/>
    <w:rsid w:val="00E70F40"/>
    <w:rsid w:val="00E87984"/>
    <w:rsid w:val="00E95DCD"/>
    <w:rsid w:val="00EC7C90"/>
    <w:rsid w:val="00EF1790"/>
    <w:rsid w:val="00F02501"/>
    <w:rsid w:val="00F6407E"/>
    <w:rsid w:val="00F6700A"/>
    <w:rsid w:val="00F67F76"/>
    <w:rsid w:val="00F804D2"/>
    <w:rsid w:val="00F87614"/>
    <w:rsid w:val="00F91442"/>
    <w:rsid w:val="00F922A8"/>
    <w:rsid w:val="00FD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558CD6-F59A-4778-BB56-C80D2EB1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3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3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3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3EA"/>
    <w:rPr>
      <w:sz w:val="18"/>
      <w:szCs w:val="18"/>
    </w:rPr>
  </w:style>
  <w:style w:type="character" w:styleId="a5">
    <w:name w:val="Emphasis"/>
    <w:basedOn w:val="a0"/>
    <w:uiPriority w:val="20"/>
    <w:qFormat/>
    <w:rsid w:val="002E16E6"/>
    <w:rPr>
      <w:i/>
      <w:iCs/>
    </w:rPr>
  </w:style>
  <w:style w:type="character" w:customStyle="1" w:styleId="apple-converted-space">
    <w:name w:val="apple-converted-space"/>
    <w:basedOn w:val="a0"/>
    <w:rsid w:val="002E16E6"/>
  </w:style>
  <w:style w:type="character" w:customStyle="1" w:styleId="skip">
    <w:name w:val="skip"/>
    <w:basedOn w:val="a0"/>
    <w:rsid w:val="000341DD"/>
  </w:style>
  <w:style w:type="character" w:styleId="a6">
    <w:name w:val="Hyperlink"/>
    <w:basedOn w:val="a0"/>
    <w:uiPriority w:val="99"/>
    <w:semiHidden/>
    <w:unhideWhenUsed/>
    <w:rsid w:val="00034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B:\writing\6%20complete\Supplementary%20table%202.3.4\table%202.6&#65288;final%20version&#65289;.xlsx" TargetMode="External"/><Relationship Id="rId13" Type="http://schemas.openxmlformats.org/officeDocument/2006/relationships/hyperlink" Target="file:///B:\writing\6%20complete\Supplementary%20table%202.3.4\table%202.6&#65288;final%20version&#65289;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B:\writing\6%20complete\Supplementary%20table%202.3.4\table%202.6&#65288;final%20version&#65289;.xlsx" TargetMode="External"/><Relationship Id="rId12" Type="http://schemas.openxmlformats.org/officeDocument/2006/relationships/hyperlink" Target="file:///B:\writing\6%20complete\Supplementary%20table%202.3.4\table%202.6&#65288;final%20version&#65289;.xls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B:\writing\6%20complete\Supplementary%20table%202.3.4\table%202.6&#65288;final%20version&#65289;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B:\writing\6%20complete\Supplementary%20table%202.3.4\table%202.6&#65288;final%20version&#65289;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B:\writing\6%20complete\Supplementary%20table%202.3.4\table%202.6&#65288;final%20version&#65289;.xlsx" TargetMode="External"/><Relationship Id="rId14" Type="http://schemas.openxmlformats.org/officeDocument/2006/relationships/hyperlink" Target="file:///B:\writing\6%20complete\Supplementary%20table%202.3.4\table%202.6&#65288;final%20version&#65289;.xls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5892-81D1-46AC-B184-E651C50B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18094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Jing</cp:lastModifiedBy>
  <cp:revision>6</cp:revision>
  <dcterms:created xsi:type="dcterms:W3CDTF">2020-07-28T10:46:00Z</dcterms:created>
  <dcterms:modified xsi:type="dcterms:W3CDTF">2020-11-27T18:13:00Z</dcterms:modified>
</cp:coreProperties>
</file>