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A4D43D" w14:textId="77777777" w:rsidR="0001169E" w:rsidRDefault="0001169E" w:rsidP="0001169E">
      <w:pPr>
        <w:spacing w:line="48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102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Supplementary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</w:t>
      </w:r>
      <w:r w:rsidRPr="00215A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igure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Pr="00215A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Flowchart of sample collection</w:t>
      </w:r>
      <w:r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>.</w:t>
      </w:r>
    </w:p>
    <w:p w14:paraId="166F237F" w14:textId="77777777" w:rsidR="00211C32" w:rsidRPr="000819EF" w:rsidRDefault="00211C32" w:rsidP="0001169E">
      <w:p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19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 Reduced sample number due to death of patients or missing blood samples. </w:t>
      </w:r>
    </w:p>
    <w:p w14:paraId="726A03FF" w14:textId="603F3B22" w:rsidR="0001169E" w:rsidRPr="005271A0" w:rsidRDefault="00996D14" w:rsidP="0001169E">
      <w:p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819EF">
        <w:rPr>
          <w:rFonts w:ascii="Times New Roman" w:hAnsi="Times New Roman" w:cs="Times New Roman"/>
          <w:color w:val="000000" w:themeColor="text1"/>
          <w:sz w:val="24"/>
          <w:szCs w:val="24"/>
        </w:rPr>
        <w:t>In total, 25 patients with sepsis or septic shock were included and 141 out of 175 possible samples were collected.</w:t>
      </w:r>
      <w:r w:rsidR="00DA30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number of samples were missing for different reasons</w:t>
      </w:r>
      <w:r w:rsidRPr="000819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death (1 patient on day 2), bad vascular condition resulting in failure of drawing blood (in total </w:t>
      </w:r>
      <w:r w:rsidR="00B9490B" w:rsidRPr="000819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 </w:t>
      </w:r>
      <w:r w:rsidRPr="000819EF">
        <w:rPr>
          <w:rFonts w:ascii="Times New Roman" w:hAnsi="Times New Roman" w:cs="Times New Roman"/>
          <w:color w:val="000000" w:themeColor="text1"/>
          <w:sz w:val="24"/>
          <w:szCs w:val="24"/>
        </w:rPr>
        <w:t>missing samples on different days), surgery during collection period (</w:t>
      </w:r>
      <w:r w:rsidR="00D550C2" w:rsidRPr="000819EF">
        <w:rPr>
          <w:rFonts w:ascii="Times New Roman" w:hAnsi="Times New Roman" w:cs="Times New Roman"/>
          <w:color w:val="000000" w:themeColor="text1"/>
          <w:sz w:val="24"/>
          <w:szCs w:val="24"/>
        </w:rPr>
        <w:t>in total 10 missing samples on different days</w:t>
      </w:r>
      <w:r w:rsidRPr="000819EF">
        <w:rPr>
          <w:rFonts w:ascii="Times New Roman" w:hAnsi="Times New Roman" w:cs="Times New Roman"/>
          <w:color w:val="000000" w:themeColor="text1"/>
          <w:sz w:val="24"/>
          <w:szCs w:val="24"/>
        </w:rPr>
        <w:t>), recovery</w:t>
      </w:r>
      <w:r w:rsidR="008430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819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(1 patient on day </w:t>
      </w:r>
      <w:r w:rsidR="00E77977" w:rsidRPr="000819EF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0819EF">
        <w:rPr>
          <w:rFonts w:ascii="Times New Roman" w:hAnsi="Times New Roman" w:cs="Times New Roman"/>
          <w:color w:val="000000" w:themeColor="text1"/>
          <w:sz w:val="24"/>
          <w:szCs w:val="24"/>
        </w:rPr>
        <w:t>) and technical errors (1</w:t>
      </w:r>
      <w:r w:rsidR="000819EF" w:rsidRPr="000819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 </w:t>
      </w:r>
      <w:r w:rsidRPr="000819EF">
        <w:rPr>
          <w:rFonts w:ascii="Times New Roman" w:hAnsi="Times New Roman" w:cs="Times New Roman"/>
          <w:color w:val="000000" w:themeColor="text1"/>
          <w:sz w:val="24"/>
          <w:szCs w:val="24"/>
        </w:rPr>
        <w:t>samples on different days).</w:t>
      </w:r>
    </w:p>
    <w:p w14:paraId="6828503C" w14:textId="2457D78C" w:rsidR="0001169E" w:rsidRDefault="0001169E" w:rsidP="0001169E">
      <w:p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02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Supplementary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</w:t>
      </w:r>
      <w:r w:rsidRPr="00215A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igure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215A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Gating strategy</w:t>
      </w:r>
      <w:r w:rsidRPr="001102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>(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A) </w:t>
      </w:r>
      <w:r w:rsidRPr="00215A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Gradient purified </w:t>
      </w:r>
      <w:r w:rsidRPr="00215A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peripheral blood mononuclear cells (</w:t>
      </w:r>
      <w:r w:rsidRPr="00215A61">
        <w:rPr>
          <w:rFonts w:ascii="Times New Roman" w:hAnsi="Times New Roman" w:cs="Times New Roman"/>
          <w:color w:val="000000" w:themeColor="text1"/>
          <w:sz w:val="24"/>
          <w:szCs w:val="24"/>
        </w:rPr>
        <w:t>PBMCs) from healthy donor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 </w:t>
      </w:r>
      <w:r w:rsidRPr="00215A61">
        <w:rPr>
          <w:rFonts w:ascii="Times New Roman" w:hAnsi="Times New Roman" w:cs="Times New Roman"/>
          <w:color w:val="000000" w:themeColor="text1"/>
          <w:sz w:val="24"/>
          <w:szCs w:val="24"/>
        </w:rPr>
        <w:t>were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A225A">
        <w:rPr>
          <w:rFonts w:ascii="Times New Roman" w:hAnsi="Times New Roman" w:cs="Times New Roman"/>
          <w:color w:val="000000" w:themeColor="text1"/>
          <w:sz w:val="24"/>
          <w:szCs w:val="24"/>
        </w:rPr>
        <w:t>treated with different conditions</w:t>
      </w:r>
      <w:r w:rsidRPr="00215A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The predominant population of paraformaldehyde (PFA) fixed cells viewed on a SSC-A vs. FSC-A dot plot </w:t>
      </w:r>
      <w:r w:rsidR="00BA70B4">
        <w:rPr>
          <w:rFonts w:ascii="Times New Roman" w:hAnsi="Times New Roman" w:cs="Times New Roman"/>
          <w:color w:val="000000" w:themeColor="text1"/>
          <w:sz w:val="24"/>
          <w:szCs w:val="24"/>
        </w:rPr>
        <w:t>were</w:t>
      </w:r>
      <w:r w:rsidRPr="00215A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selected. Then SSC-W vs. SSC-H and FSC-W vs. FSC-H dot plots were used to exclude cell doublets.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Afterwards, HLA-DR</w:t>
      </w:r>
      <w:r w:rsidRPr="0062363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+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cells were gated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. </w:t>
      </w:r>
      <w:r w:rsidRPr="00215A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Finally, the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HLA-DR</w:t>
      </w:r>
      <w:r w:rsidRPr="0062363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+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15A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cells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were plotted by relative expression of </w:t>
      </w:r>
      <w:bookmarkStart w:id="0" w:name="OLE_LINK3"/>
      <w:bookmarkStart w:id="1" w:name="OLE_LINK4"/>
      <w:r w:rsidRPr="00215A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CD14 </w:t>
      </w:r>
      <w:bookmarkEnd w:id="0"/>
      <w:bookmarkEnd w:id="1"/>
      <w:r>
        <w:rPr>
          <w:rFonts w:ascii="Times New Roman" w:hAnsi="Times New Roman" w:cs="Times New Roman"/>
          <w:color w:val="000000" w:themeColor="text1"/>
          <w:sz w:val="24"/>
          <w:szCs w:val="24"/>
        </w:rPr>
        <w:t>and CD16.</w:t>
      </w:r>
      <w:r w:rsidR="00DA30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gate wa</w:t>
      </w:r>
      <w:r w:rsidRPr="00215A61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placed</w:t>
      </w:r>
      <w:r w:rsidRPr="00215A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include </w:t>
      </w:r>
      <w:r w:rsidR="007477D7">
        <w:rPr>
          <w:rFonts w:ascii="Times New Roman" w:hAnsi="Times New Roman" w:cs="Times New Roman"/>
          <w:color w:val="000000" w:themeColor="text1"/>
          <w:sz w:val="24"/>
          <w:szCs w:val="24"/>
        </w:rPr>
        <w:t>all monocyte subset</w:t>
      </w:r>
      <w:r w:rsidRPr="00215A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3955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(B)</w:t>
      </w:r>
      <w:r w:rsidR="00FE42CA" w:rsidRPr="00FE4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E42CA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="00FE42CA" w:rsidRPr="00A04D56">
        <w:rPr>
          <w:rFonts w:ascii="Times New Roman" w:hAnsi="Times New Roman" w:cs="Times New Roman"/>
          <w:color w:val="000000" w:themeColor="text1"/>
          <w:sz w:val="24"/>
          <w:szCs w:val="24"/>
        </w:rPr>
        <w:t>hole blood</w:t>
      </w:r>
      <w:r w:rsidR="00FE42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staining</w:t>
      </w:r>
      <w:r w:rsidR="00FE42CA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.</w:t>
      </w:r>
      <w:bookmarkStart w:id="2" w:name="_GoBack"/>
      <w:bookmarkEnd w:id="2"/>
      <w:r w:rsidRPr="00215A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77D7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Pr="0011029C">
        <w:rPr>
          <w:rFonts w:ascii="Times New Roman" w:hAnsi="Times New Roman" w:cs="Times New Roman"/>
          <w:color w:val="000000" w:themeColor="text1"/>
          <w:sz w:val="24"/>
          <w:szCs w:val="24"/>
        </w:rPr>
        <w:t>ebris and clumps</w:t>
      </w:r>
      <w:r w:rsidR="007477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were excluded and </w:t>
      </w:r>
      <w:r w:rsidRPr="001102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lineage-specific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marker</w:t>
      </w:r>
      <w:r w:rsidRPr="001102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CD3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CD19 and CD56</w:t>
      </w:r>
      <w:r w:rsidRPr="001102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were used for the definition of the different </w:t>
      </w:r>
      <w:r w:rsidR="007477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lymphocyte </w:t>
      </w:r>
      <w:r w:rsidRPr="0011029C">
        <w:rPr>
          <w:rFonts w:ascii="Times New Roman" w:hAnsi="Times New Roman" w:cs="Times New Roman"/>
          <w:color w:val="000000" w:themeColor="text1"/>
          <w:sz w:val="24"/>
          <w:szCs w:val="24"/>
        </w:rPr>
        <w:t>subsets. Simultaneously, the identification of neutrophils was undertaken using CD66b. Then HLA-DR</w:t>
      </w:r>
      <w:r w:rsidRPr="0011029C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+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monocytes were gated by HLA-DR </w:t>
      </w:r>
      <w:r w:rsidRPr="001102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PE-Cy7, CD14-APC-Cy7 and CD16-Krome Orange.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(C</w:t>
      </w:r>
      <w:r w:rsidRPr="003955F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 w:rsidR="007477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477D7">
        <w:rPr>
          <w:rFonts w:ascii="Times New Roman" w:hAnsi="Times New Roman" w:cs="Times New Roman"/>
          <w:color w:val="000000" w:themeColor="text1"/>
          <w:sz w:val="24"/>
          <w:szCs w:val="24"/>
        </w:rPr>
        <w:t>Isotype control</w:t>
      </w:r>
      <w:r w:rsidRPr="007477D7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.</w:t>
      </w:r>
      <w:r w:rsidRPr="007477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A22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Displayed are gated monocytes </w:t>
      </w:r>
      <w:r w:rsidRPr="004F6955">
        <w:rPr>
          <w:rFonts w:ascii="Times New Roman" w:hAnsi="Times New Roman" w:cs="Times New Roman"/>
          <w:color w:val="000000" w:themeColor="text1"/>
          <w:sz w:val="24"/>
          <w:szCs w:val="24"/>
        </w:rPr>
        <w:t>and neutrophils</w:t>
      </w:r>
      <w:r w:rsidRPr="005A22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from </w:t>
      </w:r>
      <w:r w:rsidRPr="00A04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whole blood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(gating strategy is shown in Supplementary F</w:t>
      </w:r>
      <w:r w:rsidRPr="005A22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igure </w:t>
      </w:r>
      <w:r w:rsidR="007477D7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Pr="005A225A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4F6955">
        <w:rPr>
          <w:rFonts w:ascii="Times New Roman" w:hAnsi="Times New Roman" w:cs="Times New Roman"/>
          <w:color w:val="000000" w:themeColor="text1"/>
          <w:sz w:val="24"/>
          <w:szCs w:val="24"/>
        </w:rPr>
        <w:t>ASC-speck</w:t>
      </w:r>
      <w:r w:rsidRPr="00627C4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+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F69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cells were defined by relatively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low W:A</w:t>
      </w:r>
      <w:r w:rsidRPr="004F69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monocytes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F6955">
        <w:rPr>
          <w:rFonts w:ascii="Times New Roman" w:hAnsi="Times New Roman" w:cs="Times New Roman"/>
          <w:color w:val="000000" w:themeColor="text1"/>
          <w:sz w:val="24"/>
          <w:szCs w:val="24"/>
        </w:rPr>
        <w:t>and neutrophils</w:t>
      </w:r>
      <w:r w:rsidRPr="00A04D56">
        <w:rPr>
          <w:rFonts w:ascii="Times New Roman" w:hAnsi="Times New Roman" w:cs="Times New Roman"/>
          <w:color w:val="000000" w:themeColor="text1"/>
          <w:sz w:val="24"/>
          <w:szCs w:val="24"/>
        </w:rPr>
        <w:t>. Numbers shown next to the gates are the percentages of the ASC-speck</w:t>
      </w:r>
      <w:r w:rsidRPr="00627C4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+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cells</w:t>
      </w:r>
      <w:r w:rsidRPr="00A04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from </w:t>
      </w:r>
      <w:r w:rsidRPr="00A04D56">
        <w:rPr>
          <w:rFonts w:ascii="Times New Roman" w:hAnsi="Times New Roman" w:cs="Times New Roman"/>
          <w:color w:val="000000" w:themeColor="text1"/>
          <w:sz w:val="24"/>
          <w:szCs w:val="24"/>
        </w:rPr>
        <w:t>the HLA-DR</w:t>
      </w:r>
      <w:r w:rsidRPr="00627C4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+</w:t>
      </w:r>
      <w:r w:rsidRPr="00A04D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monocyte</w:t>
      </w:r>
      <w:r w:rsidR="007477D7">
        <w:rPr>
          <w:rFonts w:ascii="Times New Roman" w:hAnsi="Times New Roman" w:cs="Times New Roman"/>
          <w:color w:val="000000" w:themeColor="text1"/>
          <w:sz w:val="24"/>
          <w:szCs w:val="24"/>
        </w:rPr>
        <w:t>s and neutrophils</w:t>
      </w:r>
      <w:r w:rsidRPr="00A04D5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D9AFEB6" w14:textId="77777777" w:rsidR="0001169E" w:rsidRPr="00996D14" w:rsidRDefault="0001169E" w:rsidP="0001169E">
      <w:p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CC2953" w14:textId="1957393F" w:rsidR="0001169E" w:rsidRPr="005271A0" w:rsidRDefault="0001169E" w:rsidP="0001169E">
      <w:p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6D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Supplementary Figure 3. The formation of ASC-speck in different monocyte subsets.</w:t>
      </w:r>
      <w:r w:rsidRPr="0099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96D14"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>(</w:t>
      </w:r>
      <w:r w:rsidRPr="00996D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A)</w:t>
      </w:r>
      <w:r w:rsidRPr="0099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Representative flow cytometric analysis of monocyte subsets, based on CD14 and CD16 expression (CD14</w:t>
      </w:r>
      <w:r w:rsidRPr="00996D14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++</w:t>
      </w:r>
      <w:r w:rsidRPr="00996D14">
        <w:rPr>
          <w:rFonts w:ascii="Times New Roman" w:hAnsi="Times New Roman" w:cs="Times New Roman"/>
          <w:color w:val="000000" w:themeColor="text1"/>
          <w:sz w:val="24"/>
          <w:szCs w:val="24"/>
        </w:rPr>
        <w:t>CD16</w:t>
      </w:r>
      <w:r w:rsidRPr="00996D14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-</w:t>
      </w:r>
      <w:r w:rsidRPr="0099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classical, CD14</w:t>
      </w:r>
      <w:r w:rsidRPr="00996D14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+</w:t>
      </w:r>
      <w:r w:rsidRPr="00996D14">
        <w:rPr>
          <w:rFonts w:ascii="Times New Roman" w:hAnsi="Times New Roman" w:cs="Times New Roman"/>
          <w:color w:val="000000" w:themeColor="text1"/>
          <w:sz w:val="24"/>
          <w:szCs w:val="24"/>
        </w:rPr>
        <w:t>CD16</w:t>
      </w:r>
      <w:r w:rsidRPr="00996D14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+</w:t>
      </w:r>
      <w:r w:rsidRPr="0099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intermediate and CD14</w:t>
      </w:r>
      <w:r w:rsidRPr="00996D14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low</w:t>
      </w:r>
      <w:r w:rsidRPr="00996D14">
        <w:rPr>
          <w:rFonts w:ascii="Times New Roman" w:hAnsi="Times New Roman" w:cs="Times New Roman"/>
          <w:color w:val="000000" w:themeColor="text1"/>
          <w:sz w:val="24"/>
          <w:szCs w:val="24"/>
        </w:rPr>
        <w:t>CD16</w:t>
      </w:r>
      <w:r w:rsidRPr="00996D14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+</w:t>
      </w:r>
      <w:r w:rsidRPr="0099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non-classical monocytes), then ASC-speck</w:t>
      </w:r>
      <w:bookmarkStart w:id="3" w:name="OLE_LINK5"/>
      <w:bookmarkStart w:id="4" w:name="OLE_LINK6"/>
      <w:r w:rsidRPr="00996D14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+</w:t>
      </w:r>
      <w:bookmarkEnd w:id="3"/>
      <w:bookmarkEnd w:id="4"/>
      <w:r w:rsidRPr="0099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cells were gated in the three monocyte subsets respectively. </w:t>
      </w:r>
      <w:r w:rsidRPr="00996D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(B)</w:t>
      </w:r>
      <w:r w:rsidRPr="0099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Stacked bar graph</w:t>
      </w:r>
      <w:r w:rsidR="005271A0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99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show that the absolute number of ASC-speck</w:t>
      </w:r>
      <w:r w:rsidRPr="00996D14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+</w:t>
      </w:r>
      <w:r w:rsidRPr="0099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classical, intermediate and non-classical monocytes in healthy donor</w:t>
      </w:r>
      <w:r w:rsidR="005271A0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99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(HD) and sepsis patients </w:t>
      </w:r>
      <w:r w:rsidR="00BA70B4">
        <w:rPr>
          <w:rFonts w:ascii="Times New Roman" w:hAnsi="Times New Roman" w:cs="Times New Roman"/>
          <w:color w:val="000000" w:themeColor="text1"/>
          <w:sz w:val="24"/>
          <w:szCs w:val="24"/>
        </w:rPr>
        <w:t>between</w:t>
      </w:r>
      <w:r w:rsidR="00BA70B4" w:rsidRPr="0099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96D14">
        <w:rPr>
          <w:rFonts w:ascii="Times New Roman" w:hAnsi="Times New Roman" w:cs="Times New Roman"/>
          <w:color w:val="000000" w:themeColor="text1"/>
          <w:sz w:val="24"/>
          <w:szCs w:val="24"/>
        </w:rPr>
        <w:t>day 1</w:t>
      </w:r>
      <w:r w:rsidR="00A47223" w:rsidRPr="0099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9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(D1) </w:t>
      </w:r>
      <w:r w:rsidR="00BA70B4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r w:rsidRPr="0099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day 7 (D7). </w:t>
      </w:r>
      <w:r w:rsidRPr="00996D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(C)</w:t>
      </w:r>
      <w:r w:rsidRPr="00996D14">
        <w:rPr>
          <w:color w:val="000000" w:themeColor="text1"/>
        </w:rPr>
        <w:t xml:space="preserve"> </w:t>
      </w:r>
      <w:r w:rsidRPr="00996D14">
        <w:rPr>
          <w:rFonts w:ascii="Times New Roman" w:hAnsi="Times New Roman" w:cs="Times New Roman"/>
          <w:color w:val="000000" w:themeColor="text1"/>
          <w:sz w:val="24"/>
          <w:szCs w:val="24"/>
        </w:rPr>
        <w:t>Stacked bar graph</w:t>
      </w:r>
      <w:r w:rsidR="005271A0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99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show that the proportion of ASC-speck</w:t>
      </w:r>
      <w:r w:rsidRPr="00996D14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+</w:t>
      </w:r>
      <w:r w:rsidRPr="0099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classical, intermediate and non-classical monocytes in HD and sepsis patients from D1 to D7 (the total proportion in</w:t>
      </w:r>
      <w:r w:rsidR="005A120E" w:rsidRPr="0099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96D14">
        <w:rPr>
          <w:rFonts w:ascii="Times New Roman" w:hAnsi="Times New Roman" w:cs="Times New Roman"/>
          <w:color w:val="000000" w:themeColor="text1"/>
          <w:sz w:val="24"/>
          <w:szCs w:val="24"/>
        </w:rPr>
        <w:t>every column is 100%).</w:t>
      </w:r>
    </w:p>
    <w:p w14:paraId="52F0D126" w14:textId="2377A615" w:rsidR="0001169E" w:rsidRPr="005271A0" w:rsidRDefault="0001169E" w:rsidP="0001169E">
      <w:p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Supplementary Figure</w:t>
      </w:r>
      <w:r w:rsidRPr="00A746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Pr="00A746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BA70B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hange</w:t>
      </w:r>
      <w:r w:rsidR="00BA70B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of cytokine</w:t>
      </w:r>
      <w:r w:rsidR="00BA70B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serum levels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Pr="00AD3DBF">
        <w:rPr>
          <w:rFonts w:ascii="Times New Roman" w:hAnsi="Times New Roman" w:cs="Times New Roman"/>
          <w:color w:val="000000" w:themeColor="text1"/>
          <w:sz w:val="24"/>
          <w:szCs w:val="24"/>
        </w:rPr>
        <w:t>Dynamic changes of the inflammasome-dependent cytokines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D3DBF">
        <w:rPr>
          <w:rFonts w:ascii="Times New Roman" w:hAnsi="Times New Roman" w:cs="Times New Roman"/>
          <w:color w:val="000000" w:themeColor="text1"/>
          <w:sz w:val="24"/>
          <w:szCs w:val="24"/>
        </w:rPr>
        <w:t>IL-1β and IL-18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(A) </w:t>
      </w:r>
      <w:r w:rsidRPr="00AD3D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other </w:t>
      </w:r>
      <w:r w:rsidRPr="00AD3DBF">
        <w:rPr>
          <w:rFonts w:ascii="Times New Roman" w:hAnsi="Times New Roman" w:cs="Times New Roman"/>
          <w:color w:val="000000" w:themeColor="text1"/>
          <w:sz w:val="24"/>
          <w:szCs w:val="24"/>
        </w:rPr>
        <w:t>studied cytokines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(B)</w:t>
      </w:r>
      <w:r w:rsidRPr="00AD3D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are shown. Data </w:t>
      </w:r>
      <w:r w:rsidR="00BA70B4">
        <w:rPr>
          <w:rFonts w:ascii="Times New Roman" w:hAnsi="Times New Roman" w:cs="Times New Roman"/>
          <w:color w:val="000000" w:themeColor="text1"/>
          <w:sz w:val="24"/>
          <w:szCs w:val="24"/>
        </w:rPr>
        <w:t>are</w:t>
      </w:r>
      <w:r w:rsidRPr="00AD3D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presented as mean ± standard error of the mean (SEM).</w:t>
      </w:r>
      <w:r w:rsidR="005A12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D3DBF">
        <w:rPr>
          <w:rFonts w:ascii="Times New Roman" w:hAnsi="Times New Roman" w:cs="Times New Roman"/>
          <w:color w:val="000000" w:themeColor="text1"/>
          <w:sz w:val="24"/>
          <w:szCs w:val="24"/>
        </w:rPr>
        <w:t>Dunn's Multiple Comparison Test was used for testing the difference of the cytokine levels between Day 1 and other days. * p &lt; 0.05, **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D3DBF">
        <w:rPr>
          <w:rFonts w:ascii="Times New Roman" w:hAnsi="Times New Roman" w:cs="Times New Roman"/>
          <w:color w:val="000000" w:themeColor="text1"/>
          <w:sz w:val="24"/>
          <w:szCs w:val="24"/>
        </w:rPr>
        <w:t>p &lt; 0.01, *** p &lt; 0.001.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4661D">
        <w:rPr>
          <w:rFonts w:ascii="Times New Roman" w:hAnsi="Times New Roman" w:cs="Times New Roman"/>
          <w:color w:val="000000" w:themeColor="text1"/>
          <w:sz w:val="24"/>
          <w:szCs w:val="24"/>
        </w:rPr>
        <w:t>Sepsis patients day1 n=24, day 3 n=22, day5 n=17, day 6 n=18, day 7 n=16.</w:t>
      </w:r>
    </w:p>
    <w:p w14:paraId="0BA2AF92" w14:textId="2436AB21" w:rsidR="0001169E" w:rsidRPr="0050356C" w:rsidRDefault="0001169E" w:rsidP="0001169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Supplementary Figure 5. Correlation between ASC-specks and </w:t>
      </w:r>
      <w:r>
        <w:rPr>
          <w:rFonts w:ascii="Times New Roman" w:hAnsi="Times New Roman" w:cs="Times New Roman" w:hint="eastAsia"/>
          <w:b/>
          <w:sz w:val="24"/>
          <w:szCs w:val="24"/>
        </w:rPr>
        <w:t>clinical</w:t>
      </w:r>
      <w:r>
        <w:rPr>
          <w:rFonts w:ascii="Times New Roman" w:hAnsi="Times New Roman" w:cs="Times New Roman"/>
          <w:b/>
          <w:sz w:val="24"/>
          <w:szCs w:val="24"/>
        </w:rPr>
        <w:t xml:space="preserve"> parameters in sepsis patients. </w:t>
      </w:r>
      <w:r w:rsidRPr="001235AB">
        <w:rPr>
          <w:rFonts w:ascii="Times New Roman" w:hAnsi="Times New Roman" w:cs="Times New Roman"/>
          <w:b/>
          <w:sz w:val="24"/>
          <w:szCs w:val="24"/>
        </w:rPr>
        <w:t>(A)</w:t>
      </w:r>
      <w:r w:rsidRPr="00435BDF">
        <w:rPr>
          <w:rFonts w:ascii="Times New Roman" w:hAnsi="Times New Roman" w:cs="Times New Roman"/>
          <w:sz w:val="24"/>
          <w:szCs w:val="24"/>
        </w:rPr>
        <w:t xml:space="preserve"> No significant change of LDH and WBC count has been observed within one week, Kruskal-Wallis test p&gt;0.05. The level of PCT declined from Day 1 to Day 7 significantly, Kruskal-Wallis test p&lt;0.0001. Data is represented as mean ± s</w:t>
      </w:r>
      <w:r w:rsidR="005271A0">
        <w:rPr>
          <w:rFonts w:ascii="Times New Roman" w:hAnsi="Times New Roman" w:cs="Times New Roman"/>
          <w:sz w:val="24"/>
          <w:szCs w:val="24"/>
        </w:rPr>
        <w:t xml:space="preserve">tandard error of the mean (SEM). </w:t>
      </w:r>
      <w:r w:rsidRPr="001235AB">
        <w:rPr>
          <w:rFonts w:ascii="Times New Roman" w:hAnsi="Times New Roman" w:cs="Times New Roman"/>
          <w:b/>
          <w:sz w:val="24"/>
          <w:szCs w:val="24"/>
        </w:rPr>
        <w:t>(B)</w:t>
      </w:r>
      <w:r w:rsidRPr="00435BDF">
        <w:rPr>
          <w:rFonts w:ascii="Times New Roman" w:hAnsi="Times New Roman" w:cs="Times New Roman"/>
          <w:sz w:val="24"/>
          <w:szCs w:val="24"/>
        </w:rPr>
        <w:t xml:space="preserve"> Positive correlation was found between the percentage of ASC speck positive monocytes and the concentration of LDH on Day 5 and Day 7. Pearson’s correlation test: D 5 (r=0.5674, p=0.0175), D 6 (r=0.4638, p=0.0525), D 7 (r=0.5920, p=0.0175). </w:t>
      </w:r>
      <w:r w:rsidRPr="005271A0">
        <w:rPr>
          <w:rFonts w:ascii="Times New Roman" w:hAnsi="Times New Roman" w:cs="Times New Roman"/>
          <w:b/>
          <w:sz w:val="24"/>
          <w:szCs w:val="24"/>
        </w:rPr>
        <w:t>(C)</w:t>
      </w:r>
      <w:r w:rsidRPr="00435BDF">
        <w:rPr>
          <w:rFonts w:ascii="Times New Roman" w:hAnsi="Times New Roman" w:cs="Times New Roman"/>
          <w:sz w:val="24"/>
          <w:szCs w:val="24"/>
        </w:rPr>
        <w:t xml:space="preserve"> Positive correlation between the absolute number of ASC speck</w:t>
      </w:r>
      <w:r w:rsidR="005A120E">
        <w:rPr>
          <w:rFonts w:ascii="Times New Roman" w:hAnsi="Times New Roman" w:cs="Times New Roman"/>
          <w:sz w:val="24"/>
          <w:szCs w:val="24"/>
        </w:rPr>
        <w:t>-</w:t>
      </w:r>
      <w:r w:rsidRPr="00435BDF">
        <w:rPr>
          <w:rFonts w:ascii="Times New Roman" w:hAnsi="Times New Roman" w:cs="Times New Roman"/>
          <w:sz w:val="24"/>
          <w:szCs w:val="24"/>
        </w:rPr>
        <w:t xml:space="preserve">expressing monocytes and LDH on Day 7. Pearson’s correlation test: D 5 (r=0.3993, </w:t>
      </w:r>
      <w:r w:rsidRPr="00435BDF">
        <w:rPr>
          <w:rFonts w:ascii="Times New Roman" w:hAnsi="Times New Roman" w:cs="Times New Roman"/>
          <w:sz w:val="24"/>
          <w:szCs w:val="24"/>
        </w:rPr>
        <w:lastRenderedPageBreak/>
        <w:t>p=0.1123), D 6 (r=0.4255, p=0.0791), D 7 (r=0.6334, p=0.0084).</w:t>
      </w:r>
      <w:r w:rsidRPr="0050356C">
        <w:rPr>
          <w:rFonts w:ascii="Times New Roman" w:hAnsi="Times New Roman" w:cs="Times New Roman"/>
          <w:b/>
          <w:sz w:val="24"/>
          <w:szCs w:val="24"/>
        </w:rPr>
        <w:t xml:space="preserve"> (D)</w:t>
      </w:r>
      <w:r w:rsidRPr="00435BDF">
        <w:rPr>
          <w:rFonts w:ascii="Times New Roman" w:hAnsi="Times New Roman" w:cs="Times New Roman"/>
          <w:sz w:val="24"/>
          <w:szCs w:val="24"/>
        </w:rPr>
        <w:t xml:space="preserve"> Positive correlation between the absolute number of ASC speck positive monocytes and WBC count. The analysis of all correlations was undertaken using Pearson’s rank dot plot on Day 5, Day 6 and Day 7. Pearson’s correlation test: D 5 (r=0.6791, p=0.0027), D 6 (r=0.6101, p=0.0072), D 7 (r=0.6535, p=0.0060).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14:paraId="698AEE1F" w14:textId="380F9F90" w:rsidR="00AD1FD4" w:rsidRPr="00B47104" w:rsidRDefault="0001169E" w:rsidP="00B47104">
      <w:pPr>
        <w:spacing w:line="48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6D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Supplementary Figure 6. The expression of HLA-DR on monocytes. (A) </w:t>
      </w:r>
      <w:r w:rsidRPr="00996D14">
        <w:rPr>
          <w:rFonts w:ascii="Times New Roman" w:hAnsi="Times New Roman" w:cs="Times New Roman"/>
          <w:color w:val="000000" w:themeColor="text1"/>
          <w:sz w:val="24"/>
          <w:szCs w:val="24"/>
        </w:rPr>
        <w:t>Displayed are gated monocytes from whole blood of sepsis patient: FSC-A, FSC-W, FSC-H, SSC-A, SSC-W and SSC-H were</w:t>
      </w:r>
      <w:r w:rsidR="005035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set </w:t>
      </w:r>
      <w:r w:rsidRPr="0099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 exclude debris and clumps. Afterwards, </w:t>
      </w:r>
      <w:r w:rsidR="005035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Pr="00996D14">
        <w:rPr>
          <w:rFonts w:ascii="Times New Roman" w:hAnsi="Times New Roman" w:cs="Times New Roman"/>
          <w:color w:val="000000" w:themeColor="text1"/>
          <w:sz w:val="24"/>
          <w:szCs w:val="24"/>
        </w:rPr>
        <w:t>lineage-specific marker</w:t>
      </w:r>
      <w:r w:rsidR="0050356C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99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CD3, CD19 and CD56 were used to exclude lymphocytes (T cells, B cells and NK cells), CD66b was used to exclude neutrophils. The CD14</w:t>
      </w:r>
      <w:r w:rsidRPr="00996D14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+</w:t>
      </w:r>
      <w:r w:rsidRPr="0099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cells were gated as monocyte. </w:t>
      </w:r>
      <w:r w:rsidRPr="00996D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(B)</w:t>
      </w:r>
      <w:r w:rsidRPr="0099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Monocyte HLA-DR levels, expressed as median of fluorescence intensity (MFI), between healthy donors and sepsis patient were compared.</w:t>
      </w:r>
      <w:r w:rsidR="00187420" w:rsidRPr="001874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Healthy donors n=19; Sepsis patients</w:t>
      </w:r>
      <w:r w:rsidR="002B2F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B2F35" w:rsidRPr="002B2F35">
        <w:rPr>
          <w:rFonts w:ascii="Times New Roman" w:hAnsi="Times New Roman" w:cs="Times New Roman"/>
          <w:color w:val="000000" w:themeColor="text1"/>
          <w:sz w:val="24"/>
          <w:szCs w:val="24"/>
        </w:rPr>
        <w:t>day1 n=24, day 2 n=24, day 3 n=22, day 4 n=20, day5 n=17, day 6 n=18, day 7 n=16.</w:t>
      </w:r>
      <w:r w:rsidR="00187420" w:rsidRPr="001874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Dot plots and bar graph data are represented as mean ± SEM.</w:t>
      </w:r>
      <w:r w:rsidRPr="0099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96D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(C) </w:t>
      </w:r>
      <w:r w:rsidRPr="0099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Compared with Day 1, Day 2, Day 3 and D 4, the monocyte HLA-DR MFI on day 6 in 90-day survivors increased more than non-survivors. The statistical analysis showed no significant differences. </w:t>
      </w:r>
      <w:r w:rsidR="004558FB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4558FB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epsis survivors</w:t>
      </w:r>
      <w:r w:rsidR="004558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n=12 (</w:t>
      </w:r>
      <w:r w:rsidR="004558FB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Δ</w:t>
      </w:r>
      <w:r w:rsidR="004558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6-1 and </w:t>
      </w:r>
      <w:r w:rsidR="004558FB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Δ</w:t>
      </w:r>
      <w:r w:rsidR="004558FB">
        <w:rPr>
          <w:rFonts w:ascii="Times New Roman" w:hAnsi="Times New Roman" w:cs="Times New Roman"/>
          <w:color w:val="000000" w:themeColor="text1"/>
          <w:sz w:val="24"/>
          <w:szCs w:val="24"/>
        </w:rPr>
        <w:t>6-2), n=11 (</w:t>
      </w:r>
      <w:r w:rsidR="004558FB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Δ</w:t>
      </w:r>
      <w:r w:rsidR="004558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6-3 and </w:t>
      </w:r>
      <w:r w:rsidR="004558FB">
        <w:rPr>
          <w:rFonts w:ascii="宋体" w:eastAsia="宋体" w:hAnsi="宋体" w:cs="Times New Roman" w:hint="eastAsia"/>
          <w:color w:val="000000" w:themeColor="text1"/>
          <w:sz w:val="24"/>
          <w:szCs w:val="24"/>
        </w:rPr>
        <w:t>Δ</w:t>
      </w:r>
      <w:r w:rsidR="004558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6-4); </w:t>
      </w:r>
      <w:r w:rsidR="004558FB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 xml:space="preserve">Sepsis </w:t>
      </w:r>
      <w:r w:rsidR="004558FB">
        <w:rPr>
          <w:rFonts w:ascii="Times New Roman" w:hAnsi="Times New Roman" w:cs="Times New Roman"/>
          <w:color w:val="000000" w:themeColor="text1"/>
          <w:sz w:val="24"/>
          <w:szCs w:val="24"/>
        </w:rPr>
        <w:t>non-</w:t>
      </w:r>
      <w:r w:rsidR="004558FB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survivors</w:t>
      </w:r>
      <w:r w:rsidR="00CD65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n=6</w:t>
      </w:r>
      <w:r w:rsidR="00B471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B47104" w:rsidRPr="00996D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="00B4710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</w:t>
      </w:r>
      <w:r w:rsidR="00B47104" w:rsidRPr="00996D1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 w:rsidR="00B4710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86C39" w:rsidRPr="0099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Compared with Day 1, Day 2, Day 3 and D 4, the monocyte HLA-DR MFI on day 6 in </w:t>
      </w:r>
      <w:r w:rsidR="00786C39" w:rsidRPr="00786C39">
        <w:rPr>
          <w:rFonts w:ascii="Times New Roman" w:hAnsi="Times New Roman" w:cs="Times New Roman"/>
          <w:color w:val="000000" w:themeColor="text1"/>
          <w:sz w:val="24"/>
          <w:szCs w:val="24"/>
        </w:rPr>
        <w:t>ASC-speck+ monocyte high</w:t>
      </w:r>
      <w:r w:rsidR="00786C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group (</w:t>
      </w:r>
      <w:r w:rsidR="00786C39" w:rsidRPr="00786C39">
        <w:rPr>
          <w:rFonts w:ascii="Times New Roman" w:hAnsi="Times New Roman" w:cs="Times New Roman"/>
          <w:color w:val="000000" w:themeColor="text1"/>
          <w:sz w:val="24"/>
          <w:szCs w:val="24"/>
        </w:rPr>
        <w:t>&gt;1650 cells/ml</w:t>
      </w:r>
      <w:r w:rsidR="00786C39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786C39" w:rsidRPr="00786C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86C39" w:rsidRPr="00996D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increased more than </w:t>
      </w:r>
      <w:r w:rsidR="00786C39" w:rsidRPr="00786C39">
        <w:rPr>
          <w:rFonts w:ascii="Times New Roman" w:hAnsi="Times New Roman" w:cs="Times New Roman"/>
          <w:color w:val="000000" w:themeColor="text1"/>
          <w:sz w:val="24"/>
          <w:szCs w:val="24"/>
        </w:rPr>
        <w:t>high</w:t>
      </w:r>
      <w:r w:rsidR="00786C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group</w:t>
      </w:r>
      <w:r w:rsidR="00786C39" w:rsidRPr="00996D14">
        <w:rPr>
          <w:rFonts w:ascii="Times New Roman" w:hAnsi="Times New Roman" w:cs="Times New Roman"/>
          <w:color w:val="000000" w:themeColor="text1"/>
          <w:sz w:val="24"/>
          <w:szCs w:val="24"/>
        </w:rPr>
        <w:t>. The statistical analysis showed no significant differences.</w:t>
      </w:r>
      <w:r w:rsidR="00786C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47104">
        <w:rPr>
          <w:rFonts w:ascii="Times New Roman" w:hAnsi="Times New Roman" w:cs="Times New Roman"/>
          <w:color w:val="000000" w:themeColor="text1"/>
          <w:sz w:val="24"/>
          <w:szCs w:val="24"/>
        </w:rPr>
        <w:t>High group n=11, low group n=7.</w:t>
      </w:r>
      <w:r w:rsidR="00140C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D6545" w:rsidRPr="00CD6545">
        <w:rPr>
          <w:rFonts w:ascii="Times New Roman" w:hAnsi="Times New Roman" w:cs="Times New Roman"/>
          <w:color w:val="000000" w:themeColor="text1"/>
          <w:sz w:val="24"/>
          <w:szCs w:val="24"/>
        </w:rPr>
        <w:t>Sepsis survivors n=1</w:t>
      </w:r>
      <w:r w:rsidR="00CD654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CD6545" w:rsidRPr="00CD65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(Δ6-1 and Δ6-2), n=1</w:t>
      </w:r>
      <w:r w:rsidR="00CD6545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CD6545" w:rsidRPr="00CD65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(Δ6-3 and Δ6-4); Sepsis non-survivors n=</w:t>
      </w:r>
      <w:r w:rsidR="00CD6545">
        <w:rPr>
          <w:rFonts w:ascii="Times New Roman" w:hAnsi="Times New Roman" w:cs="Times New Roman"/>
          <w:color w:val="000000" w:themeColor="text1"/>
          <w:sz w:val="24"/>
          <w:szCs w:val="24"/>
        </w:rPr>
        <w:t>7.</w:t>
      </w:r>
      <w:r w:rsidR="00CD6545">
        <w:t xml:space="preserve"> </w:t>
      </w:r>
      <w:r w:rsidR="00CD6545" w:rsidRPr="00CD6545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Δ</w:t>
      </w:r>
      <w:r w:rsidR="00CD6545" w:rsidRPr="00CD6545">
        <w:rPr>
          <w:rFonts w:ascii="Times New Roman" w:hAnsi="Times New Roman" w:cs="Times New Roman"/>
          <w:color w:val="000000" w:themeColor="text1"/>
          <w:sz w:val="24"/>
          <w:szCs w:val="24"/>
        </w:rPr>
        <w:t>6-1 was defined as the value change in monocyte HLA-DR MFI on day 6 compared with that on day 1</w:t>
      </w:r>
      <w:r w:rsidR="00CD65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140CBF" w:rsidRPr="001874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difference was determined by </w:t>
      </w:r>
      <w:bookmarkStart w:id="5" w:name="OLE_LINK1"/>
      <w:r w:rsidR="00140CBF" w:rsidRPr="00187420">
        <w:rPr>
          <w:rFonts w:ascii="Times New Roman" w:hAnsi="Times New Roman" w:cs="Times New Roman"/>
          <w:color w:val="000000" w:themeColor="text1"/>
          <w:sz w:val="24"/>
          <w:szCs w:val="24"/>
        </w:rPr>
        <w:t>Mann-Whitney test</w:t>
      </w:r>
      <w:bookmarkEnd w:id="5"/>
      <w:r w:rsidR="00140CBF" w:rsidRPr="00187420">
        <w:rPr>
          <w:rFonts w:ascii="Times New Roman" w:hAnsi="Times New Roman" w:cs="Times New Roman"/>
          <w:color w:val="000000" w:themeColor="text1"/>
          <w:sz w:val="24"/>
          <w:szCs w:val="24"/>
        </w:rPr>
        <w:t>. * p &lt; 0.05; ** p &lt; 0.01</w:t>
      </w:r>
      <w:r w:rsidR="00A675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A67509" w:rsidRPr="00187420">
        <w:rPr>
          <w:rFonts w:ascii="Times New Roman" w:hAnsi="Times New Roman" w:cs="Times New Roman"/>
          <w:color w:val="000000" w:themeColor="text1"/>
          <w:sz w:val="24"/>
          <w:szCs w:val="24"/>
        </w:rPr>
        <w:t>*** p &lt; 0.0</w:t>
      </w:r>
      <w:r w:rsidR="00A67509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A67509" w:rsidRPr="00187420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140CBF" w:rsidRPr="0018742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1DE007E" w14:textId="77777777" w:rsidR="00172F08" w:rsidRPr="00AD1FD4" w:rsidRDefault="00172F08" w:rsidP="00AD1FD4">
      <w:pPr>
        <w:widowControl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172F08" w:rsidRPr="00AD1FD4" w:rsidSect="00EF2350">
      <w:pgSz w:w="11906" w:h="16838"/>
      <w:pgMar w:top="720" w:right="2125" w:bottom="720" w:left="1276" w:header="851" w:footer="992" w:gutter="0"/>
      <w:cols w:space="425"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8BCF3EE" w16cid:durableId="22B756A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02C24B" w14:textId="77777777" w:rsidR="006E2B4C" w:rsidRDefault="006E2B4C" w:rsidP="00AD1FD4">
      <w:r>
        <w:separator/>
      </w:r>
    </w:p>
  </w:endnote>
  <w:endnote w:type="continuationSeparator" w:id="0">
    <w:p w14:paraId="446E43E2" w14:textId="77777777" w:rsidR="006E2B4C" w:rsidRDefault="006E2B4C" w:rsidP="00AD1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CC069F" w14:textId="77777777" w:rsidR="006E2B4C" w:rsidRDefault="006E2B4C" w:rsidP="00AD1FD4">
      <w:r>
        <w:separator/>
      </w:r>
    </w:p>
  </w:footnote>
  <w:footnote w:type="continuationSeparator" w:id="0">
    <w:p w14:paraId="773BD82A" w14:textId="77777777" w:rsidR="006E2B4C" w:rsidRDefault="006E2B4C" w:rsidP="00AD1F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476"/>
    <w:rsid w:val="00004C06"/>
    <w:rsid w:val="0001169E"/>
    <w:rsid w:val="00013440"/>
    <w:rsid w:val="00033A8E"/>
    <w:rsid w:val="00061DD8"/>
    <w:rsid w:val="000809C9"/>
    <w:rsid w:val="000819EF"/>
    <w:rsid w:val="000C1D3D"/>
    <w:rsid w:val="00140CBF"/>
    <w:rsid w:val="0017001E"/>
    <w:rsid w:val="00170209"/>
    <w:rsid w:val="00172F08"/>
    <w:rsid w:val="0018131A"/>
    <w:rsid w:val="00187420"/>
    <w:rsid w:val="001F755D"/>
    <w:rsid w:val="00206EC8"/>
    <w:rsid w:val="00211C32"/>
    <w:rsid w:val="00211E3F"/>
    <w:rsid w:val="00285802"/>
    <w:rsid w:val="00290476"/>
    <w:rsid w:val="002A3246"/>
    <w:rsid w:val="002B2F35"/>
    <w:rsid w:val="002E77C6"/>
    <w:rsid w:val="00322131"/>
    <w:rsid w:val="00344C1A"/>
    <w:rsid w:val="003725B3"/>
    <w:rsid w:val="003C08C9"/>
    <w:rsid w:val="004263F4"/>
    <w:rsid w:val="00451AA7"/>
    <w:rsid w:val="004558FB"/>
    <w:rsid w:val="00464334"/>
    <w:rsid w:val="0048566B"/>
    <w:rsid w:val="00500FF2"/>
    <w:rsid w:val="0050356C"/>
    <w:rsid w:val="005271A0"/>
    <w:rsid w:val="00535F16"/>
    <w:rsid w:val="00565F11"/>
    <w:rsid w:val="005A120E"/>
    <w:rsid w:val="005B64C1"/>
    <w:rsid w:val="005C3458"/>
    <w:rsid w:val="005F1E0F"/>
    <w:rsid w:val="005F79FE"/>
    <w:rsid w:val="006035DD"/>
    <w:rsid w:val="00674ADD"/>
    <w:rsid w:val="00697FEE"/>
    <w:rsid w:val="006C01D4"/>
    <w:rsid w:val="006C6B52"/>
    <w:rsid w:val="006D3ED4"/>
    <w:rsid w:val="006E2B4C"/>
    <w:rsid w:val="006E7586"/>
    <w:rsid w:val="00715D30"/>
    <w:rsid w:val="00725F36"/>
    <w:rsid w:val="007477D7"/>
    <w:rsid w:val="00760BDD"/>
    <w:rsid w:val="007671C1"/>
    <w:rsid w:val="00781040"/>
    <w:rsid w:val="007815C9"/>
    <w:rsid w:val="00786C39"/>
    <w:rsid w:val="007901E7"/>
    <w:rsid w:val="007B2D7C"/>
    <w:rsid w:val="007B7D33"/>
    <w:rsid w:val="0081357B"/>
    <w:rsid w:val="00833A87"/>
    <w:rsid w:val="00833FEA"/>
    <w:rsid w:val="008430B6"/>
    <w:rsid w:val="00847459"/>
    <w:rsid w:val="008923E8"/>
    <w:rsid w:val="008A20AF"/>
    <w:rsid w:val="008C7552"/>
    <w:rsid w:val="008D0F1C"/>
    <w:rsid w:val="008E248D"/>
    <w:rsid w:val="00996D14"/>
    <w:rsid w:val="00A46587"/>
    <w:rsid w:val="00A47223"/>
    <w:rsid w:val="00A67509"/>
    <w:rsid w:val="00A956FD"/>
    <w:rsid w:val="00A96772"/>
    <w:rsid w:val="00AB0305"/>
    <w:rsid w:val="00AB7268"/>
    <w:rsid w:val="00AD1FD4"/>
    <w:rsid w:val="00AE1827"/>
    <w:rsid w:val="00AF1C5A"/>
    <w:rsid w:val="00AF2614"/>
    <w:rsid w:val="00AF6FD0"/>
    <w:rsid w:val="00B47104"/>
    <w:rsid w:val="00B9490B"/>
    <w:rsid w:val="00BA70B4"/>
    <w:rsid w:val="00BD0196"/>
    <w:rsid w:val="00BD6727"/>
    <w:rsid w:val="00C2165F"/>
    <w:rsid w:val="00C54340"/>
    <w:rsid w:val="00C94177"/>
    <w:rsid w:val="00CB18D5"/>
    <w:rsid w:val="00CC5440"/>
    <w:rsid w:val="00CD6545"/>
    <w:rsid w:val="00D053A3"/>
    <w:rsid w:val="00D1730D"/>
    <w:rsid w:val="00D401C5"/>
    <w:rsid w:val="00D550C2"/>
    <w:rsid w:val="00D8215F"/>
    <w:rsid w:val="00DA30A8"/>
    <w:rsid w:val="00DB4F38"/>
    <w:rsid w:val="00DC678E"/>
    <w:rsid w:val="00E77977"/>
    <w:rsid w:val="00E80FA2"/>
    <w:rsid w:val="00EE065C"/>
    <w:rsid w:val="00EF1790"/>
    <w:rsid w:val="00EF2350"/>
    <w:rsid w:val="00EF7433"/>
    <w:rsid w:val="00F42F53"/>
    <w:rsid w:val="00F87614"/>
    <w:rsid w:val="00F91442"/>
    <w:rsid w:val="00F922A8"/>
    <w:rsid w:val="00FE42CA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D10473"/>
  <w15:docId w15:val="{BB0F89B4-49E8-4E56-B55F-294FBA30E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F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1F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1F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1F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1FD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11C3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11C32"/>
    <w:rPr>
      <w:sz w:val="18"/>
      <w:szCs w:val="18"/>
    </w:rPr>
  </w:style>
  <w:style w:type="character" w:customStyle="1" w:styleId="tran">
    <w:name w:val="tran"/>
    <w:basedOn w:val="a0"/>
    <w:rsid w:val="00833FEA"/>
  </w:style>
  <w:style w:type="character" w:customStyle="1" w:styleId="apple-converted-space">
    <w:name w:val="apple-converted-space"/>
    <w:basedOn w:val="a0"/>
    <w:rsid w:val="00833FEA"/>
  </w:style>
  <w:style w:type="character" w:styleId="a6">
    <w:name w:val="annotation reference"/>
    <w:basedOn w:val="a0"/>
    <w:uiPriority w:val="99"/>
    <w:semiHidden/>
    <w:unhideWhenUsed/>
    <w:rsid w:val="005A120E"/>
    <w:rPr>
      <w:sz w:val="16"/>
      <w:szCs w:val="16"/>
    </w:rPr>
  </w:style>
  <w:style w:type="paragraph" w:styleId="a7">
    <w:name w:val="annotation text"/>
    <w:basedOn w:val="a"/>
    <w:link w:val="Char2"/>
    <w:uiPriority w:val="99"/>
    <w:semiHidden/>
    <w:unhideWhenUsed/>
    <w:rsid w:val="005A120E"/>
    <w:rPr>
      <w:sz w:val="20"/>
      <w:szCs w:val="20"/>
    </w:rPr>
  </w:style>
  <w:style w:type="character" w:customStyle="1" w:styleId="Char2">
    <w:name w:val="批注文字 Char"/>
    <w:basedOn w:val="a0"/>
    <w:link w:val="a7"/>
    <w:uiPriority w:val="99"/>
    <w:semiHidden/>
    <w:rsid w:val="005A120E"/>
    <w:rPr>
      <w:sz w:val="20"/>
      <w:szCs w:val="20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5A120E"/>
    <w:rPr>
      <w:b/>
      <w:bCs/>
    </w:rPr>
  </w:style>
  <w:style w:type="character" w:customStyle="1" w:styleId="Char3">
    <w:name w:val="批注主题 Char"/>
    <w:basedOn w:val="Char2"/>
    <w:link w:val="a8"/>
    <w:uiPriority w:val="99"/>
    <w:semiHidden/>
    <w:rsid w:val="005A120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12" Type="http://schemas.microsoft.com/office/2016/09/relationships/commentsIds" Target="commentsId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855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Universitätsklinikum Heidelberg</Company>
  <LinksUpToDate>false</LinksUpToDate>
  <CharactersWithSpaces>5721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Jing</dc:creator>
  <cp:lastModifiedBy>Jing</cp:lastModifiedBy>
  <cp:revision>5</cp:revision>
  <dcterms:created xsi:type="dcterms:W3CDTF">2020-07-28T10:44:00Z</dcterms:created>
  <dcterms:modified xsi:type="dcterms:W3CDTF">2020-07-28T19:28:00Z</dcterms:modified>
</cp:coreProperties>
</file>