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94EDA75" w14:textId="76D04550" w:rsidR="002F78BE" w:rsidRDefault="00BD7C77" w:rsidP="00C21769">
      <w:pPr>
        <w:pStyle w:val="SupplementaryMaterial"/>
      </w:pPr>
      <w:r w:rsidRPr="001549D3">
        <w:t>Supplementary Material</w:t>
      </w:r>
    </w:p>
    <w:p w14:paraId="588DE11D" w14:textId="37CD6CD9" w:rsidR="00C21769" w:rsidRDefault="00C21769" w:rsidP="00C21769">
      <w:pPr>
        <w:rPr>
          <w:lang w:val="en-US"/>
        </w:rPr>
      </w:pPr>
    </w:p>
    <w:p w14:paraId="4D7F87A2" w14:textId="0B432B51" w:rsidR="002F78BE" w:rsidRDefault="007D3F15" w:rsidP="007D3F15">
      <w:pPr>
        <w:spacing w:line="276" w:lineRule="auto"/>
        <w:jc w:val="both"/>
        <w:rPr>
          <w:noProof/>
        </w:rPr>
      </w:pPr>
      <w:r>
        <w:rPr>
          <w:rFonts w:asciiTheme="minorHAnsi" w:hAnsiTheme="minorHAnsi" w:cstheme="minorHAnsi"/>
          <w:b/>
          <w:bCs/>
          <w:noProof/>
        </w:rPr>
        <w:drawing>
          <wp:inline distT="0" distB="0" distL="0" distR="0" wp14:anchorId="3F5F2BCF" wp14:editId="625E37C5">
            <wp:extent cx="5334557" cy="6229350"/>
            <wp:effectExtent l="0" t="0" r="0" b="0"/>
            <wp:docPr id="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nger validation-01.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55704" cy="6254044"/>
                    </a:xfrm>
                    <a:prstGeom prst="rect">
                      <a:avLst/>
                    </a:prstGeom>
                  </pic:spPr>
                </pic:pic>
              </a:graphicData>
            </a:graphic>
          </wp:inline>
        </w:drawing>
      </w:r>
      <w:r w:rsidR="00E622CA" w:rsidRPr="00E622CA">
        <w:rPr>
          <w:b/>
          <w:bCs/>
          <w:noProof/>
        </w:rPr>
        <w:t xml:space="preserve">Supplementary Figure </w:t>
      </w:r>
      <w:r w:rsidR="00A97749">
        <w:rPr>
          <w:b/>
          <w:bCs/>
          <w:noProof/>
        </w:rPr>
        <w:t>1</w:t>
      </w:r>
      <w:r w:rsidR="002F78BE" w:rsidRPr="00E622CA">
        <w:rPr>
          <w:b/>
          <w:bCs/>
          <w:noProof/>
        </w:rPr>
        <w:t xml:space="preserve"> </w:t>
      </w:r>
      <w:r w:rsidR="007B24FB">
        <w:rPr>
          <w:noProof/>
        </w:rPr>
        <w:t>Methylation levels</w:t>
      </w:r>
      <w:r w:rsidR="002F78BE" w:rsidRPr="00E622CA">
        <w:rPr>
          <w:noProof/>
        </w:rPr>
        <w:t xml:space="preserve"> of candidate genes from </w:t>
      </w:r>
      <w:r w:rsidR="007B43E2">
        <w:rPr>
          <w:noProof/>
        </w:rPr>
        <w:t>M</w:t>
      </w:r>
      <w:r w:rsidR="002F78BE" w:rsidRPr="00E622CA">
        <w:rPr>
          <w:noProof/>
        </w:rPr>
        <w:t>ethyl</w:t>
      </w:r>
      <w:r w:rsidR="007B43E2">
        <w:rPr>
          <w:noProof/>
        </w:rPr>
        <w:t>C-seq</w:t>
      </w:r>
      <w:r w:rsidR="002F78BE" w:rsidRPr="00E622CA">
        <w:rPr>
          <w:noProof/>
        </w:rPr>
        <w:t xml:space="preserve"> as controls for methylation in dormant flower buds of </w:t>
      </w:r>
      <w:r w:rsidR="002F78BE" w:rsidRPr="00E622CA">
        <w:rPr>
          <w:i/>
          <w:iCs/>
          <w:noProof/>
        </w:rPr>
        <w:t>P. avium</w:t>
      </w:r>
      <w:r w:rsidR="002F78BE" w:rsidRPr="00E622CA">
        <w:rPr>
          <w:noProof/>
        </w:rPr>
        <w:t xml:space="preserve"> ‘Kordia’.</w:t>
      </w:r>
      <w:r w:rsidR="002F78BE" w:rsidRPr="00E622CA">
        <w:rPr>
          <w:b/>
          <w:bCs/>
          <w:noProof/>
        </w:rPr>
        <w:t xml:space="preserve"> </w:t>
      </w:r>
      <w:r w:rsidR="002F78BE" w:rsidRPr="007D3F15">
        <w:rPr>
          <w:b/>
          <w:bCs/>
          <w:noProof/>
        </w:rPr>
        <w:t>(</w:t>
      </w:r>
      <w:r w:rsidRPr="007D3F15">
        <w:rPr>
          <w:b/>
          <w:bCs/>
          <w:noProof/>
        </w:rPr>
        <w:t>A</w:t>
      </w:r>
      <w:r w:rsidR="002F78BE" w:rsidRPr="007D3F15">
        <w:rPr>
          <w:b/>
          <w:bCs/>
          <w:noProof/>
        </w:rPr>
        <w:t>)</w:t>
      </w:r>
      <w:r w:rsidR="002F78BE" w:rsidRPr="00E622CA">
        <w:rPr>
          <w:noProof/>
        </w:rPr>
        <w:t xml:space="preserve"> Seqmonk visualization of methylation in all cytosine </w:t>
      </w:r>
      <w:r w:rsidR="002F78BE" w:rsidRPr="00E622CA">
        <w:rPr>
          <w:noProof/>
          <w:color w:val="000000" w:themeColor="text1"/>
        </w:rPr>
        <w:t xml:space="preserve">context for a putative </w:t>
      </w:r>
      <w:r w:rsidR="00A26C4F" w:rsidRPr="00BC672F">
        <w:rPr>
          <w:i/>
          <w:iCs/>
          <w:noProof/>
          <w:color w:val="000000" w:themeColor="text1"/>
        </w:rPr>
        <w:t>ACTIN-BINDING COMPONENT</w:t>
      </w:r>
      <w:r w:rsidR="00A26C4F" w:rsidRPr="00E622CA">
        <w:rPr>
          <w:noProof/>
          <w:color w:val="000000" w:themeColor="text1"/>
        </w:rPr>
        <w:t xml:space="preserve"> </w:t>
      </w:r>
      <w:r w:rsidR="002F78BE" w:rsidRPr="00E622CA">
        <w:rPr>
          <w:noProof/>
          <w:color w:val="000000" w:themeColor="text1"/>
        </w:rPr>
        <w:t xml:space="preserve">that </w:t>
      </w:r>
      <w:r w:rsidR="00A26C4F">
        <w:rPr>
          <w:noProof/>
          <w:color w:val="000000" w:themeColor="text1"/>
        </w:rPr>
        <w:t>was</w:t>
      </w:r>
      <w:r w:rsidR="002F78BE" w:rsidRPr="00E622CA">
        <w:rPr>
          <w:noProof/>
          <w:color w:val="000000" w:themeColor="text1"/>
        </w:rPr>
        <w:t xml:space="preserve"> expressed </w:t>
      </w:r>
      <w:r w:rsidR="00A26C4F">
        <w:rPr>
          <w:noProof/>
          <w:color w:val="000000" w:themeColor="text1"/>
        </w:rPr>
        <w:t>with</w:t>
      </w:r>
      <w:r w:rsidR="002F78BE" w:rsidRPr="00E622CA">
        <w:rPr>
          <w:noProof/>
          <w:color w:val="000000" w:themeColor="text1"/>
        </w:rPr>
        <w:t xml:space="preserve"> </w:t>
      </w:r>
      <w:r w:rsidR="007B43E2">
        <w:rPr>
          <w:noProof/>
          <w:color w:val="000000" w:themeColor="text1"/>
        </w:rPr>
        <w:t>CH accumulation</w:t>
      </w:r>
      <w:r w:rsidR="002F78BE" w:rsidRPr="00E622CA">
        <w:rPr>
          <w:noProof/>
          <w:color w:val="000000" w:themeColor="text1"/>
        </w:rPr>
        <w:t xml:space="preserve"> (above; Pav_</w:t>
      </w:r>
      <w:r w:rsidR="002F78BE" w:rsidRPr="00E622CA">
        <w:rPr>
          <w:color w:val="000000" w:themeColor="text1"/>
        </w:rPr>
        <w:t>sc0002118.1_g070.1.mk</w:t>
      </w:r>
      <w:r w:rsidR="002F78BE" w:rsidRPr="00E622CA">
        <w:rPr>
          <w:noProof/>
          <w:color w:val="000000" w:themeColor="text1"/>
        </w:rPr>
        <w:t xml:space="preserve">) and a putative retrotransposon that </w:t>
      </w:r>
      <w:r w:rsidR="00A26C4F">
        <w:rPr>
          <w:noProof/>
          <w:color w:val="000000" w:themeColor="text1"/>
        </w:rPr>
        <w:t>was</w:t>
      </w:r>
      <w:r w:rsidR="002F78BE" w:rsidRPr="00E622CA">
        <w:rPr>
          <w:noProof/>
          <w:color w:val="000000" w:themeColor="text1"/>
        </w:rPr>
        <w:t xml:space="preserve"> silenced in all the conditions</w:t>
      </w:r>
      <w:r w:rsidR="002F78BE" w:rsidRPr="00E622CA">
        <w:rPr>
          <w:b/>
          <w:bCs/>
          <w:noProof/>
          <w:color w:val="000000" w:themeColor="text1"/>
        </w:rPr>
        <w:t xml:space="preserve"> </w:t>
      </w:r>
      <w:r w:rsidR="002F78BE" w:rsidRPr="00E622CA">
        <w:rPr>
          <w:noProof/>
          <w:color w:val="000000" w:themeColor="text1"/>
        </w:rPr>
        <w:t>(below; Pav_</w:t>
      </w:r>
      <w:r w:rsidR="002F78BE" w:rsidRPr="00E622CA">
        <w:rPr>
          <w:color w:val="000000" w:themeColor="text1"/>
        </w:rPr>
        <w:t xml:space="preserve"> sc0000224.1_g040.1.br). Methylation levels are observed as log2 enrichment in ‘Kordia’ for each chilling condition and biological replicate (R1, R2 and R3). Green color represents high levels of methylation and red show low levels. The red line indicates </w:t>
      </w:r>
      <w:r w:rsidR="00BC672F">
        <w:rPr>
          <w:color w:val="000000" w:themeColor="text1"/>
        </w:rPr>
        <w:t>the</w:t>
      </w:r>
      <w:r w:rsidR="002F78BE" w:rsidRPr="00E622CA">
        <w:rPr>
          <w:color w:val="000000" w:themeColor="text1"/>
        </w:rPr>
        <w:t xml:space="preserve"> region analyzed by Sanger bisulfite sequencing.</w:t>
      </w:r>
      <w:r w:rsidR="002F78BE" w:rsidRPr="00E622CA">
        <w:rPr>
          <w:noProof/>
          <w:color w:val="000000" w:themeColor="text1"/>
        </w:rPr>
        <w:t xml:space="preserve"> </w:t>
      </w:r>
      <w:r w:rsidR="002F78BE" w:rsidRPr="007D3F15">
        <w:rPr>
          <w:b/>
          <w:bCs/>
          <w:noProof/>
        </w:rPr>
        <w:t>(</w:t>
      </w:r>
      <w:r w:rsidRPr="007D3F15">
        <w:rPr>
          <w:b/>
          <w:bCs/>
          <w:noProof/>
        </w:rPr>
        <w:t>B</w:t>
      </w:r>
      <w:r w:rsidR="002F78BE" w:rsidRPr="007D3F15">
        <w:rPr>
          <w:b/>
          <w:bCs/>
          <w:noProof/>
        </w:rPr>
        <w:t>)</w:t>
      </w:r>
      <w:r w:rsidR="002F78BE" w:rsidRPr="00E622CA">
        <w:rPr>
          <w:noProof/>
        </w:rPr>
        <w:t xml:space="preserve"> Percentage of methylation for each cytosine (</w:t>
      </w:r>
      <w:r w:rsidR="002F78BE" w:rsidRPr="00E622CA">
        <w:rPr>
          <w:i/>
          <w:iCs/>
          <w:noProof/>
        </w:rPr>
        <w:t>Y</w:t>
      </w:r>
      <w:r w:rsidR="002F78BE" w:rsidRPr="00E622CA">
        <w:rPr>
          <w:noProof/>
        </w:rPr>
        <w:t>-ax</w:t>
      </w:r>
      <w:r>
        <w:rPr>
          <w:noProof/>
        </w:rPr>
        <w:t>i</w:t>
      </w:r>
      <w:r w:rsidR="002F78BE" w:rsidRPr="00E622CA">
        <w:rPr>
          <w:noProof/>
        </w:rPr>
        <w:t xml:space="preserve">s) and tree different contexts (CG, CHG and CHH; H = C, T or A), in a region </w:t>
      </w:r>
      <w:r w:rsidR="00F47AA9">
        <w:rPr>
          <w:noProof/>
        </w:rPr>
        <w:t>of</w:t>
      </w:r>
      <w:r w:rsidR="002F78BE" w:rsidRPr="00E622CA">
        <w:rPr>
          <w:noProof/>
        </w:rPr>
        <w:t xml:space="preserve"> </w:t>
      </w:r>
      <w:r w:rsidR="00F47AA9" w:rsidRPr="007D3F15">
        <w:rPr>
          <w:i/>
          <w:iCs/>
          <w:noProof/>
        </w:rPr>
        <w:t>ACTIN-BINDING COMPONENT</w:t>
      </w:r>
      <w:r w:rsidR="00F47AA9" w:rsidRPr="00E622CA">
        <w:rPr>
          <w:noProof/>
        </w:rPr>
        <w:t xml:space="preserve"> </w:t>
      </w:r>
      <w:r w:rsidR="002F78BE" w:rsidRPr="00E622CA">
        <w:rPr>
          <w:noProof/>
        </w:rPr>
        <w:t>(above) and a retrotransposon (below) analyzed by Sanger bisulfite sequencing</w:t>
      </w:r>
      <w:r w:rsidR="007B24FB">
        <w:rPr>
          <w:noProof/>
        </w:rPr>
        <w:t xml:space="preserve"> of ten clones per condition</w:t>
      </w:r>
      <w:r w:rsidR="002F78BE" w:rsidRPr="00E622CA">
        <w:rPr>
          <w:noProof/>
        </w:rPr>
        <w:t>.</w:t>
      </w:r>
    </w:p>
    <w:p w14:paraId="699E3270" w14:textId="03CFAA62" w:rsidR="001053A5" w:rsidRDefault="001053A5" w:rsidP="007D3F15">
      <w:pPr>
        <w:spacing w:line="276" w:lineRule="auto"/>
        <w:jc w:val="both"/>
        <w:rPr>
          <w:noProof/>
        </w:rPr>
      </w:pPr>
    </w:p>
    <w:p w14:paraId="2BEA5757" w14:textId="77777777" w:rsidR="001053A5" w:rsidRDefault="001053A5" w:rsidP="007D3F15">
      <w:pPr>
        <w:spacing w:line="276" w:lineRule="auto"/>
        <w:jc w:val="both"/>
        <w:rPr>
          <w:noProof/>
        </w:rPr>
      </w:pPr>
    </w:p>
    <w:p w14:paraId="6B91FE8B" w14:textId="0BC1F56A" w:rsidR="002F7E4D" w:rsidRDefault="00E8759A" w:rsidP="002F7E4D">
      <w:pPr>
        <w:widowControl w:val="0"/>
        <w:autoSpaceDE w:val="0"/>
        <w:autoSpaceDN w:val="0"/>
        <w:adjustRightInd w:val="0"/>
        <w:spacing w:line="360" w:lineRule="auto"/>
        <w:jc w:val="center"/>
        <w:rPr>
          <w:rFonts w:asciiTheme="minorHAnsi" w:hAnsiTheme="minorHAnsi" w:cstheme="minorHAnsi"/>
          <w:b/>
        </w:rPr>
      </w:pPr>
      <w:r>
        <w:rPr>
          <w:rFonts w:asciiTheme="minorHAnsi" w:hAnsiTheme="minorHAnsi" w:cstheme="minorHAnsi"/>
          <w:b/>
          <w:noProof/>
        </w:rPr>
        <w:drawing>
          <wp:inline distT="0" distB="0" distL="0" distR="0" wp14:anchorId="2AF0A00D" wp14:editId="5168C00B">
            <wp:extent cx="3361765" cy="3096703"/>
            <wp:effectExtent l="0" t="0" r="3810" b="2540"/>
            <wp:docPr id="11" name="Picture 11"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oyal_controles-01.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82002" cy="3115345"/>
                    </a:xfrm>
                    <a:prstGeom prst="rect">
                      <a:avLst/>
                    </a:prstGeom>
                  </pic:spPr>
                </pic:pic>
              </a:graphicData>
            </a:graphic>
          </wp:inline>
        </w:drawing>
      </w:r>
    </w:p>
    <w:p w14:paraId="1FE358D1" w14:textId="6E549142" w:rsidR="002F7E4D" w:rsidRPr="00E622CA" w:rsidRDefault="00E622CA" w:rsidP="00E622CA">
      <w:pPr>
        <w:spacing w:line="276" w:lineRule="auto"/>
        <w:jc w:val="both"/>
        <w:rPr>
          <w:noProof/>
        </w:rPr>
      </w:pPr>
      <w:r w:rsidRPr="00E622CA">
        <w:rPr>
          <w:b/>
          <w:bCs/>
          <w:noProof/>
        </w:rPr>
        <w:t xml:space="preserve">Supplementary Figure </w:t>
      </w:r>
      <w:r w:rsidR="007E4FD6">
        <w:rPr>
          <w:b/>
          <w:bCs/>
        </w:rPr>
        <w:t>2</w:t>
      </w:r>
      <w:r w:rsidR="002F7E4D" w:rsidRPr="00E622CA">
        <w:rPr>
          <w:b/>
          <w:bCs/>
        </w:rPr>
        <w:t xml:space="preserve"> </w:t>
      </w:r>
      <w:r w:rsidR="007B24FB" w:rsidRPr="007B24FB">
        <w:t>Methylation levels of</w:t>
      </w:r>
      <w:r w:rsidR="007B24FB">
        <w:rPr>
          <w:b/>
          <w:bCs/>
        </w:rPr>
        <w:t xml:space="preserve"> </w:t>
      </w:r>
      <w:r w:rsidR="007B24FB">
        <w:rPr>
          <w:noProof/>
        </w:rPr>
        <w:t>c</w:t>
      </w:r>
      <w:r w:rsidR="002F7E4D" w:rsidRPr="00E622CA">
        <w:rPr>
          <w:noProof/>
        </w:rPr>
        <w:t xml:space="preserve">andidate genes from the methylome as controls for methylation in dormant flower buds of </w:t>
      </w:r>
      <w:r w:rsidR="002F7E4D" w:rsidRPr="00E622CA">
        <w:rPr>
          <w:i/>
          <w:iCs/>
          <w:noProof/>
        </w:rPr>
        <w:t>P.avium</w:t>
      </w:r>
      <w:r w:rsidR="002F7E4D" w:rsidRPr="00E622CA">
        <w:rPr>
          <w:noProof/>
        </w:rPr>
        <w:t xml:space="preserve"> ‘Royal Dawn’. Percentage of methylation of each cytosine (</w:t>
      </w:r>
      <w:r w:rsidR="002F7E4D" w:rsidRPr="00E622CA">
        <w:rPr>
          <w:i/>
          <w:iCs/>
          <w:noProof/>
        </w:rPr>
        <w:t>Y</w:t>
      </w:r>
      <w:r w:rsidR="002F7E4D" w:rsidRPr="00E622CA">
        <w:rPr>
          <w:noProof/>
        </w:rPr>
        <w:t>-ax</w:t>
      </w:r>
      <w:r w:rsidR="007D3F15">
        <w:rPr>
          <w:noProof/>
        </w:rPr>
        <w:t>i</w:t>
      </w:r>
      <w:r w:rsidR="002F7E4D" w:rsidRPr="00E622CA">
        <w:rPr>
          <w:noProof/>
        </w:rPr>
        <w:t xml:space="preserve">s) for tree different contexts (CG, CHG and CHH; H = C, T or A) in a region analyzed by Sanger bisulfite sequencing of 10 clones. </w:t>
      </w:r>
      <w:r w:rsidR="002F7E4D" w:rsidRPr="007D3F15">
        <w:rPr>
          <w:b/>
          <w:bCs/>
          <w:noProof/>
        </w:rPr>
        <w:t>(</w:t>
      </w:r>
      <w:r w:rsidR="007D3F15" w:rsidRPr="007D3F15">
        <w:rPr>
          <w:b/>
          <w:bCs/>
          <w:noProof/>
        </w:rPr>
        <w:t>A</w:t>
      </w:r>
      <w:r w:rsidR="002F7E4D" w:rsidRPr="007D3F15">
        <w:rPr>
          <w:b/>
          <w:bCs/>
          <w:noProof/>
        </w:rPr>
        <w:t>)</w:t>
      </w:r>
      <w:r w:rsidR="002F7E4D" w:rsidRPr="00E622CA">
        <w:rPr>
          <w:noProof/>
        </w:rPr>
        <w:t xml:space="preserve"> </w:t>
      </w:r>
      <w:r w:rsidR="00BC672F">
        <w:rPr>
          <w:noProof/>
        </w:rPr>
        <w:t>P</w:t>
      </w:r>
      <w:r w:rsidR="002F7E4D" w:rsidRPr="00E622CA">
        <w:rPr>
          <w:noProof/>
        </w:rPr>
        <w:t xml:space="preserve">utative </w:t>
      </w:r>
      <w:r w:rsidR="00F47AA9" w:rsidRPr="00E5046A">
        <w:rPr>
          <w:i/>
          <w:iCs/>
          <w:noProof/>
        </w:rPr>
        <w:t>ACTIN-BINDING COMPONENT</w:t>
      </w:r>
      <w:r w:rsidR="00F47AA9" w:rsidRPr="00E622CA">
        <w:rPr>
          <w:noProof/>
        </w:rPr>
        <w:t xml:space="preserve"> </w:t>
      </w:r>
      <w:r w:rsidR="002F7E4D" w:rsidRPr="00E622CA">
        <w:rPr>
          <w:noProof/>
        </w:rPr>
        <w:t>(</w:t>
      </w:r>
      <w:r w:rsidR="002F7E4D" w:rsidRPr="00E622CA">
        <w:rPr>
          <w:noProof/>
          <w:color w:val="000000" w:themeColor="text1"/>
        </w:rPr>
        <w:t>Pav_</w:t>
      </w:r>
      <w:r w:rsidR="002F7E4D" w:rsidRPr="00E622CA">
        <w:rPr>
          <w:color w:val="000000" w:themeColor="text1"/>
        </w:rPr>
        <w:t>sc0002118.1_g070.1.mk</w:t>
      </w:r>
      <w:r w:rsidR="002F7E4D" w:rsidRPr="00E622CA">
        <w:rPr>
          <w:noProof/>
        </w:rPr>
        <w:t xml:space="preserve">) </w:t>
      </w:r>
      <w:r w:rsidR="002F7E4D" w:rsidRPr="00E5046A">
        <w:rPr>
          <w:b/>
          <w:bCs/>
          <w:noProof/>
        </w:rPr>
        <w:t>(</w:t>
      </w:r>
      <w:r w:rsidR="00E5046A" w:rsidRPr="00E5046A">
        <w:rPr>
          <w:b/>
          <w:bCs/>
          <w:noProof/>
        </w:rPr>
        <w:t>B</w:t>
      </w:r>
      <w:r w:rsidR="002F7E4D" w:rsidRPr="00E5046A">
        <w:rPr>
          <w:b/>
          <w:bCs/>
          <w:noProof/>
        </w:rPr>
        <w:t>)</w:t>
      </w:r>
      <w:r w:rsidR="002F7E4D" w:rsidRPr="00E622CA">
        <w:rPr>
          <w:noProof/>
        </w:rPr>
        <w:t xml:space="preserve"> Retrotransposon (</w:t>
      </w:r>
      <w:r w:rsidR="002F7E4D" w:rsidRPr="00E622CA">
        <w:rPr>
          <w:noProof/>
          <w:color w:val="000000" w:themeColor="text1"/>
        </w:rPr>
        <w:t>Pav_</w:t>
      </w:r>
      <w:r w:rsidR="002F7E4D" w:rsidRPr="00E622CA">
        <w:rPr>
          <w:color w:val="000000" w:themeColor="text1"/>
        </w:rPr>
        <w:t xml:space="preserve"> sc0000224.1_g040.1.br</w:t>
      </w:r>
      <w:r w:rsidR="002F7E4D" w:rsidRPr="00E622CA">
        <w:rPr>
          <w:noProof/>
        </w:rPr>
        <w:t>).</w:t>
      </w:r>
    </w:p>
    <w:p w14:paraId="27E4849F" w14:textId="04C07CE4" w:rsidR="002F7E4D" w:rsidRDefault="002F7E4D" w:rsidP="002F7E4D">
      <w:pPr>
        <w:spacing w:line="360" w:lineRule="auto"/>
        <w:jc w:val="both"/>
        <w:rPr>
          <w:rFonts w:ascii="Helvetica Neue" w:hAnsi="Helvetica Neue"/>
          <w:noProof/>
        </w:rPr>
      </w:pPr>
    </w:p>
    <w:p w14:paraId="6783E1FC" w14:textId="4981725D" w:rsidR="002F7E4D" w:rsidRDefault="002F7E4D" w:rsidP="002F7E4D">
      <w:pPr>
        <w:spacing w:line="360" w:lineRule="auto"/>
        <w:jc w:val="both"/>
        <w:rPr>
          <w:rFonts w:ascii="Helvetica Neue" w:hAnsi="Helvetica Neue"/>
          <w:noProof/>
        </w:rPr>
      </w:pPr>
    </w:p>
    <w:p w14:paraId="060D3042" w14:textId="4300F89E" w:rsidR="002F7E4D" w:rsidRDefault="002F7E4D" w:rsidP="002F7E4D">
      <w:pPr>
        <w:spacing w:line="360" w:lineRule="auto"/>
        <w:jc w:val="both"/>
        <w:rPr>
          <w:rFonts w:ascii="Helvetica Neue" w:hAnsi="Helvetica Neue"/>
          <w:noProof/>
        </w:rPr>
      </w:pPr>
    </w:p>
    <w:p w14:paraId="174E986C" w14:textId="6A1B3EE2" w:rsidR="002F7E4D" w:rsidRDefault="002F7E4D" w:rsidP="002F7E4D">
      <w:pPr>
        <w:spacing w:line="360" w:lineRule="auto"/>
        <w:jc w:val="both"/>
        <w:rPr>
          <w:rFonts w:ascii="Helvetica Neue" w:hAnsi="Helvetica Neue"/>
          <w:noProof/>
        </w:rPr>
      </w:pPr>
    </w:p>
    <w:p w14:paraId="3248443C" w14:textId="7991AB33" w:rsidR="002F7E4D" w:rsidRDefault="002F7E4D" w:rsidP="002F7E4D">
      <w:pPr>
        <w:spacing w:line="360" w:lineRule="auto"/>
        <w:jc w:val="both"/>
        <w:rPr>
          <w:rFonts w:ascii="Helvetica Neue" w:hAnsi="Helvetica Neue"/>
          <w:noProof/>
        </w:rPr>
      </w:pPr>
    </w:p>
    <w:p w14:paraId="2C894BFF" w14:textId="62E3866A" w:rsidR="002F7E4D" w:rsidRDefault="002F7E4D" w:rsidP="002F7E4D">
      <w:pPr>
        <w:spacing w:line="360" w:lineRule="auto"/>
        <w:rPr>
          <w:rFonts w:asciiTheme="minorHAnsi" w:hAnsiTheme="minorHAnsi" w:cstheme="minorHAnsi"/>
          <w:b/>
          <w:bCs/>
        </w:rPr>
      </w:pPr>
    </w:p>
    <w:p w14:paraId="7A9AF8B7" w14:textId="68754E73" w:rsidR="002F7E4D" w:rsidRDefault="00BE5175" w:rsidP="002F7E4D">
      <w:pPr>
        <w:spacing w:line="360" w:lineRule="auto"/>
        <w:jc w:val="center"/>
        <w:rPr>
          <w:rFonts w:ascii="Helvetica Neue" w:hAnsi="Helvetica Neue"/>
          <w:noProof/>
        </w:rPr>
      </w:pPr>
      <w:r>
        <w:rPr>
          <w:rFonts w:ascii="Helvetica Neue" w:hAnsi="Helvetica Neue"/>
          <w:noProof/>
        </w:rPr>
        <w:lastRenderedPageBreak/>
        <w:drawing>
          <wp:inline distT="0" distB="0" distL="0" distR="0" wp14:anchorId="774F8038" wp14:editId="7D224B12">
            <wp:extent cx="5943600" cy="7382510"/>
            <wp:effectExtent l="0" t="0" r="0" b="0"/>
            <wp:docPr id="15" name="Picture 1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MR22-01.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382510"/>
                    </a:xfrm>
                    <a:prstGeom prst="rect">
                      <a:avLst/>
                    </a:prstGeom>
                  </pic:spPr>
                </pic:pic>
              </a:graphicData>
            </a:graphic>
          </wp:inline>
        </w:drawing>
      </w:r>
    </w:p>
    <w:p w14:paraId="39A18273" w14:textId="1F91B8F4" w:rsidR="002F7E4D" w:rsidRPr="00E622CA" w:rsidRDefault="00E622CA" w:rsidP="00E622CA">
      <w:pPr>
        <w:spacing w:line="276" w:lineRule="auto"/>
        <w:jc w:val="both"/>
        <w:rPr>
          <w:color w:val="000000" w:themeColor="text1"/>
        </w:rPr>
      </w:pPr>
      <w:r w:rsidRPr="00E622CA">
        <w:rPr>
          <w:b/>
          <w:bCs/>
          <w:noProof/>
        </w:rPr>
        <w:t xml:space="preserve">Supplementary Figure </w:t>
      </w:r>
      <w:r w:rsidR="007E4FD6">
        <w:rPr>
          <w:b/>
          <w:bCs/>
        </w:rPr>
        <w:t>3</w:t>
      </w:r>
      <w:r w:rsidR="002F7E4D" w:rsidRPr="00E622CA">
        <w:t xml:space="preserve"> </w:t>
      </w:r>
      <w:r w:rsidR="007B24FB">
        <w:t>Methylation levels from</w:t>
      </w:r>
      <w:r w:rsidR="002F7E4D" w:rsidRPr="00E622CA">
        <w:t xml:space="preserve"> </w:t>
      </w:r>
      <w:r w:rsidR="007E06AA">
        <w:t xml:space="preserve">a </w:t>
      </w:r>
      <w:r w:rsidR="002F7E4D" w:rsidRPr="00E622CA">
        <w:t xml:space="preserve">candidate DMR </w:t>
      </w:r>
      <w:r w:rsidR="007E06AA">
        <w:t>close to</w:t>
      </w:r>
      <w:r w:rsidR="002F7E4D" w:rsidRPr="00E622CA">
        <w:t xml:space="preserve"> </w:t>
      </w:r>
      <w:r w:rsidR="007E06AA">
        <w:t xml:space="preserve">a </w:t>
      </w:r>
      <w:r w:rsidR="007E06AA" w:rsidRPr="00BA4788">
        <w:rPr>
          <w:i/>
          <w:iCs/>
        </w:rPr>
        <w:t>NADPH-</w:t>
      </w:r>
      <w:r w:rsidR="003D717D" w:rsidRPr="00BA4788">
        <w:rPr>
          <w:i/>
          <w:iCs/>
        </w:rPr>
        <w:t>DEPENDENT OXIDOREDUCTASE 2-ALKENAL</w:t>
      </w:r>
      <w:r w:rsidR="003D717D">
        <w:t xml:space="preserve"> </w:t>
      </w:r>
      <w:r w:rsidR="007E06AA">
        <w:t>gene</w:t>
      </w:r>
      <w:r w:rsidR="002F7E4D" w:rsidRPr="00E622CA">
        <w:t xml:space="preserve"> by Amplicon </w:t>
      </w:r>
      <w:r w:rsidR="00F142BF" w:rsidRPr="00E622CA">
        <w:t>B</w:t>
      </w:r>
      <w:r w:rsidR="002F7E4D" w:rsidRPr="00E622CA">
        <w:t xml:space="preserve">isulfite </w:t>
      </w:r>
      <w:r w:rsidR="00F142BF" w:rsidRPr="00E622CA">
        <w:t>S</w:t>
      </w:r>
      <w:r w:rsidR="002F7E4D" w:rsidRPr="00E622CA">
        <w:t>equencing</w:t>
      </w:r>
      <w:r w:rsidR="007E06AA">
        <w:t xml:space="preserve"> (ABS)</w:t>
      </w:r>
      <w:r w:rsidR="002F7E4D" w:rsidRPr="00E622CA">
        <w:t>.</w:t>
      </w:r>
      <w:r w:rsidR="002F7E4D" w:rsidRPr="00E622CA">
        <w:rPr>
          <w:b/>
          <w:bCs/>
        </w:rPr>
        <w:t xml:space="preserve"> </w:t>
      </w:r>
      <w:r w:rsidR="007E06AA">
        <w:rPr>
          <w:b/>
          <w:bCs/>
        </w:rPr>
        <w:t xml:space="preserve">(A) </w:t>
      </w:r>
      <w:r w:rsidR="007E06AA">
        <w:t xml:space="preserve">Enrichment of DNA methylation in all cytosine contexts by </w:t>
      </w:r>
      <w:proofErr w:type="spellStart"/>
      <w:r w:rsidR="007E06AA">
        <w:t>MethylC</w:t>
      </w:r>
      <w:proofErr w:type="spellEnd"/>
      <w:r w:rsidR="007E06AA">
        <w:t xml:space="preserve">-seq in ‘Royal Dawn’ and ‘Kordia. </w:t>
      </w:r>
      <w:r w:rsidR="007E06AA" w:rsidRPr="00E622CA">
        <w:rPr>
          <w:color w:val="000000" w:themeColor="text1"/>
        </w:rPr>
        <w:t xml:space="preserve">Green color represents high levels of methylation and red show low levels. The red </w:t>
      </w:r>
      <w:r w:rsidR="007E06AA">
        <w:rPr>
          <w:color w:val="000000" w:themeColor="text1"/>
        </w:rPr>
        <w:t xml:space="preserve">square </w:t>
      </w:r>
      <w:r w:rsidR="007E06AA" w:rsidRPr="00E622CA">
        <w:rPr>
          <w:color w:val="000000" w:themeColor="text1"/>
        </w:rPr>
        <w:t>indicates a region</w:t>
      </w:r>
      <w:r w:rsidR="00BA4788">
        <w:rPr>
          <w:color w:val="000000" w:themeColor="text1"/>
        </w:rPr>
        <w:t xml:space="preserve"> of 180 bp</w:t>
      </w:r>
      <w:r w:rsidR="007E06AA" w:rsidRPr="00E622CA">
        <w:rPr>
          <w:color w:val="000000" w:themeColor="text1"/>
        </w:rPr>
        <w:t xml:space="preserve"> analyzed by</w:t>
      </w:r>
      <w:r w:rsidR="007E06AA">
        <w:rPr>
          <w:color w:val="000000" w:themeColor="text1"/>
        </w:rPr>
        <w:t xml:space="preserve"> ABS</w:t>
      </w:r>
      <w:r w:rsidR="007E06AA" w:rsidRPr="00E622CA">
        <w:rPr>
          <w:color w:val="000000" w:themeColor="text1"/>
        </w:rPr>
        <w:t>.</w:t>
      </w:r>
      <w:r w:rsidR="00BA4788">
        <w:rPr>
          <w:color w:val="000000" w:themeColor="text1"/>
        </w:rPr>
        <w:t xml:space="preserve"> </w:t>
      </w:r>
      <w:r w:rsidR="00BA4788" w:rsidRPr="00BA4788">
        <w:rPr>
          <w:b/>
          <w:bCs/>
          <w:color w:val="000000" w:themeColor="text1"/>
        </w:rPr>
        <w:t>(B)</w:t>
      </w:r>
      <w:r w:rsidR="00BA4788">
        <w:rPr>
          <w:color w:val="000000" w:themeColor="text1"/>
        </w:rPr>
        <w:t xml:space="preserve"> </w:t>
      </w:r>
      <w:r w:rsidR="00BA4788">
        <w:t>Percentage</w:t>
      </w:r>
      <w:r w:rsidR="002F7E4D" w:rsidRPr="00E622CA">
        <w:rPr>
          <w:color w:val="000000" w:themeColor="text1"/>
        </w:rPr>
        <w:t xml:space="preserve"> of DNA methylation </w:t>
      </w:r>
      <w:r w:rsidR="00BA4788">
        <w:rPr>
          <w:color w:val="000000" w:themeColor="text1"/>
        </w:rPr>
        <w:t xml:space="preserve">obtained from ABS </w:t>
      </w:r>
      <w:r w:rsidR="001053A5">
        <w:rPr>
          <w:color w:val="000000" w:themeColor="text1"/>
        </w:rPr>
        <w:t>of</w:t>
      </w:r>
      <w:r w:rsidR="00BA4788">
        <w:rPr>
          <w:color w:val="000000" w:themeColor="text1"/>
        </w:rPr>
        <w:t xml:space="preserve"> the</w:t>
      </w:r>
      <w:r w:rsidR="002F7E4D" w:rsidRPr="00E622CA">
        <w:rPr>
          <w:color w:val="000000" w:themeColor="text1"/>
        </w:rPr>
        <w:t xml:space="preserve"> DMR </w:t>
      </w:r>
      <w:r w:rsidR="00BA4788">
        <w:rPr>
          <w:color w:val="000000" w:themeColor="text1"/>
        </w:rPr>
        <w:t xml:space="preserve">in ‘Royal Dawn’ for two consecutive seasons and ‘Kordia’. </w:t>
      </w:r>
      <w:r w:rsidR="00BA4788" w:rsidRPr="00BA4788">
        <w:rPr>
          <w:b/>
          <w:bCs/>
          <w:color w:val="000000" w:themeColor="text1"/>
        </w:rPr>
        <w:t>(C)</w:t>
      </w:r>
      <w:r w:rsidR="00BA4788">
        <w:rPr>
          <w:color w:val="000000" w:themeColor="text1"/>
        </w:rPr>
        <w:t xml:space="preserve"> Transcript level of </w:t>
      </w:r>
      <w:r w:rsidR="00BA4788" w:rsidRPr="00BA4788">
        <w:rPr>
          <w:i/>
          <w:iCs/>
          <w:color w:val="000000" w:themeColor="text1"/>
        </w:rPr>
        <w:t>2-</w:t>
      </w:r>
      <w:r w:rsidR="007B24FB" w:rsidRPr="00BA4788">
        <w:rPr>
          <w:i/>
          <w:iCs/>
          <w:color w:val="000000" w:themeColor="text1"/>
        </w:rPr>
        <w:t>ALKENAL REDUCTASE NADPH-DEPENDENT</w:t>
      </w:r>
      <w:r w:rsidR="007B24FB">
        <w:rPr>
          <w:color w:val="000000" w:themeColor="text1"/>
        </w:rPr>
        <w:t xml:space="preserve"> gene </w:t>
      </w:r>
      <w:r w:rsidR="00BA4788" w:rsidRPr="00BA4788">
        <w:rPr>
          <w:color w:val="000000" w:themeColor="text1"/>
        </w:rPr>
        <w:t>(Pav_</w:t>
      </w:r>
      <w:r w:rsidR="00BA4788" w:rsidRPr="00BA4788">
        <w:rPr>
          <w:color w:val="000000" w:themeColor="text1"/>
          <w:lang w:val="en-US"/>
        </w:rPr>
        <w:t xml:space="preserve"> sc0001472.1_g110.1.mk</w:t>
      </w:r>
      <w:r w:rsidR="00BA4788">
        <w:rPr>
          <w:color w:val="000000" w:themeColor="text1"/>
          <w:lang w:val="en-US"/>
        </w:rPr>
        <w:t>) from RNA-seq data normalized as trimmed mean of M-values (TMM).</w:t>
      </w:r>
    </w:p>
    <w:p w14:paraId="34E2518A" w14:textId="6F0DAC11" w:rsidR="00433229" w:rsidRDefault="00433229" w:rsidP="00886B4B">
      <w:pPr>
        <w:spacing w:line="276" w:lineRule="auto"/>
        <w:jc w:val="both"/>
        <w:rPr>
          <w:rFonts w:ascii="Helvetica Neue" w:hAnsi="Helvetica Neue"/>
          <w:b/>
          <w:bCs/>
          <w:noProof/>
        </w:rPr>
      </w:pPr>
    </w:p>
    <w:p w14:paraId="68596334" w14:textId="0BF170C1" w:rsidR="00433229" w:rsidRDefault="00433229" w:rsidP="00886B4B">
      <w:pPr>
        <w:spacing w:line="276" w:lineRule="auto"/>
        <w:jc w:val="both"/>
        <w:rPr>
          <w:rFonts w:ascii="Helvetica Neue" w:hAnsi="Helvetica Neue"/>
          <w:b/>
          <w:bCs/>
          <w:noProof/>
        </w:rPr>
      </w:pPr>
    </w:p>
    <w:p w14:paraId="076387EF" w14:textId="77777777" w:rsidR="001D44B0" w:rsidRDefault="001D44B0" w:rsidP="009659FE">
      <w:pPr>
        <w:spacing w:line="276" w:lineRule="auto"/>
        <w:ind w:left="-142" w:hanging="284"/>
        <w:jc w:val="center"/>
        <w:rPr>
          <w:rFonts w:ascii="Helvetica Neue" w:hAnsi="Helvetica Neue"/>
          <w:b/>
          <w:bCs/>
          <w:noProof/>
        </w:rPr>
      </w:pPr>
      <w:r>
        <w:rPr>
          <w:rFonts w:ascii="Helvetica Neue" w:hAnsi="Helvetica Neue"/>
          <w:b/>
          <w:bCs/>
          <w:noProof/>
        </w:rPr>
        <w:drawing>
          <wp:inline distT="0" distB="0" distL="0" distR="0" wp14:anchorId="2E826145" wp14:editId="5ADA5913">
            <wp:extent cx="6964215" cy="5217459"/>
            <wp:effectExtent l="0" t="0" r="0" b="2540"/>
            <wp:docPr id="18" name="Picture 1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ubclusters-01.tif"/>
                    <pic:cNvPicPr/>
                  </pic:nvPicPr>
                  <pic:blipFill rotWithShape="1">
                    <a:blip r:embed="rId11" cstate="print">
                      <a:extLst>
                        <a:ext uri="{28A0092B-C50C-407E-A947-70E740481C1C}">
                          <a14:useLocalDpi xmlns:a14="http://schemas.microsoft.com/office/drawing/2010/main" val="0"/>
                        </a:ext>
                      </a:extLst>
                    </a:blip>
                    <a:srcRect r="1695" b="1795"/>
                    <a:stretch/>
                  </pic:blipFill>
                  <pic:spPr bwMode="auto">
                    <a:xfrm>
                      <a:off x="0" y="0"/>
                      <a:ext cx="6989109" cy="5236109"/>
                    </a:xfrm>
                    <a:prstGeom prst="rect">
                      <a:avLst/>
                    </a:prstGeom>
                    <a:ln>
                      <a:noFill/>
                    </a:ln>
                    <a:extLst>
                      <a:ext uri="{53640926-AAD7-44D8-BBD7-CCE9431645EC}">
                        <a14:shadowObscured xmlns:a14="http://schemas.microsoft.com/office/drawing/2010/main"/>
                      </a:ext>
                    </a:extLst>
                  </pic:spPr>
                </pic:pic>
              </a:graphicData>
            </a:graphic>
          </wp:inline>
        </w:drawing>
      </w:r>
    </w:p>
    <w:p w14:paraId="10628483" w14:textId="57055FBA" w:rsidR="001D44B0" w:rsidRPr="00312AC7" w:rsidRDefault="001D44B0" w:rsidP="001D44B0">
      <w:pPr>
        <w:spacing w:line="276" w:lineRule="auto"/>
        <w:jc w:val="both"/>
        <w:rPr>
          <w:rFonts w:asciiTheme="minorHAnsi" w:hAnsiTheme="minorHAnsi" w:cstheme="minorHAnsi"/>
          <w:bCs/>
        </w:rPr>
      </w:pPr>
      <w:r w:rsidRPr="00E622CA">
        <w:rPr>
          <w:b/>
          <w:bCs/>
          <w:noProof/>
        </w:rPr>
        <w:t xml:space="preserve">Supplementary Figure </w:t>
      </w:r>
      <w:r w:rsidR="00CE4BCF">
        <w:rPr>
          <w:b/>
          <w:bCs/>
        </w:rPr>
        <w:t>4</w:t>
      </w:r>
      <w:r>
        <w:rPr>
          <w:b/>
          <w:bCs/>
        </w:rPr>
        <w:t xml:space="preserve"> </w:t>
      </w:r>
      <w:r>
        <w:rPr>
          <w:bCs/>
        </w:rPr>
        <w:t xml:space="preserve">Profile of </w:t>
      </w:r>
      <w:proofErr w:type="spellStart"/>
      <w:r>
        <w:rPr>
          <w:bCs/>
        </w:rPr>
        <w:t>subclusters</w:t>
      </w:r>
      <w:proofErr w:type="spellEnd"/>
      <w:r>
        <w:rPr>
          <w:bCs/>
        </w:rPr>
        <w:t xml:space="preserve"> representing the average expression from differentially expressed genes (DEGs). </w:t>
      </w:r>
      <w:r w:rsidRPr="00BC672F">
        <w:rPr>
          <w:b/>
        </w:rPr>
        <w:t>(A)</w:t>
      </w:r>
      <w:r>
        <w:rPr>
          <w:bCs/>
        </w:rPr>
        <w:t xml:space="preserve"> Expression profile of </w:t>
      </w:r>
      <w:r w:rsidR="00F47AA9">
        <w:rPr>
          <w:bCs/>
        </w:rPr>
        <w:t xml:space="preserve">overall genes </w:t>
      </w:r>
      <w:r>
        <w:rPr>
          <w:bCs/>
        </w:rPr>
        <w:t xml:space="preserve">in ‘Royal Dawn’. </w:t>
      </w:r>
      <w:r w:rsidRPr="00BC672F">
        <w:rPr>
          <w:b/>
        </w:rPr>
        <w:t>(B)</w:t>
      </w:r>
      <w:r>
        <w:rPr>
          <w:bCs/>
        </w:rPr>
        <w:t xml:space="preserve"> </w:t>
      </w:r>
      <w:r w:rsidR="00F47AA9">
        <w:rPr>
          <w:bCs/>
        </w:rPr>
        <w:t>Overall gene e</w:t>
      </w:r>
      <w:r>
        <w:rPr>
          <w:bCs/>
        </w:rPr>
        <w:t>xpression profile in ‘Kordia’.</w:t>
      </w:r>
    </w:p>
    <w:p w14:paraId="2F20A0F4" w14:textId="77777777" w:rsidR="001D44B0" w:rsidRDefault="001D44B0" w:rsidP="001D44B0">
      <w:pPr>
        <w:spacing w:line="360" w:lineRule="auto"/>
        <w:jc w:val="center"/>
        <w:rPr>
          <w:rFonts w:ascii="Helvetica Neue" w:hAnsi="Helvetica Neue"/>
          <w:b/>
          <w:bCs/>
        </w:rPr>
      </w:pPr>
      <w:r>
        <w:rPr>
          <w:rFonts w:ascii="Helvetica Neue" w:hAnsi="Helvetica Neue"/>
          <w:b/>
          <w:bCs/>
          <w:noProof/>
        </w:rPr>
        <w:lastRenderedPageBreak/>
        <w:drawing>
          <wp:inline distT="0" distB="0" distL="0" distR="0" wp14:anchorId="46A0D878" wp14:editId="239D5B26">
            <wp:extent cx="5943600" cy="7083425"/>
            <wp:effectExtent l="0" t="0" r="0" b="3175"/>
            <wp:docPr id="20" name="Picture 2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qPCR analysis_Mesa de trabajo 1.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083425"/>
                    </a:xfrm>
                    <a:prstGeom prst="rect">
                      <a:avLst/>
                    </a:prstGeom>
                  </pic:spPr>
                </pic:pic>
              </a:graphicData>
            </a:graphic>
          </wp:inline>
        </w:drawing>
      </w:r>
    </w:p>
    <w:p w14:paraId="11CB7DAC" w14:textId="453D836C" w:rsidR="001D44B0" w:rsidRDefault="001D44B0" w:rsidP="001D44B0">
      <w:pPr>
        <w:spacing w:line="276" w:lineRule="auto"/>
        <w:ind w:right="4"/>
        <w:jc w:val="both"/>
      </w:pPr>
      <w:r w:rsidRPr="00E622CA">
        <w:rPr>
          <w:b/>
          <w:bCs/>
          <w:noProof/>
        </w:rPr>
        <w:t xml:space="preserve">Supplementary Figure </w:t>
      </w:r>
      <w:r w:rsidR="00CD3AF8">
        <w:rPr>
          <w:b/>
          <w:bCs/>
        </w:rPr>
        <w:t>5</w:t>
      </w:r>
      <w:r w:rsidRPr="00E622CA">
        <w:t xml:space="preserve"> </w:t>
      </w:r>
      <w:r w:rsidR="007B24FB">
        <w:t>Expression</w:t>
      </w:r>
      <w:r w:rsidRPr="00E622CA">
        <w:rPr>
          <w:color w:val="000000" w:themeColor="text1"/>
        </w:rPr>
        <w:t xml:space="preserve"> levels </w:t>
      </w:r>
      <w:r w:rsidR="007B24FB">
        <w:rPr>
          <w:color w:val="000000" w:themeColor="text1"/>
        </w:rPr>
        <w:t xml:space="preserve">by RNA-seq and qPCR </w:t>
      </w:r>
      <w:r w:rsidRPr="00E622CA">
        <w:rPr>
          <w:color w:val="000000" w:themeColor="text1"/>
        </w:rPr>
        <w:t xml:space="preserve">during chilling accumulation in sweet cherry floral buds. </w:t>
      </w:r>
      <w:r w:rsidRPr="006C28C4">
        <w:rPr>
          <w:b/>
          <w:bCs/>
          <w:color w:val="000000" w:themeColor="text1"/>
        </w:rPr>
        <w:t>(A)</w:t>
      </w:r>
      <w:r w:rsidRPr="00E622CA">
        <w:rPr>
          <w:color w:val="000000" w:themeColor="text1"/>
        </w:rPr>
        <w:t xml:space="preserve"> Expression levels of </w:t>
      </w:r>
      <w:r w:rsidRPr="00E622CA">
        <w:rPr>
          <w:i/>
          <w:iCs/>
        </w:rPr>
        <w:t xml:space="preserve">AMSH-like </w:t>
      </w:r>
      <w:r w:rsidRPr="00E622CA">
        <w:rPr>
          <w:color w:val="000000" w:themeColor="text1"/>
        </w:rPr>
        <w:t xml:space="preserve">(Pav_sc0001014.1_g060.1.mk), </w:t>
      </w:r>
      <w:r w:rsidR="003D717D" w:rsidRPr="00E622CA">
        <w:rPr>
          <w:i/>
          <w:iCs/>
          <w:color w:val="000000" w:themeColor="text1"/>
        </w:rPr>
        <w:t xml:space="preserve">FLOWERING LOCUS </w:t>
      </w:r>
      <w:r w:rsidRPr="00E622CA">
        <w:rPr>
          <w:i/>
          <w:iCs/>
          <w:color w:val="000000" w:themeColor="text1"/>
        </w:rPr>
        <w:t>T</w:t>
      </w:r>
      <w:r w:rsidRPr="00E622CA">
        <w:rPr>
          <w:color w:val="000000" w:themeColor="text1"/>
        </w:rPr>
        <w:t xml:space="preserve"> (Pav_sc0001774.1_g100.1.mk), </w:t>
      </w:r>
      <w:proofErr w:type="spellStart"/>
      <w:r w:rsidRPr="00E622CA">
        <w:rPr>
          <w:i/>
          <w:iCs/>
          <w:color w:val="000000" w:themeColor="text1"/>
        </w:rPr>
        <w:t>Pav</w:t>
      </w:r>
      <w:r w:rsidR="00F47AA9" w:rsidRPr="00E622CA">
        <w:rPr>
          <w:i/>
          <w:iCs/>
          <w:color w:val="000000" w:themeColor="text1"/>
        </w:rPr>
        <w:t>TRANSPARENT</w:t>
      </w:r>
      <w:proofErr w:type="spellEnd"/>
      <w:r w:rsidR="00F47AA9" w:rsidRPr="00E622CA">
        <w:rPr>
          <w:i/>
          <w:iCs/>
          <w:color w:val="000000" w:themeColor="text1"/>
        </w:rPr>
        <w:t xml:space="preserve"> TESTA</w:t>
      </w:r>
      <w:r w:rsidR="00F47AA9" w:rsidRPr="00E622CA">
        <w:rPr>
          <w:color w:val="000000" w:themeColor="text1"/>
        </w:rPr>
        <w:t xml:space="preserve"> </w:t>
      </w:r>
      <w:r w:rsidRPr="00F47AA9">
        <w:rPr>
          <w:i/>
          <w:iCs/>
          <w:color w:val="000000" w:themeColor="text1"/>
        </w:rPr>
        <w:t>1</w:t>
      </w:r>
      <w:r w:rsidRPr="00E622CA">
        <w:rPr>
          <w:color w:val="000000" w:themeColor="text1"/>
        </w:rPr>
        <w:t xml:space="preserve"> (Pav_sc0000977.1_g060.1.mk), </w:t>
      </w:r>
      <w:r w:rsidR="003D717D" w:rsidRPr="00E622CA">
        <w:rPr>
          <w:i/>
          <w:iCs/>
          <w:color w:val="000000" w:themeColor="text1"/>
        </w:rPr>
        <w:t>FLAVONOL SYNTHASE</w:t>
      </w:r>
      <w:r w:rsidRPr="00E622CA">
        <w:rPr>
          <w:i/>
          <w:iCs/>
          <w:color w:val="000000" w:themeColor="text1"/>
        </w:rPr>
        <w:t>-like</w:t>
      </w:r>
      <w:r w:rsidRPr="00E622CA">
        <w:rPr>
          <w:color w:val="000000" w:themeColor="text1"/>
        </w:rPr>
        <w:t xml:space="preserve"> (Pav_sc0000030.1_g1340.1.mk), </w:t>
      </w:r>
      <w:r w:rsidR="00F47AA9">
        <w:rPr>
          <w:i/>
          <w:iCs/>
          <w:color w:val="000000" w:themeColor="text1"/>
        </w:rPr>
        <w:sym w:font="Symbol" w:char="F062"/>
      </w:r>
      <w:r w:rsidR="003D717D" w:rsidRPr="00E622CA">
        <w:rPr>
          <w:i/>
          <w:iCs/>
          <w:color w:val="000000" w:themeColor="text1"/>
        </w:rPr>
        <w:t>-GALACTOSIDASE</w:t>
      </w:r>
      <w:r w:rsidR="003D717D" w:rsidRPr="00E622CA">
        <w:rPr>
          <w:color w:val="000000" w:themeColor="text1"/>
        </w:rPr>
        <w:t xml:space="preserve"> </w:t>
      </w:r>
      <w:r w:rsidRPr="00E622CA">
        <w:rPr>
          <w:color w:val="000000" w:themeColor="text1"/>
        </w:rPr>
        <w:t xml:space="preserve">(Pav_sc0000479.1_g010.1.mk) and </w:t>
      </w:r>
      <w:r w:rsidR="003D717D" w:rsidRPr="00E622CA">
        <w:rPr>
          <w:i/>
          <w:iCs/>
          <w:color w:val="000000" w:themeColor="text1"/>
        </w:rPr>
        <w:t>COLD-SHOCK PROTEIN</w:t>
      </w:r>
      <w:r w:rsidRPr="00E622CA">
        <w:rPr>
          <w:i/>
          <w:iCs/>
          <w:color w:val="000000" w:themeColor="text1"/>
        </w:rPr>
        <w:t>-like</w:t>
      </w:r>
      <w:r w:rsidRPr="00E622CA">
        <w:rPr>
          <w:color w:val="000000" w:themeColor="text1"/>
        </w:rPr>
        <w:t xml:space="preserve"> (Pav_sc0001862.1_g360.1.mk). Transcript levels were </w:t>
      </w:r>
      <w:r w:rsidRPr="00E622CA">
        <w:t xml:space="preserve">analyzed by RNA-seq (bars represented as TMM), and real-time qPCR (red line) relative to </w:t>
      </w:r>
      <w:r w:rsidRPr="00E622CA">
        <w:rPr>
          <w:i/>
          <w:iCs/>
        </w:rPr>
        <w:t>Pav</w:t>
      </w:r>
      <w:r w:rsidRPr="00E622CA">
        <w:rPr>
          <w:i/>
          <w:iCs/>
        </w:rPr>
        <w:sym w:font="Symbol" w:char="F062"/>
      </w:r>
      <w:r w:rsidRPr="00E622CA">
        <w:rPr>
          <w:i/>
          <w:iCs/>
        </w:rPr>
        <w:t>-</w:t>
      </w:r>
      <w:r w:rsidR="00F47AA9" w:rsidRPr="00E622CA">
        <w:rPr>
          <w:i/>
          <w:iCs/>
        </w:rPr>
        <w:t>ACTIN</w:t>
      </w:r>
      <w:r w:rsidRPr="00E622CA">
        <w:t xml:space="preserve"> using three biological and three technical replicates for ‘Royal Dawn’ and </w:t>
      </w:r>
      <w:r w:rsidRPr="006C28C4">
        <w:rPr>
          <w:b/>
          <w:bCs/>
        </w:rPr>
        <w:t>(B)</w:t>
      </w:r>
      <w:r w:rsidRPr="00E622CA">
        <w:t xml:space="preserve"> ‘Kordia’. Letters represent significant differences (p-value </w:t>
      </w:r>
      <w:r w:rsidRPr="00E622CA">
        <w:sym w:font="Symbol" w:char="F0A3"/>
      </w:r>
      <w:r w:rsidRPr="00E622CA">
        <w:t xml:space="preserve"> 0.05) between conditions using a one-way ANOVA test. Error bars represent standard deviation (SD) between 3 biological and 3 technical replicates.</w:t>
      </w:r>
    </w:p>
    <w:p w14:paraId="7B084F88" w14:textId="77777777" w:rsidR="000C30A1" w:rsidRPr="00E622CA" w:rsidRDefault="000C30A1" w:rsidP="00E622CA">
      <w:pPr>
        <w:spacing w:line="276" w:lineRule="auto"/>
        <w:ind w:right="4"/>
        <w:jc w:val="both"/>
      </w:pPr>
    </w:p>
    <w:sectPr w:rsidR="000C30A1" w:rsidRPr="00E622CA" w:rsidSect="000515CD">
      <w:headerReference w:type="default" r:id="rId13"/>
      <w:type w:val="continuous"/>
      <w:pgSz w:w="12240" w:h="15840" w:code="1"/>
      <w:pgMar w:top="0" w:right="1440" w:bottom="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7CC0FC" w14:textId="77777777" w:rsidR="00432EC8" w:rsidRDefault="00432EC8">
      <w:r>
        <w:separator/>
      </w:r>
    </w:p>
  </w:endnote>
  <w:endnote w:type="continuationSeparator" w:id="0">
    <w:p w14:paraId="56073899" w14:textId="77777777" w:rsidR="00432EC8" w:rsidRDefault="00432E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Neue">
    <w:panose1 w:val="00000000000000000000"/>
    <w:charset w:val="00"/>
    <w:family w:val="modern"/>
    <w:notTrueType/>
    <w:pitch w:val="variable"/>
    <w:sig w:usb0="A00000AF" w:usb1="40000048" w:usb2="00000000" w:usb3="00000000" w:csb0="0000011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0593A5F" w14:textId="77777777" w:rsidR="00432EC8" w:rsidRDefault="00432EC8">
      <w:r>
        <w:separator/>
      </w:r>
    </w:p>
  </w:footnote>
  <w:footnote w:type="continuationSeparator" w:id="0">
    <w:p w14:paraId="5A7F581B" w14:textId="77777777" w:rsidR="00432EC8" w:rsidRDefault="00432E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65B963" w14:textId="77777777" w:rsidR="00BC672F" w:rsidRDefault="00BC672F">
    <w:pPr>
      <w:pStyle w:val="Header"/>
      <w:rPr>
        <w:b/>
        <w:bCs/>
        <w:color w:val="999999"/>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DB53E6"/>
    <w:multiLevelType w:val="hybridMultilevel"/>
    <w:tmpl w:val="EF007F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07B542C"/>
    <w:multiLevelType w:val="hybridMultilevel"/>
    <w:tmpl w:val="DB9ED7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4923CA4"/>
    <w:multiLevelType w:val="hybridMultilevel"/>
    <w:tmpl w:val="AF9A1AB8"/>
    <w:lvl w:ilvl="0" w:tplc="9D06736A">
      <w:start w:val="1"/>
      <w:numFmt w:val="bullet"/>
      <w:lvlText w:val=""/>
      <w:lvlJc w:val="left"/>
      <w:pPr>
        <w:tabs>
          <w:tab w:val="num" w:pos="720"/>
        </w:tabs>
        <w:ind w:left="72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08D5AE1"/>
    <w:multiLevelType w:val="hybridMultilevel"/>
    <w:tmpl w:val="EDF8CB1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655826F1"/>
    <w:multiLevelType w:val="hybridMultilevel"/>
    <w:tmpl w:val="4AC033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73DC1C8A"/>
    <w:multiLevelType w:val="hybridMultilevel"/>
    <w:tmpl w:val="116C9F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7B1D6D7B"/>
    <w:multiLevelType w:val="hybridMultilevel"/>
    <w:tmpl w:val="EA4E78EE"/>
    <w:lvl w:ilvl="0" w:tplc="C8E455A4">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abstractNumId w:val="2"/>
  </w:num>
  <w:num w:numId="2">
    <w:abstractNumId w:val="0"/>
  </w:num>
  <w:num w:numId="3">
    <w:abstractNumId w:val="5"/>
  </w:num>
  <w:num w:numId="4">
    <w:abstractNumId w:val="6"/>
  </w:num>
  <w:num w:numId="5">
    <w:abstractNumId w:val="4"/>
  </w:num>
  <w:num w:numId="6">
    <w:abstractNumId w:val="1"/>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bordersDoNotSurroundHeader/>
  <w:bordersDoNotSurroundFooter/>
  <w:activeWritingStyle w:appName="MSWord" w:lang="en-CA" w:vendorID="64" w:dllVersion="5" w:nlCheck="1" w:checkStyle="1"/>
  <w:activeWritingStyle w:appName="MSWord" w:lang="en-US" w:vendorID="64" w:dllVersion="5" w:nlCheck="1" w:checkStyle="1"/>
  <w:activeWritingStyle w:appName="MSWord" w:lang="en-US" w:vendorID="64" w:dllVersion="6" w:nlCheck="1" w:checkStyle="1"/>
  <w:activeWritingStyle w:appName="MSWord" w:lang="en-CA" w:vendorID="64" w:dllVersion="6" w:nlCheck="1" w:checkStyle="1"/>
  <w:activeWritingStyle w:appName="MSWord" w:lang="en-CA" w:vendorID="64" w:dllVersion="4096" w:nlCheck="1" w:checkStyle="0"/>
  <w:activeWritingStyle w:appName="MSWord" w:lang="es-ES" w:vendorID="64" w:dllVersion="4096" w:nlCheck="1" w:checkStyle="0"/>
  <w:activeWritingStyle w:appName="MSWord" w:lang="en-US" w:vendorID="64" w:dllVersion="4096" w:nlCheck="1" w:checkStyle="0"/>
  <w:proofState w:spelling="clean" w:grammar="clean"/>
  <w:attachedTemplate r:id="rId1"/>
  <w:defaultTabStop w:val="720"/>
  <w:hyphenationZone w:val="425"/>
  <w:drawingGridHorizontalSpacing w:val="181"/>
  <w:drawingGridVerticalSpacing w:val="181"/>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0091"/>
    <w:rsid w:val="000515CD"/>
    <w:rsid w:val="00063283"/>
    <w:rsid w:val="000A1430"/>
    <w:rsid w:val="000B21A8"/>
    <w:rsid w:val="000C30A1"/>
    <w:rsid w:val="000C57BD"/>
    <w:rsid w:val="000E4DE6"/>
    <w:rsid w:val="000F77CC"/>
    <w:rsid w:val="00102791"/>
    <w:rsid w:val="001053A5"/>
    <w:rsid w:val="001D44B0"/>
    <w:rsid w:val="00205693"/>
    <w:rsid w:val="002673E5"/>
    <w:rsid w:val="00273D4A"/>
    <w:rsid w:val="0028794B"/>
    <w:rsid w:val="00292E29"/>
    <w:rsid w:val="002C2BDF"/>
    <w:rsid w:val="002C5907"/>
    <w:rsid w:val="002E0BDC"/>
    <w:rsid w:val="002E57B7"/>
    <w:rsid w:val="002F5957"/>
    <w:rsid w:val="002F78BE"/>
    <w:rsid w:val="002F7E4D"/>
    <w:rsid w:val="00312AC7"/>
    <w:rsid w:val="003420E6"/>
    <w:rsid w:val="003444BF"/>
    <w:rsid w:val="00370ED9"/>
    <w:rsid w:val="003D717D"/>
    <w:rsid w:val="00432EC8"/>
    <w:rsid w:val="00433229"/>
    <w:rsid w:val="0043349A"/>
    <w:rsid w:val="00433FCF"/>
    <w:rsid w:val="00444120"/>
    <w:rsid w:val="0046078E"/>
    <w:rsid w:val="00461196"/>
    <w:rsid w:val="00464116"/>
    <w:rsid w:val="004B5EEF"/>
    <w:rsid w:val="004D7EE6"/>
    <w:rsid w:val="004E6A7C"/>
    <w:rsid w:val="004F56CC"/>
    <w:rsid w:val="00502D93"/>
    <w:rsid w:val="00584C9A"/>
    <w:rsid w:val="00591E28"/>
    <w:rsid w:val="005C4CF8"/>
    <w:rsid w:val="006143F6"/>
    <w:rsid w:val="00617288"/>
    <w:rsid w:val="0066500A"/>
    <w:rsid w:val="006901E3"/>
    <w:rsid w:val="006B15A8"/>
    <w:rsid w:val="006C0124"/>
    <w:rsid w:val="006C28C4"/>
    <w:rsid w:val="006C2F36"/>
    <w:rsid w:val="006D295E"/>
    <w:rsid w:val="006E50FD"/>
    <w:rsid w:val="00732C79"/>
    <w:rsid w:val="007347AB"/>
    <w:rsid w:val="00750E63"/>
    <w:rsid w:val="007612E9"/>
    <w:rsid w:val="00763AA3"/>
    <w:rsid w:val="00797113"/>
    <w:rsid w:val="007B24FB"/>
    <w:rsid w:val="007B43E2"/>
    <w:rsid w:val="007D3F15"/>
    <w:rsid w:val="007E06AA"/>
    <w:rsid w:val="007E4FD6"/>
    <w:rsid w:val="00811555"/>
    <w:rsid w:val="00825EAE"/>
    <w:rsid w:val="00837B03"/>
    <w:rsid w:val="00865C24"/>
    <w:rsid w:val="0087164D"/>
    <w:rsid w:val="00886B4B"/>
    <w:rsid w:val="008A4751"/>
    <w:rsid w:val="008B0091"/>
    <w:rsid w:val="008C0852"/>
    <w:rsid w:val="008C3BA8"/>
    <w:rsid w:val="008D6B38"/>
    <w:rsid w:val="008F1325"/>
    <w:rsid w:val="008F4942"/>
    <w:rsid w:val="008F73E5"/>
    <w:rsid w:val="0093768F"/>
    <w:rsid w:val="009659FE"/>
    <w:rsid w:val="0097561E"/>
    <w:rsid w:val="009765B2"/>
    <w:rsid w:val="00986CF6"/>
    <w:rsid w:val="009C2D6A"/>
    <w:rsid w:val="009D69FC"/>
    <w:rsid w:val="009E4DEA"/>
    <w:rsid w:val="009F7103"/>
    <w:rsid w:val="00A26365"/>
    <w:rsid w:val="00A26C4F"/>
    <w:rsid w:val="00A35AC5"/>
    <w:rsid w:val="00A533E6"/>
    <w:rsid w:val="00A62994"/>
    <w:rsid w:val="00A94381"/>
    <w:rsid w:val="00A97749"/>
    <w:rsid w:val="00B136AE"/>
    <w:rsid w:val="00B24C49"/>
    <w:rsid w:val="00B8743E"/>
    <w:rsid w:val="00B903EB"/>
    <w:rsid w:val="00BA4788"/>
    <w:rsid w:val="00BC672F"/>
    <w:rsid w:val="00BD7C77"/>
    <w:rsid w:val="00BE2389"/>
    <w:rsid w:val="00BE5175"/>
    <w:rsid w:val="00BF24C7"/>
    <w:rsid w:val="00C21769"/>
    <w:rsid w:val="00C71E84"/>
    <w:rsid w:val="00C72DAE"/>
    <w:rsid w:val="00C97BD2"/>
    <w:rsid w:val="00CC2503"/>
    <w:rsid w:val="00CD3AF8"/>
    <w:rsid w:val="00CE4BCF"/>
    <w:rsid w:val="00CE56D2"/>
    <w:rsid w:val="00D14BDB"/>
    <w:rsid w:val="00D24EBE"/>
    <w:rsid w:val="00D254AC"/>
    <w:rsid w:val="00D31404"/>
    <w:rsid w:val="00D36CE6"/>
    <w:rsid w:val="00D538A0"/>
    <w:rsid w:val="00D706F4"/>
    <w:rsid w:val="00D76E37"/>
    <w:rsid w:val="00D91919"/>
    <w:rsid w:val="00DB3BB5"/>
    <w:rsid w:val="00DE3A9F"/>
    <w:rsid w:val="00DF24F1"/>
    <w:rsid w:val="00E419C7"/>
    <w:rsid w:val="00E5046A"/>
    <w:rsid w:val="00E54EE9"/>
    <w:rsid w:val="00E622CA"/>
    <w:rsid w:val="00E64972"/>
    <w:rsid w:val="00E73238"/>
    <w:rsid w:val="00E75024"/>
    <w:rsid w:val="00E77D9A"/>
    <w:rsid w:val="00E873F1"/>
    <w:rsid w:val="00E8759A"/>
    <w:rsid w:val="00E91313"/>
    <w:rsid w:val="00EA3959"/>
    <w:rsid w:val="00EB354F"/>
    <w:rsid w:val="00EE260F"/>
    <w:rsid w:val="00F11B4C"/>
    <w:rsid w:val="00F142BF"/>
    <w:rsid w:val="00F24862"/>
    <w:rsid w:val="00F32719"/>
    <w:rsid w:val="00F471A9"/>
    <w:rsid w:val="00F47A7A"/>
    <w:rsid w:val="00F47AA9"/>
    <w:rsid w:val="00F550E9"/>
    <w:rsid w:val="00FA29EA"/>
    <w:rsid w:val="00FB08C6"/>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f" fillcolor="white">
      <v:fill color="white" on="f"/>
      <v:stroke weight="1.5pt"/>
    </o:shapedefaults>
    <o:shapelayout v:ext="edit">
      <o:idmap v:ext="edit" data="1"/>
    </o:shapelayout>
  </w:shapeDefaults>
  <w:decimalSymbol w:val="."/>
  <w:listSeparator w:val=","/>
  <w14:docId w14:val="48B5544E"/>
  <w15:docId w15:val="{3BAB1DCC-CCA5-544F-B0D2-48CB3FDAD2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2DAE"/>
    <w:rPr>
      <w:sz w:val="24"/>
      <w:szCs w:val="24"/>
      <w:lang w:val="en-CA" w:eastAsia="en-US"/>
    </w:rPr>
  </w:style>
  <w:style w:type="paragraph" w:styleId="Heading1">
    <w:name w:val="heading 1"/>
    <w:basedOn w:val="Normal"/>
    <w:next w:val="Normal"/>
    <w:qFormat/>
    <w:rsid w:val="00C72DAE"/>
    <w:pPr>
      <w:keepNext/>
      <w:outlineLvl w:val="0"/>
    </w:pPr>
    <w:rPr>
      <w:i/>
      <w:iCs/>
    </w:rPr>
  </w:style>
  <w:style w:type="paragraph" w:styleId="Heading2">
    <w:name w:val="heading 2"/>
    <w:basedOn w:val="Normal"/>
    <w:next w:val="Normal"/>
    <w:qFormat/>
    <w:rsid w:val="00C72DAE"/>
    <w:pPr>
      <w:keepNext/>
      <w:outlineLvl w:val="1"/>
    </w:pPr>
    <w:rPr>
      <w:b/>
      <w:bCs/>
      <w:lang w:val="en-US"/>
    </w:rPr>
  </w:style>
  <w:style w:type="paragraph" w:styleId="Heading3">
    <w:name w:val="heading 3"/>
    <w:basedOn w:val="Normal"/>
    <w:next w:val="Normal"/>
    <w:qFormat/>
    <w:rsid w:val="00C72DAE"/>
    <w:pPr>
      <w:keepNext/>
      <w:outlineLvl w:val="2"/>
    </w:pPr>
    <w:rPr>
      <w:u w:val="single"/>
      <w:lang w:val="en-US"/>
    </w:rPr>
  </w:style>
  <w:style w:type="paragraph" w:styleId="Heading4">
    <w:name w:val="heading 4"/>
    <w:basedOn w:val="Normal"/>
    <w:next w:val="Normal"/>
    <w:qFormat/>
    <w:rsid w:val="00C72DAE"/>
    <w:pPr>
      <w:keepNext/>
      <w:jc w:val="center"/>
      <w:outlineLvl w:val="3"/>
    </w:pPr>
    <w:rPr>
      <w:b/>
      <w:bCs/>
    </w:rPr>
  </w:style>
  <w:style w:type="paragraph" w:styleId="Heading5">
    <w:name w:val="heading 5"/>
    <w:basedOn w:val="Normal"/>
    <w:next w:val="Normal"/>
    <w:qFormat/>
    <w:rsid w:val="00C72DAE"/>
    <w:pPr>
      <w:keepNext/>
      <w:autoSpaceDE w:val="0"/>
      <w:autoSpaceDN w:val="0"/>
      <w:adjustRightInd w:val="0"/>
      <w:jc w:val="center"/>
      <w:outlineLvl w:val="4"/>
    </w:pPr>
    <w:rPr>
      <w:i/>
      <w:iCs/>
      <w:color w:val="000000"/>
      <w:szCs w:val="18"/>
      <w:lang w:val="en-US"/>
    </w:rPr>
  </w:style>
  <w:style w:type="paragraph" w:styleId="Heading6">
    <w:name w:val="heading 6"/>
    <w:basedOn w:val="Normal"/>
    <w:next w:val="Normal"/>
    <w:qFormat/>
    <w:rsid w:val="00C72DAE"/>
    <w:pPr>
      <w:keepNext/>
      <w:tabs>
        <w:tab w:val="center" w:pos="5126"/>
      </w:tabs>
      <w:autoSpaceDE w:val="0"/>
      <w:autoSpaceDN w:val="0"/>
      <w:adjustRightInd w:val="0"/>
      <w:outlineLvl w:val="5"/>
    </w:pPr>
    <w:rPr>
      <w:rFonts w:ascii="Arial" w:hAnsi="Arial" w:cs="Arial"/>
      <w:b/>
      <w:bCs/>
      <w:color w:val="000000"/>
      <w:sz w:val="18"/>
      <w:szCs w:val="18"/>
      <w:lang w:val="en-US"/>
    </w:rPr>
  </w:style>
  <w:style w:type="paragraph" w:styleId="Heading7">
    <w:name w:val="heading 7"/>
    <w:basedOn w:val="Normal"/>
    <w:next w:val="Normal"/>
    <w:qFormat/>
    <w:rsid w:val="00C72DAE"/>
    <w:pPr>
      <w:keepNext/>
      <w:outlineLvl w:val="6"/>
    </w:pPr>
    <w:rPr>
      <w:szCs w:val="20"/>
      <w:u w:val="single"/>
      <w:lang w:val="en-US"/>
    </w:rPr>
  </w:style>
  <w:style w:type="paragraph" w:styleId="Heading8">
    <w:name w:val="heading 8"/>
    <w:basedOn w:val="Normal"/>
    <w:next w:val="Normal"/>
    <w:qFormat/>
    <w:rsid w:val="00C72DAE"/>
    <w:pPr>
      <w:keepNext/>
      <w:tabs>
        <w:tab w:val="center" w:pos="5284"/>
      </w:tabs>
      <w:autoSpaceDE w:val="0"/>
      <w:autoSpaceDN w:val="0"/>
      <w:adjustRightInd w:val="0"/>
      <w:outlineLvl w:val="7"/>
    </w:pPr>
    <w:rPr>
      <w:b/>
      <w:bCs/>
      <w:color w:val="000000"/>
      <w:szCs w:val="18"/>
      <w:lang w:val="en-US"/>
    </w:rPr>
  </w:style>
  <w:style w:type="paragraph" w:styleId="Heading9">
    <w:name w:val="heading 9"/>
    <w:basedOn w:val="Normal"/>
    <w:next w:val="Normal"/>
    <w:qFormat/>
    <w:rsid w:val="00C72DAE"/>
    <w:pPr>
      <w:keepNext/>
      <w:outlineLvl w:val="8"/>
    </w:pPr>
    <w:rPr>
      <w:b/>
      <w:bCs/>
      <w:color w:val="99999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semiHidden/>
    <w:rsid w:val="00C72DAE"/>
    <w:rPr>
      <w:color w:val="0000FF"/>
      <w:u w:val="single"/>
    </w:rPr>
  </w:style>
  <w:style w:type="character" w:styleId="CommentReference">
    <w:name w:val="annotation reference"/>
    <w:semiHidden/>
    <w:rsid w:val="00C72DAE"/>
    <w:rPr>
      <w:sz w:val="16"/>
      <w:szCs w:val="16"/>
    </w:rPr>
  </w:style>
  <w:style w:type="paragraph" w:styleId="CommentText">
    <w:name w:val="annotation text"/>
    <w:basedOn w:val="Normal"/>
    <w:semiHidden/>
    <w:rsid w:val="00C72DAE"/>
    <w:rPr>
      <w:sz w:val="20"/>
      <w:szCs w:val="20"/>
    </w:rPr>
  </w:style>
  <w:style w:type="paragraph" w:styleId="BodyTextIndent">
    <w:name w:val="Body Text Indent"/>
    <w:basedOn w:val="Normal"/>
    <w:semiHidden/>
    <w:rsid w:val="00C72DAE"/>
    <w:pPr>
      <w:ind w:firstLine="720"/>
    </w:pPr>
    <w:rPr>
      <w:szCs w:val="20"/>
      <w:lang w:val="en-US"/>
    </w:rPr>
  </w:style>
  <w:style w:type="paragraph" w:styleId="NormalWeb">
    <w:name w:val="Normal (Web)"/>
    <w:basedOn w:val="Normal"/>
    <w:semiHidden/>
    <w:rsid w:val="00C72DAE"/>
    <w:pPr>
      <w:spacing w:before="100" w:beforeAutospacing="1" w:after="100" w:afterAutospacing="1"/>
    </w:pPr>
  </w:style>
  <w:style w:type="paragraph" w:styleId="BodyText">
    <w:name w:val="Body Text"/>
    <w:basedOn w:val="Normal"/>
    <w:semiHidden/>
    <w:rsid w:val="00C72DAE"/>
    <w:pPr>
      <w:autoSpaceDE w:val="0"/>
      <w:autoSpaceDN w:val="0"/>
      <w:adjustRightInd w:val="0"/>
    </w:pPr>
    <w:rPr>
      <w:color w:val="000000"/>
      <w:szCs w:val="18"/>
      <w:lang w:val="en-US"/>
    </w:rPr>
  </w:style>
  <w:style w:type="character" w:styleId="FollowedHyperlink">
    <w:name w:val="FollowedHyperlink"/>
    <w:semiHidden/>
    <w:rsid w:val="00C72DAE"/>
    <w:rPr>
      <w:color w:val="800080"/>
      <w:u w:val="single"/>
    </w:rPr>
  </w:style>
  <w:style w:type="character" w:styleId="Strong">
    <w:name w:val="Strong"/>
    <w:qFormat/>
    <w:rsid w:val="00C72DAE"/>
    <w:rPr>
      <w:b/>
      <w:bCs/>
    </w:rPr>
  </w:style>
  <w:style w:type="paragraph" w:styleId="Footer">
    <w:name w:val="footer"/>
    <w:basedOn w:val="Normal"/>
    <w:semiHidden/>
    <w:rsid w:val="00C72DAE"/>
    <w:pPr>
      <w:tabs>
        <w:tab w:val="center" w:pos="4320"/>
        <w:tab w:val="right" w:pos="8640"/>
      </w:tabs>
    </w:pPr>
  </w:style>
  <w:style w:type="character" w:styleId="PageNumber">
    <w:name w:val="page number"/>
    <w:basedOn w:val="DefaultParagraphFont"/>
    <w:semiHidden/>
    <w:rsid w:val="00C72DAE"/>
  </w:style>
  <w:style w:type="character" w:styleId="LineNumber">
    <w:name w:val="line number"/>
    <w:semiHidden/>
    <w:rsid w:val="00C72DAE"/>
    <w:rPr>
      <w:color w:val="999999"/>
      <w:sz w:val="20"/>
    </w:rPr>
  </w:style>
  <w:style w:type="paragraph" w:styleId="FootnoteText">
    <w:name w:val="footnote text"/>
    <w:basedOn w:val="Normal"/>
    <w:semiHidden/>
    <w:rsid w:val="00C72DAE"/>
    <w:rPr>
      <w:sz w:val="20"/>
      <w:szCs w:val="20"/>
    </w:rPr>
  </w:style>
  <w:style w:type="character" w:styleId="FootnoteReference">
    <w:name w:val="footnote reference"/>
    <w:semiHidden/>
    <w:rsid w:val="00C72DAE"/>
    <w:rPr>
      <w:vertAlign w:val="superscript"/>
    </w:rPr>
  </w:style>
  <w:style w:type="paragraph" w:styleId="BodyText2">
    <w:name w:val="Body Text 2"/>
    <w:basedOn w:val="Normal"/>
    <w:semiHidden/>
    <w:rsid w:val="00C72DAE"/>
    <w:pPr>
      <w:jc w:val="center"/>
    </w:pPr>
    <w:rPr>
      <w:rFonts w:ascii="Arial" w:hAnsi="Arial" w:cs="Arial"/>
      <w:color w:val="999999"/>
      <w:sz w:val="20"/>
    </w:rPr>
  </w:style>
  <w:style w:type="paragraph" w:styleId="BodyText3">
    <w:name w:val="Body Text 3"/>
    <w:basedOn w:val="Normal"/>
    <w:semiHidden/>
    <w:rsid w:val="00C72DAE"/>
    <w:pPr>
      <w:jc w:val="center"/>
    </w:pPr>
  </w:style>
  <w:style w:type="paragraph" w:styleId="Header">
    <w:name w:val="header"/>
    <w:basedOn w:val="Normal"/>
    <w:semiHidden/>
    <w:rsid w:val="00C72DAE"/>
    <w:pPr>
      <w:tabs>
        <w:tab w:val="center" w:pos="4320"/>
        <w:tab w:val="right" w:pos="8640"/>
      </w:tabs>
    </w:pPr>
  </w:style>
  <w:style w:type="paragraph" w:styleId="TOC6">
    <w:name w:val="toc 6"/>
    <w:basedOn w:val="Normal"/>
    <w:next w:val="Normal"/>
    <w:autoRedefine/>
    <w:semiHidden/>
    <w:rsid w:val="00C72DAE"/>
    <w:pPr>
      <w:widowControl w:val="0"/>
      <w:ind w:right="113"/>
    </w:pPr>
    <w:rPr>
      <w:lang w:val="en-US"/>
    </w:rPr>
  </w:style>
  <w:style w:type="character" w:customStyle="1" w:styleId="fieldlabel1">
    <w:name w:val="fieldlabel1"/>
    <w:rsid w:val="00C72DAE"/>
    <w:rPr>
      <w:rFonts w:ascii="Verdana" w:hAnsi="Verdana" w:hint="default"/>
      <w:b/>
      <w:bCs/>
    </w:rPr>
  </w:style>
  <w:style w:type="character" w:styleId="PlaceholderText">
    <w:name w:val="Placeholder Text"/>
    <w:basedOn w:val="DefaultParagraphFont"/>
    <w:uiPriority w:val="99"/>
    <w:semiHidden/>
    <w:rsid w:val="00BE2389"/>
    <w:rPr>
      <w:color w:val="808080"/>
    </w:rPr>
  </w:style>
  <w:style w:type="paragraph" w:styleId="BalloonText">
    <w:name w:val="Balloon Text"/>
    <w:basedOn w:val="Normal"/>
    <w:link w:val="BalloonTextChar"/>
    <w:uiPriority w:val="99"/>
    <w:semiHidden/>
    <w:unhideWhenUsed/>
    <w:rsid w:val="00BE2389"/>
    <w:rPr>
      <w:rFonts w:ascii="Tahoma" w:hAnsi="Tahoma" w:cs="Tahoma"/>
      <w:sz w:val="16"/>
      <w:szCs w:val="16"/>
    </w:rPr>
  </w:style>
  <w:style w:type="character" w:customStyle="1" w:styleId="BalloonTextChar">
    <w:name w:val="Balloon Text Char"/>
    <w:basedOn w:val="DefaultParagraphFont"/>
    <w:link w:val="BalloonText"/>
    <w:uiPriority w:val="99"/>
    <w:semiHidden/>
    <w:rsid w:val="00BE2389"/>
    <w:rPr>
      <w:rFonts w:ascii="Tahoma" w:hAnsi="Tahoma" w:cs="Tahoma"/>
      <w:sz w:val="16"/>
      <w:szCs w:val="16"/>
      <w:lang w:val="en-CA" w:eastAsia="en-US"/>
    </w:rPr>
  </w:style>
  <w:style w:type="paragraph" w:styleId="ListParagraph">
    <w:name w:val="List Paragraph"/>
    <w:basedOn w:val="Normal"/>
    <w:uiPriority w:val="34"/>
    <w:qFormat/>
    <w:rsid w:val="00986CF6"/>
    <w:pPr>
      <w:ind w:left="720"/>
      <w:contextualSpacing/>
    </w:pPr>
  </w:style>
  <w:style w:type="table" w:styleId="TableGrid">
    <w:name w:val="Table Grid"/>
    <w:basedOn w:val="TableNormal"/>
    <w:uiPriority w:val="39"/>
    <w:rsid w:val="009F7103"/>
    <w:rPr>
      <w:rFonts w:asciiTheme="minorHAnsi" w:eastAsiaTheme="minorHAnsi" w:hAnsiTheme="minorHAnsi" w:cstheme="minorBidi"/>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pplementaryMaterial">
    <w:name w:val="Supplementary Material"/>
    <w:basedOn w:val="Title"/>
    <w:next w:val="Title"/>
    <w:qFormat/>
    <w:rsid w:val="00BD7C77"/>
    <w:pPr>
      <w:suppressLineNumbers/>
      <w:spacing w:before="240" w:after="120"/>
      <w:contextualSpacing w:val="0"/>
      <w:jc w:val="center"/>
    </w:pPr>
    <w:rPr>
      <w:rFonts w:ascii="Times New Roman" w:eastAsiaTheme="minorHAnsi" w:hAnsi="Times New Roman" w:cs="Times New Roman"/>
      <w:b/>
      <w:i/>
      <w:spacing w:val="0"/>
      <w:kern w:val="0"/>
      <w:sz w:val="32"/>
      <w:szCs w:val="32"/>
      <w:lang w:val="en-US"/>
    </w:rPr>
  </w:style>
  <w:style w:type="paragraph" w:styleId="Title">
    <w:name w:val="Title"/>
    <w:basedOn w:val="Normal"/>
    <w:next w:val="Normal"/>
    <w:link w:val="TitleChar"/>
    <w:uiPriority w:val="10"/>
    <w:qFormat/>
    <w:rsid w:val="00BD7C7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D7C77"/>
    <w:rPr>
      <w:rFonts w:asciiTheme="majorHAnsi" w:eastAsiaTheme="majorEastAsia" w:hAnsiTheme="majorHAnsi" w:cstheme="majorBidi"/>
      <w:spacing w:val="-10"/>
      <w:kern w:val="28"/>
      <w:sz w:val="56"/>
      <w:szCs w:val="56"/>
      <w:lang w:val="en-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ennons\Downloads\New_Phytologist_SI_template_201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35A4E8-8304-4BDE-B587-E41EAC2529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New_Phytologist_SI_template_2014</Template>
  <TotalTime>48</TotalTime>
  <Pages>5</Pages>
  <Words>483</Words>
  <Characters>2755</Characters>
  <Application>Microsoft Office Word</Application>
  <DocSecurity>0</DocSecurity>
  <Lines>22</Lines>
  <Paragraphs>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New Phytologist SI template</vt:lpstr>
      <vt:lpstr>New Phytologist SI template</vt:lpstr>
    </vt:vector>
  </TitlesOfParts>
  <Company>Ohio State University</Company>
  <LinksUpToDate>false</LinksUpToDate>
  <CharactersWithSpaces>3232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Phytologist SI template</dc:title>
  <dc:creator>Lennon, Sarah</dc:creator>
  <cp:lastModifiedBy>Gonçalo Vargas</cp:lastModifiedBy>
  <cp:revision>9</cp:revision>
  <cp:lastPrinted>2006-09-15T11:41:00Z</cp:lastPrinted>
  <dcterms:created xsi:type="dcterms:W3CDTF">2020-03-02T13:07:00Z</dcterms:created>
  <dcterms:modified xsi:type="dcterms:W3CDTF">2020-07-07T10:01:00Z</dcterms:modified>
</cp:coreProperties>
</file>