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69FEA" w14:textId="0C3A058B" w:rsidR="00557B8B" w:rsidRDefault="00557B8B" w:rsidP="00557B8B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 w:rsidRPr="006C6CF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Isobaric Tag for Relative and Absolute Quantification (</w:t>
      </w:r>
      <w:proofErr w:type="spellStart"/>
      <w:r w:rsidRPr="006C6CF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iTRAQ</w:t>
      </w:r>
      <w:proofErr w:type="spellEnd"/>
      <w:r w:rsidRPr="006C6CF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) </w:t>
      </w:r>
      <w:proofErr w:type="spellStart"/>
      <w:r w:rsidRPr="006C6CF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Labeling</w:t>
      </w:r>
      <w:proofErr w:type="spellEnd"/>
      <w:r w:rsidRPr="006C6CF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 and LCMS/MS Analyses </w:t>
      </w:r>
    </w:p>
    <w:p w14:paraId="28F3693C" w14:textId="77777777" w:rsidR="006C6CFD" w:rsidRPr="006C6CFD" w:rsidRDefault="006C6CFD" w:rsidP="00557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CD4EAA" w14:textId="77777777" w:rsidR="006C6CFD" w:rsidRPr="006C6CFD" w:rsidRDefault="006C6CFD" w:rsidP="00557B8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</w:pPr>
      <w:r w:rsidRPr="006C6CF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    </w:t>
      </w:r>
      <w:r w:rsidR="0010206E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>The synthesis of quercetin-based analogue and probe was conducted and validated as</w:t>
      </w:r>
      <w:r w:rsidR="0010206E" w:rsidRPr="006C6CF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previously (Wang et al., 2016). </w:t>
      </w:r>
      <w:r w:rsidR="0010206E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 xml:space="preserve">Then, </w:t>
      </w:r>
      <w:r w:rsidR="00D21804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 xml:space="preserve">a clickable activity-based protein profiling (ICABPP) method was used as well to pull down quercetin probe treated samples. Briefly, MV4-11 cells were treated with quercetin probe or DMSO (as vector control) for 12 or 24hr. Equal amounts of cell lysates (two biological </w:t>
      </w:r>
      <w:r w:rsidR="00E71B14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>re</w:t>
      </w:r>
      <w:r w:rsidR="00D21804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 xml:space="preserve">plicates for quercetin probe and two for DMSO) were used for click chemistry to form protein conjugate with biotin tags respectively. The precipitated </w:t>
      </w:r>
      <w:r w:rsidR="00B21E7B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 xml:space="preserve">protein pellets were digested with trypsin (Promega) and the resultant peptides were separated using a filter-spin column (GE Healthcare). </w:t>
      </w:r>
    </w:p>
    <w:p w14:paraId="6B413474" w14:textId="27F7697D" w:rsidR="00557B8B" w:rsidRPr="006C6CFD" w:rsidRDefault="006C6CFD" w:rsidP="00557B8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</w:pPr>
      <w:r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 xml:space="preserve">     </w:t>
      </w:r>
      <w:r w:rsidR="00B21E7B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 xml:space="preserve">The pull-down samples of quercetin probe were labelled with </w:t>
      </w:r>
      <w:proofErr w:type="spellStart"/>
      <w:r w:rsidR="00B21E7B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>iTRAQ</w:t>
      </w:r>
      <w:proofErr w:type="spellEnd"/>
      <w:r w:rsidR="00B21E7B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 xml:space="preserve"> reagents 11</w:t>
      </w:r>
      <w:r w:rsidR="0002666A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>5</w:t>
      </w:r>
      <w:r w:rsidR="00B21E7B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 xml:space="preserve"> and 11</w:t>
      </w:r>
      <w:r w:rsidR="0002666A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>6</w:t>
      </w:r>
      <w:r w:rsidR="00B21E7B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 xml:space="preserve">, while those of DMSO with </w:t>
      </w:r>
      <w:proofErr w:type="spellStart"/>
      <w:r w:rsidR="00B21E7B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>iTRAQ</w:t>
      </w:r>
      <w:proofErr w:type="spellEnd"/>
      <w:r w:rsidR="00B21E7B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 xml:space="preserve"> reagents 113 and 114 (AB SCIEX, Foster City, CA). After all samples were pooled together, the </w:t>
      </w:r>
      <w:proofErr w:type="spellStart"/>
      <w:r w:rsidR="00B21E7B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>iTRAQ</w:t>
      </w:r>
      <w:proofErr w:type="spellEnd"/>
      <w:r w:rsidR="00B21E7B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 xml:space="preserve">-labelled peptide samples were purified </w:t>
      </w:r>
      <w:r w:rsidR="00B21E7B" w:rsidRPr="006C6CF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by an </w:t>
      </w:r>
      <w:proofErr w:type="spellStart"/>
      <w:r w:rsidR="00B21E7B" w:rsidRPr="006C6CFD">
        <w:rPr>
          <w:rFonts w:ascii="TimesNewRomanPSMT" w:eastAsia="Times New Roman" w:hAnsi="TimesNewRomanPSMT" w:cs="Times New Roman"/>
          <w:color w:val="000000"/>
          <w:sz w:val="28"/>
          <w:szCs w:val="28"/>
        </w:rPr>
        <w:t>iTRAQ</w:t>
      </w:r>
      <w:proofErr w:type="spellEnd"/>
      <w:r w:rsidR="00B21E7B" w:rsidRPr="006C6CF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Method Development Kit (SCIEX, 4352160) using the strong cation exchange chromatography technique. </w:t>
      </w:r>
      <w:r w:rsidR="00517B33" w:rsidRPr="006C6CF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Then the </w:t>
      </w:r>
      <w:r w:rsidR="00E71B14" w:rsidRPr="006C6CF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pooled </w:t>
      </w:r>
      <w:r w:rsidR="00517B33" w:rsidRPr="006C6CF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peptide mixtures were separated using an </w:t>
      </w:r>
      <w:proofErr w:type="spellStart"/>
      <w:r w:rsidR="00517B33" w:rsidRPr="006C6CFD">
        <w:rPr>
          <w:rFonts w:ascii="TimesNewRomanPSMT" w:eastAsia="Times New Roman" w:hAnsi="TimesNewRomanPSMT" w:cs="Times New Roman"/>
          <w:color w:val="000000"/>
          <w:sz w:val="28"/>
          <w:szCs w:val="28"/>
        </w:rPr>
        <w:t>Eksigent</w:t>
      </w:r>
      <w:proofErr w:type="spellEnd"/>
      <w:r w:rsidR="00517B33" w:rsidRPr="006C6CF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proofErr w:type="spellStart"/>
      <w:r w:rsidR="00517B33" w:rsidRPr="006C6CFD">
        <w:rPr>
          <w:rFonts w:ascii="TimesNewRomanPSMT" w:eastAsia="Times New Roman" w:hAnsi="TimesNewRomanPSMT" w:cs="Times New Roman"/>
          <w:color w:val="000000"/>
          <w:sz w:val="28"/>
          <w:szCs w:val="28"/>
        </w:rPr>
        <w:t>NanoLCUltra</w:t>
      </w:r>
      <w:proofErr w:type="spellEnd"/>
      <w:r w:rsidR="00517B33" w:rsidRPr="006C6CF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system coupled to the </w:t>
      </w:r>
      <w:proofErr w:type="spellStart"/>
      <w:r w:rsidR="00517B33" w:rsidRPr="006C6CFD">
        <w:rPr>
          <w:rFonts w:ascii="TimesNewRomanPSMT" w:eastAsia="Times New Roman" w:hAnsi="TimesNewRomanPSMT" w:cs="Times New Roman"/>
          <w:color w:val="000000"/>
          <w:sz w:val="28"/>
          <w:szCs w:val="28"/>
        </w:rPr>
        <w:t>ChiPLC-Nanoflex</w:t>
      </w:r>
      <w:proofErr w:type="spellEnd"/>
      <w:r w:rsidR="00517B33" w:rsidRPr="006C6CF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system (</w:t>
      </w:r>
      <w:proofErr w:type="spellStart"/>
      <w:r w:rsidR="00517B33" w:rsidRPr="006C6CFD">
        <w:rPr>
          <w:rFonts w:ascii="TimesNewRomanPSMT" w:eastAsia="Times New Roman" w:hAnsi="TimesNewRomanPSMT" w:cs="Times New Roman"/>
          <w:color w:val="000000"/>
          <w:sz w:val="28"/>
          <w:szCs w:val="28"/>
        </w:rPr>
        <w:t>Eksigent</w:t>
      </w:r>
      <w:proofErr w:type="spellEnd"/>
      <w:r w:rsidR="00517B33" w:rsidRPr="006C6CF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, USA), before detection by MS/MS with a </w:t>
      </w:r>
      <w:proofErr w:type="spellStart"/>
      <w:r w:rsidR="00517B33" w:rsidRPr="006C6CFD">
        <w:rPr>
          <w:rFonts w:ascii="TimesNewRomanPSMT" w:eastAsia="Times New Roman" w:hAnsi="TimesNewRomanPSMT" w:cs="Times New Roman"/>
          <w:color w:val="000000"/>
          <w:sz w:val="28"/>
          <w:szCs w:val="28"/>
        </w:rPr>
        <w:t>TripleTOF</w:t>
      </w:r>
      <w:proofErr w:type="spellEnd"/>
      <w:r w:rsidR="00517B33" w:rsidRPr="006C6CF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5600 system (SCIEX). </w:t>
      </w:r>
    </w:p>
    <w:p w14:paraId="3122BAB0" w14:textId="0F4D911B" w:rsidR="00517B33" w:rsidRPr="006C6CFD" w:rsidRDefault="006C6CFD" w:rsidP="00557B8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</w:pPr>
      <w:r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 xml:space="preserve">    </w:t>
      </w:r>
      <w:r w:rsidR="00C51F5F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 xml:space="preserve">Lastly, the </w:t>
      </w:r>
      <w:proofErr w:type="spellStart"/>
      <w:r w:rsidR="00517B33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>ProteinPilot</w:t>
      </w:r>
      <w:r w:rsidR="00517B33" w:rsidRPr="006C6CFD">
        <w:rPr>
          <w:rFonts w:ascii="TimesNewRomanPSMT" w:eastAsia="Times New Roman" w:hAnsi="TimesNewRomanPSMT" w:cs="Times New Roman"/>
          <w:color w:val="000000"/>
          <w:sz w:val="28"/>
          <w:szCs w:val="28"/>
          <w:vertAlign w:val="superscript"/>
          <w:lang w:val="en-US"/>
        </w:rPr>
        <w:t>TM</w:t>
      </w:r>
      <w:proofErr w:type="spellEnd"/>
      <w:r w:rsidR="00517B33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 xml:space="preserve"> Software 4.5 (SCIEX) </w:t>
      </w:r>
      <w:r w:rsidR="00C51F5F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 xml:space="preserve">coupled with </w:t>
      </w:r>
      <w:proofErr w:type="spellStart"/>
      <w:r w:rsidR="00C51F5F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>ParagonTM</w:t>
      </w:r>
      <w:proofErr w:type="spellEnd"/>
      <w:r w:rsidR="00C51F5F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 xml:space="preserve"> algorithm </w:t>
      </w:r>
      <w:r w:rsidR="00517B33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>w</w:t>
      </w:r>
      <w:r w:rsidR="00C51F5F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>ere</w:t>
      </w:r>
      <w:r w:rsidR="00517B33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 xml:space="preserve"> </w:t>
      </w:r>
      <w:r w:rsidR="00E71B14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>selected</w:t>
      </w:r>
      <w:r w:rsidR="00517B33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 xml:space="preserve"> to </w:t>
      </w:r>
      <w:r w:rsidR="00E71B14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>conduct</w:t>
      </w:r>
      <w:r w:rsidR="00C51F5F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 xml:space="preserve"> database searches, in order to </w:t>
      </w:r>
      <w:r w:rsidR="00517B33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>identify and quantify the relevant proteins</w:t>
      </w:r>
      <w:r w:rsidR="00C51F5F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>. The database include</w:t>
      </w:r>
      <w:r w:rsidR="00E71B14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>s</w:t>
      </w:r>
      <w:r w:rsidR="00C51F5F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 xml:space="preserve"> a total of 91,468 human protein sequence entries according to the International Protein Index v3.87. The function of </w:t>
      </w:r>
      <w:proofErr w:type="spellStart"/>
      <w:r w:rsidR="00C51F5F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>Progroup</w:t>
      </w:r>
      <w:proofErr w:type="spellEnd"/>
      <w:r w:rsidR="00C51F5F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 xml:space="preserve"> algorithm was used to eliminate redundancy, while a decoy database search to determine the false discovery rate. The data were finally exported to an Excel file for manual data analysis. The cutoff </w:t>
      </w:r>
      <w:r w:rsidR="00E71B14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 xml:space="preserve">thresholds were set at &gt;1.3 or &lt;0.77. </w:t>
      </w:r>
    </w:p>
    <w:p w14:paraId="44548EA4" w14:textId="77777777" w:rsidR="00C51F5F" w:rsidRDefault="00C51F5F" w:rsidP="00557B8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val="en-US"/>
        </w:rPr>
      </w:pPr>
    </w:p>
    <w:p w14:paraId="0D9DF4B5" w14:textId="77777777" w:rsidR="00C51F5F" w:rsidRDefault="00C51F5F" w:rsidP="00557B8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val="en-US"/>
        </w:rPr>
      </w:pPr>
    </w:p>
    <w:p w14:paraId="1022DA07" w14:textId="2412FA90" w:rsidR="00557B8B" w:rsidRDefault="00557B8B" w:rsidP="00557B8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FF0000"/>
          <w:sz w:val="24"/>
          <w:szCs w:val="24"/>
        </w:rPr>
      </w:pPr>
    </w:p>
    <w:p w14:paraId="07232CC0" w14:textId="6B786B55" w:rsidR="00557B8B" w:rsidRDefault="00557B8B" w:rsidP="00557B8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FF0000"/>
          <w:sz w:val="24"/>
          <w:szCs w:val="24"/>
        </w:rPr>
      </w:pPr>
    </w:p>
    <w:p w14:paraId="05BA94D1" w14:textId="77777777" w:rsidR="00557B8B" w:rsidRPr="00557B8B" w:rsidRDefault="00557B8B" w:rsidP="00557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57B8B" w:rsidRPr="00557B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FF189" w14:textId="77777777" w:rsidR="0009022E" w:rsidRDefault="0009022E" w:rsidP="006C6CFD">
      <w:pPr>
        <w:spacing w:after="0" w:line="240" w:lineRule="auto"/>
      </w:pPr>
      <w:r>
        <w:separator/>
      </w:r>
    </w:p>
  </w:endnote>
  <w:endnote w:type="continuationSeparator" w:id="0">
    <w:p w14:paraId="307CC236" w14:textId="77777777" w:rsidR="0009022E" w:rsidRDefault="0009022E" w:rsidP="006C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FB6F3" w14:textId="77777777" w:rsidR="0009022E" w:rsidRDefault="0009022E" w:rsidP="006C6CFD">
      <w:pPr>
        <w:spacing w:after="0" w:line="240" w:lineRule="auto"/>
      </w:pPr>
      <w:r>
        <w:separator/>
      </w:r>
    </w:p>
  </w:footnote>
  <w:footnote w:type="continuationSeparator" w:id="0">
    <w:p w14:paraId="7F9B03B2" w14:textId="77777777" w:rsidR="0009022E" w:rsidRDefault="0009022E" w:rsidP="006C6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39A"/>
    <w:rsid w:val="0002666A"/>
    <w:rsid w:val="0009022E"/>
    <w:rsid w:val="0010206E"/>
    <w:rsid w:val="00517B33"/>
    <w:rsid w:val="00557B8B"/>
    <w:rsid w:val="006C6CFD"/>
    <w:rsid w:val="008F46D9"/>
    <w:rsid w:val="00B21E7B"/>
    <w:rsid w:val="00BD298E"/>
    <w:rsid w:val="00C51F5F"/>
    <w:rsid w:val="00D21804"/>
    <w:rsid w:val="00E71B14"/>
    <w:rsid w:val="00E85DD4"/>
    <w:rsid w:val="00E977EC"/>
    <w:rsid w:val="00EF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25959"/>
  <w15:chartTrackingRefBased/>
  <w15:docId w15:val="{553EDBAD-88D8-46BA-B139-BCAE836F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C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6C6CFD"/>
  </w:style>
  <w:style w:type="paragraph" w:styleId="a5">
    <w:name w:val="footer"/>
    <w:basedOn w:val="a"/>
    <w:link w:val="a6"/>
    <w:uiPriority w:val="99"/>
    <w:unhideWhenUsed/>
    <w:rsid w:val="006C6C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6C6CFD"/>
  </w:style>
  <w:style w:type="character" w:styleId="a7">
    <w:name w:val="annotation reference"/>
    <w:basedOn w:val="a0"/>
    <w:uiPriority w:val="99"/>
    <w:semiHidden/>
    <w:unhideWhenUsed/>
    <w:rsid w:val="008F46D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F46D9"/>
    <w:pPr>
      <w:spacing w:line="240" w:lineRule="auto"/>
    </w:pPr>
    <w:rPr>
      <w:sz w:val="20"/>
      <w:szCs w:val="20"/>
    </w:rPr>
  </w:style>
  <w:style w:type="character" w:customStyle="1" w:styleId="a9">
    <w:name w:val="批注文字 字符"/>
    <w:basedOn w:val="a0"/>
    <w:link w:val="a8"/>
    <w:uiPriority w:val="99"/>
    <w:semiHidden/>
    <w:rsid w:val="008F46D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F46D9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8F46D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F46D9"/>
    <w:pPr>
      <w:spacing w:after="0" w:line="240" w:lineRule="auto"/>
    </w:pPr>
    <w:rPr>
      <w:rFonts w:ascii="Microsoft YaHei UI" w:eastAsia="Microsoft YaHei UI"/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F46D9"/>
    <w:rPr>
      <w:rFonts w:ascii="Microsoft YaHei UI" w:eastAsia="Microsoft Ya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Golden</dc:creator>
  <cp:keywords/>
  <dc:description/>
  <cp:lastModifiedBy>gardenia zhou</cp:lastModifiedBy>
  <cp:revision>3</cp:revision>
  <cp:lastPrinted>2020-09-02T07:11:00Z</cp:lastPrinted>
  <dcterms:created xsi:type="dcterms:W3CDTF">2020-12-03T04:07:00Z</dcterms:created>
  <dcterms:modified xsi:type="dcterms:W3CDTF">2020-12-04T15:06:00Z</dcterms:modified>
</cp:coreProperties>
</file>