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9FEA" w14:textId="0C3A058B" w:rsidR="00557B8B" w:rsidRDefault="00557B8B" w:rsidP="00557B8B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Isobaric Tag for Relative and Absolute Quantification (</w:t>
      </w:r>
      <w:proofErr w:type="spellStart"/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iTRAQ</w:t>
      </w:r>
      <w:proofErr w:type="spellEnd"/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Labeling</w:t>
      </w:r>
      <w:proofErr w:type="spellEnd"/>
      <w:r w:rsidRPr="006C6C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and LCMS/MS Analyses </w:t>
      </w:r>
    </w:p>
    <w:p w14:paraId="28F3693C" w14:textId="77777777" w:rsidR="006C6CFD" w:rsidRPr="006C6CFD" w:rsidRDefault="006C6CFD" w:rsidP="0055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D4EAA" w14:textId="77777777" w:rsidR="006C6CFD" w:rsidRPr="006C6CFD" w:rsidRDefault="006C6CFD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</w:pPr>
      <w:r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    </w:t>
      </w:r>
      <w:r w:rsidR="0010206E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The synthesis of quercetin-based analogue and probe was conducted and validated as</w:t>
      </w:r>
      <w:r w:rsidR="0010206E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previously (Wang et al., 2016). </w:t>
      </w:r>
      <w:r w:rsidR="0010206E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Then, </w:t>
      </w:r>
      <w:r w:rsidR="00D2180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a clickable activity-based protein profiling (ICABPP) method was used as well to pull down quercetin probe treated samples. Briefly, MV4-11 cells were treated with quercetin probe or DMSO (as vector control) for 12 or 24hr. Equal amounts of cell lysates (two biological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re</w:t>
      </w:r>
      <w:r w:rsidR="00D2180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plicates for quercetin probe and two for DMSO) were used for click chemistry to form protein conjugate with biotin tags respectively. The precipitated </w:t>
      </w:r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protein pellets were digested with trypsin (Promega) and the resultant peptides were separated using a filter-spin column (GE Healthcare). </w:t>
      </w:r>
    </w:p>
    <w:p w14:paraId="6B413474" w14:textId="7DDB583E" w:rsidR="00557B8B" w:rsidRPr="006C6CFD" w:rsidRDefault="006C6CFD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</w:pPr>
      <w:r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    </w:t>
      </w:r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The pull-down samples of quercetin probe were labelled with </w:t>
      </w:r>
      <w:proofErr w:type="spellStart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iTRAQ</w:t>
      </w:r>
      <w:proofErr w:type="spellEnd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reagents 116 and 117, while those of DMSO with </w:t>
      </w:r>
      <w:proofErr w:type="spellStart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iTRAQ</w:t>
      </w:r>
      <w:proofErr w:type="spellEnd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reagents 113 and 114 (AB SCIEX, Foster City, CA). After all samples were pooled together, the </w:t>
      </w:r>
      <w:proofErr w:type="spellStart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iTRAQ</w:t>
      </w:r>
      <w:proofErr w:type="spellEnd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-labelled peptide samples were purified </w:t>
      </w:r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by an </w:t>
      </w:r>
      <w:proofErr w:type="spellStart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iTRAQ</w:t>
      </w:r>
      <w:proofErr w:type="spellEnd"/>
      <w:r w:rsidR="00B21E7B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Method Development Kit (SCIEX, 4352160) using the strong cation exchange chromatography technique. 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Then the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pooled 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peptide mixtures were separated using an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Eksigent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NanoLCUltra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system coupled to the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ChiPLC-Nanoflex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system (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Eksigent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, USA), before detection by MS/MS with a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>TripleTOF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</w:rPr>
        <w:t xml:space="preserve"> 5600 system (SCIEX). </w:t>
      </w:r>
    </w:p>
    <w:p w14:paraId="3122BAB0" w14:textId="0F4D911B" w:rsidR="00517B33" w:rsidRPr="006C6CFD" w:rsidRDefault="006C6CFD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</w:pPr>
      <w:r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   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Lastly, the </w:t>
      </w:r>
      <w:proofErr w:type="spellStart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ProteinPilot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vertAlign w:val="superscript"/>
          <w:lang w:val="en-US"/>
        </w:rPr>
        <w:t>TM</w:t>
      </w:r>
      <w:proofErr w:type="spellEnd"/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Software 4.5 (SCIEX) 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coupled with </w:t>
      </w:r>
      <w:proofErr w:type="spellStart"/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ParagonTM</w:t>
      </w:r>
      <w:proofErr w:type="spellEnd"/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algorithm 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w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ere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selected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to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conduct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database searches, in order to </w:t>
      </w:r>
      <w:r w:rsidR="00517B33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identify and quantify the relevant proteins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. The database include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s</w:t>
      </w:r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a total of 91,468 human protein sequence entries according to the International Protein Index v3.87. The function of </w:t>
      </w:r>
      <w:proofErr w:type="spellStart"/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>Progroup</w:t>
      </w:r>
      <w:proofErr w:type="spellEnd"/>
      <w:r w:rsidR="00C51F5F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 algorithm was used to eliminate redundancy, while a decoy database search to determine the false discovery rate. The data were finally exported to an Excel file for manual data analysis. The cutoff </w:t>
      </w:r>
      <w:r w:rsidR="00E71B14" w:rsidRPr="006C6CFD">
        <w:rPr>
          <w:rFonts w:ascii="TimesNewRomanPSMT" w:eastAsia="Times New Roman" w:hAnsi="TimesNewRomanPSMT" w:cs="Times New Roman"/>
          <w:color w:val="000000"/>
          <w:sz w:val="28"/>
          <w:szCs w:val="28"/>
          <w:lang w:val="en-US"/>
        </w:rPr>
        <w:t xml:space="preserve">thresholds were set at &gt;1.3 or &lt;0.77. </w:t>
      </w:r>
    </w:p>
    <w:p w14:paraId="44548EA4" w14:textId="77777777" w:rsidR="00C51F5F" w:rsidRDefault="00C51F5F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en-US"/>
        </w:rPr>
      </w:pPr>
    </w:p>
    <w:p w14:paraId="0D9DF4B5" w14:textId="77777777" w:rsidR="00C51F5F" w:rsidRDefault="00C51F5F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val="en-US"/>
        </w:rPr>
      </w:pPr>
    </w:p>
    <w:p w14:paraId="1022DA07" w14:textId="2412FA90" w:rsidR="00557B8B" w:rsidRDefault="00557B8B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</w:rPr>
      </w:pPr>
    </w:p>
    <w:p w14:paraId="07232CC0" w14:textId="6B786B55" w:rsidR="00557B8B" w:rsidRDefault="00557B8B" w:rsidP="00557B8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</w:rPr>
      </w:pPr>
    </w:p>
    <w:p w14:paraId="05BA94D1" w14:textId="77777777" w:rsidR="00557B8B" w:rsidRPr="00557B8B" w:rsidRDefault="00557B8B" w:rsidP="00557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57B8B" w:rsidRPr="00557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3C831" w14:textId="77777777" w:rsidR="00E85DD4" w:rsidRDefault="00E85DD4" w:rsidP="006C6CFD">
      <w:pPr>
        <w:spacing w:after="0" w:line="240" w:lineRule="auto"/>
      </w:pPr>
      <w:r>
        <w:separator/>
      </w:r>
    </w:p>
  </w:endnote>
  <w:endnote w:type="continuationSeparator" w:id="0">
    <w:p w14:paraId="5355F294" w14:textId="77777777" w:rsidR="00E85DD4" w:rsidRDefault="00E85DD4" w:rsidP="006C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4E525" w14:textId="77777777" w:rsidR="00E85DD4" w:rsidRDefault="00E85DD4" w:rsidP="006C6CFD">
      <w:pPr>
        <w:spacing w:after="0" w:line="240" w:lineRule="auto"/>
      </w:pPr>
      <w:r>
        <w:separator/>
      </w:r>
    </w:p>
  </w:footnote>
  <w:footnote w:type="continuationSeparator" w:id="0">
    <w:p w14:paraId="0D87F16D" w14:textId="77777777" w:rsidR="00E85DD4" w:rsidRDefault="00E85DD4" w:rsidP="006C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9A"/>
    <w:rsid w:val="0010206E"/>
    <w:rsid w:val="00517B33"/>
    <w:rsid w:val="00557B8B"/>
    <w:rsid w:val="006C6CFD"/>
    <w:rsid w:val="00B21E7B"/>
    <w:rsid w:val="00C51F5F"/>
    <w:rsid w:val="00D21804"/>
    <w:rsid w:val="00E71B14"/>
    <w:rsid w:val="00E85DD4"/>
    <w:rsid w:val="00E977EC"/>
    <w:rsid w:val="00E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25959"/>
  <w15:chartTrackingRefBased/>
  <w15:docId w15:val="{553EDBAD-88D8-46BA-B139-BCAE836F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6C6CFD"/>
  </w:style>
  <w:style w:type="paragraph" w:styleId="a5">
    <w:name w:val="footer"/>
    <w:basedOn w:val="a"/>
    <w:link w:val="a6"/>
    <w:uiPriority w:val="99"/>
    <w:unhideWhenUsed/>
    <w:rsid w:val="006C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6C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Golden</dc:creator>
  <cp:keywords/>
  <dc:description/>
  <cp:lastModifiedBy>gardenia zhou</cp:lastModifiedBy>
  <cp:revision>2</cp:revision>
  <cp:lastPrinted>2020-09-02T07:11:00Z</cp:lastPrinted>
  <dcterms:created xsi:type="dcterms:W3CDTF">2020-09-02T07:12:00Z</dcterms:created>
  <dcterms:modified xsi:type="dcterms:W3CDTF">2020-09-02T07:12:00Z</dcterms:modified>
</cp:coreProperties>
</file>