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FB" w:rsidRDefault="00C066FB" w:rsidP="00D23F73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4A239F">
        <w:rPr>
          <w:rFonts w:ascii="Times New Roman" w:eastAsia="等线" w:hAnsi="Times New Roman" w:cs="Times New Roman"/>
          <w:b/>
          <w:sz w:val="24"/>
        </w:rPr>
        <w:t xml:space="preserve">Figure </w:t>
      </w:r>
      <w:r w:rsidR="0042080B">
        <w:rPr>
          <w:rFonts w:ascii="Times New Roman" w:eastAsia="等线" w:hAnsi="Times New Roman" w:cs="Times New Roman"/>
          <w:b/>
          <w:sz w:val="24"/>
        </w:rPr>
        <w:t>S</w:t>
      </w:r>
      <w:r w:rsidRPr="004A239F">
        <w:rPr>
          <w:rFonts w:ascii="Times New Roman" w:eastAsia="等线" w:hAnsi="Times New Roman" w:cs="Times New Roman"/>
          <w:b/>
          <w:sz w:val="24"/>
        </w:rPr>
        <w:t xml:space="preserve">1. </w:t>
      </w:r>
      <w:r w:rsidRPr="00784D28">
        <w:rPr>
          <w:rFonts w:ascii="Times New Roman" w:hAnsi="Times New Roman" w:cs="Times New Roman"/>
          <w:sz w:val="24"/>
          <w:szCs w:val="24"/>
        </w:rPr>
        <w:t>Flow chart of study patients’ selection.</w:t>
      </w:r>
    </w:p>
    <w:p w:rsidR="00C066FB" w:rsidRDefault="00C066FB" w:rsidP="00D23F73">
      <w:pPr>
        <w:snapToGrid w:val="0"/>
        <w:rPr>
          <w:rFonts w:ascii="Times New Roman" w:eastAsia="等线" w:hAnsi="Times New Roman" w:cs="Times New Roman"/>
          <w:b/>
          <w:sz w:val="24"/>
        </w:rPr>
      </w:pPr>
      <w:r w:rsidRPr="00C066FB">
        <w:rPr>
          <w:rFonts w:ascii="Times New Roman" w:eastAsia="等线" w:hAnsi="Times New Roman" w:cs="Times New Roman"/>
          <w:b/>
          <w:noProof/>
          <w:sz w:val="24"/>
        </w:rPr>
        <w:drawing>
          <wp:inline distT="0" distB="0" distL="0" distR="0">
            <wp:extent cx="5274310" cy="5344126"/>
            <wp:effectExtent l="0" t="0" r="2540" b="9525"/>
            <wp:docPr id="5" name="图片 5" descr="C:\课题合作\王子平\SCLC列线图\是否手术\王\fig\fig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课题合作\王子平\SCLC列线图\是否手术\王\fig\fig\fi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4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6FB" w:rsidRDefault="00C066FB">
      <w:pPr>
        <w:widowControl/>
        <w:jc w:val="left"/>
        <w:rPr>
          <w:rFonts w:ascii="Times New Roman" w:eastAsia="等线" w:hAnsi="Times New Roman" w:cs="Times New Roman"/>
          <w:b/>
          <w:sz w:val="24"/>
        </w:rPr>
      </w:pPr>
      <w:r>
        <w:rPr>
          <w:rFonts w:ascii="Times New Roman" w:eastAsia="等线" w:hAnsi="Times New Roman" w:cs="Times New Roman"/>
          <w:b/>
          <w:sz w:val="24"/>
        </w:rPr>
        <w:br w:type="page"/>
      </w:r>
    </w:p>
    <w:p w:rsidR="00D23F73" w:rsidRDefault="00D23F73" w:rsidP="00D23F73">
      <w:pPr>
        <w:snapToGrid w:val="0"/>
        <w:rPr>
          <w:rFonts w:ascii="Times New Roman" w:eastAsia="等线" w:hAnsi="Times New Roman" w:cs="Times New Roman"/>
          <w:sz w:val="24"/>
          <w:szCs w:val="21"/>
        </w:rPr>
      </w:pPr>
      <w:r w:rsidRPr="004A239F">
        <w:rPr>
          <w:rFonts w:ascii="Times New Roman" w:eastAsia="等线" w:hAnsi="Times New Roman" w:cs="Times New Roman"/>
          <w:b/>
          <w:sz w:val="24"/>
        </w:rPr>
        <w:lastRenderedPageBreak/>
        <w:t xml:space="preserve">Figure </w:t>
      </w:r>
      <w:r w:rsidR="0042080B">
        <w:rPr>
          <w:rFonts w:ascii="Times New Roman" w:eastAsia="等线" w:hAnsi="Times New Roman" w:cs="Times New Roman"/>
          <w:b/>
          <w:sz w:val="24"/>
        </w:rPr>
        <w:t>S</w:t>
      </w:r>
      <w:r w:rsidR="00C066FB">
        <w:rPr>
          <w:rFonts w:ascii="Times New Roman" w:eastAsia="等线" w:hAnsi="Times New Roman" w:cs="Times New Roman"/>
          <w:b/>
          <w:sz w:val="24"/>
        </w:rPr>
        <w:t>2</w:t>
      </w:r>
      <w:r w:rsidRPr="004A239F">
        <w:rPr>
          <w:rFonts w:ascii="Times New Roman" w:eastAsia="等线" w:hAnsi="Times New Roman" w:cs="Times New Roman"/>
          <w:b/>
          <w:sz w:val="24"/>
        </w:rPr>
        <w:t xml:space="preserve">. </w:t>
      </w:r>
      <w:r w:rsidRPr="004A239F">
        <w:rPr>
          <w:rFonts w:ascii="Times New Roman" w:eastAsia="等线" w:hAnsi="Times New Roman" w:cs="Times New Roman"/>
          <w:sz w:val="24"/>
        </w:rPr>
        <w:t xml:space="preserve">Kaplan-Meier survival curves for I-II stage SCLC patients with or without surgery across five propensity score strata. A. </w:t>
      </w:r>
      <w:r w:rsidRPr="004A239F">
        <w:rPr>
          <w:rFonts w:ascii="Times New Roman" w:eastAsia="等线" w:hAnsi="Times New Roman" w:cs="Times New Roman" w:hint="eastAsia"/>
          <w:sz w:val="24"/>
          <w:szCs w:val="21"/>
        </w:rPr>
        <w:t>propensity score quintile</w:t>
      </w:r>
      <w:r w:rsidRPr="004A239F">
        <w:rPr>
          <w:rFonts w:ascii="Times New Roman" w:eastAsia="等线" w:hAnsi="Times New Roman" w:cs="Times New Roman"/>
          <w:sz w:val="24"/>
          <w:szCs w:val="21"/>
        </w:rPr>
        <w:t xml:space="preserve"> 1 group; </w:t>
      </w:r>
      <w:r w:rsidRPr="004A239F">
        <w:rPr>
          <w:rFonts w:ascii="Times New Roman" w:eastAsia="等线" w:hAnsi="Times New Roman" w:cs="Times New Roman"/>
          <w:sz w:val="24"/>
        </w:rPr>
        <w:t xml:space="preserve">B. </w:t>
      </w:r>
      <w:r w:rsidRPr="004A239F">
        <w:rPr>
          <w:rFonts w:ascii="Times New Roman" w:eastAsia="等线" w:hAnsi="Times New Roman" w:cs="Times New Roman" w:hint="eastAsia"/>
          <w:sz w:val="24"/>
          <w:szCs w:val="21"/>
        </w:rPr>
        <w:t>propensity score quintile</w:t>
      </w:r>
      <w:r w:rsidRPr="004A239F">
        <w:rPr>
          <w:rFonts w:ascii="Times New Roman" w:eastAsia="等线" w:hAnsi="Times New Roman" w:cs="Times New Roman"/>
          <w:sz w:val="24"/>
          <w:szCs w:val="21"/>
        </w:rPr>
        <w:t xml:space="preserve"> 2 group;</w:t>
      </w:r>
      <w:r w:rsidRPr="004A239F">
        <w:rPr>
          <w:rFonts w:ascii="Times New Roman" w:eastAsia="等线" w:hAnsi="Times New Roman" w:cs="Times New Roman"/>
          <w:sz w:val="24"/>
        </w:rPr>
        <w:t xml:space="preserve"> C. </w:t>
      </w:r>
      <w:r w:rsidRPr="004A239F">
        <w:rPr>
          <w:rFonts w:ascii="Times New Roman" w:eastAsia="等线" w:hAnsi="Times New Roman" w:cs="Times New Roman" w:hint="eastAsia"/>
          <w:sz w:val="24"/>
          <w:szCs w:val="21"/>
        </w:rPr>
        <w:t>propensity score quintile</w:t>
      </w:r>
      <w:r w:rsidRPr="004A239F">
        <w:rPr>
          <w:rFonts w:ascii="Times New Roman" w:eastAsia="等线" w:hAnsi="Times New Roman" w:cs="Times New Roman"/>
          <w:sz w:val="24"/>
          <w:szCs w:val="21"/>
        </w:rPr>
        <w:t xml:space="preserve"> 3 group;</w:t>
      </w:r>
      <w:r w:rsidRPr="004A239F">
        <w:rPr>
          <w:rFonts w:ascii="Times New Roman" w:eastAsia="等线" w:hAnsi="Times New Roman" w:cs="Times New Roman"/>
          <w:sz w:val="24"/>
        </w:rPr>
        <w:t xml:space="preserve"> D. </w:t>
      </w:r>
      <w:r w:rsidRPr="004A239F">
        <w:rPr>
          <w:rFonts w:ascii="Times New Roman" w:eastAsia="等线" w:hAnsi="Times New Roman" w:cs="Times New Roman" w:hint="eastAsia"/>
          <w:sz w:val="24"/>
          <w:szCs w:val="21"/>
        </w:rPr>
        <w:t>propensity score quintile</w:t>
      </w:r>
      <w:r w:rsidRPr="004A239F">
        <w:rPr>
          <w:rFonts w:ascii="Times New Roman" w:eastAsia="等线" w:hAnsi="Times New Roman" w:cs="Times New Roman"/>
          <w:sz w:val="24"/>
          <w:szCs w:val="21"/>
        </w:rPr>
        <w:t xml:space="preserve"> 4 group;</w:t>
      </w:r>
      <w:r w:rsidRPr="004A239F">
        <w:rPr>
          <w:rFonts w:ascii="Times New Roman" w:eastAsia="等线" w:hAnsi="Times New Roman" w:cs="Times New Roman"/>
          <w:sz w:val="24"/>
        </w:rPr>
        <w:t xml:space="preserve"> and E. </w:t>
      </w:r>
      <w:r w:rsidRPr="004A239F">
        <w:rPr>
          <w:rFonts w:ascii="Times New Roman" w:eastAsia="等线" w:hAnsi="Times New Roman" w:cs="Times New Roman" w:hint="eastAsia"/>
          <w:sz w:val="24"/>
          <w:szCs w:val="21"/>
        </w:rPr>
        <w:t>propensity score quintile</w:t>
      </w:r>
      <w:r w:rsidRPr="004A239F">
        <w:rPr>
          <w:rFonts w:ascii="Times New Roman" w:eastAsia="等线" w:hAnsi="Times New Roman" w:cs="Times New Roman"/>
          <w:sz w:val="24"/>
          <w:szCs w:val="21"/>
        </w:rPr>
        <w:t xml:space="preserve"> 5 group.</w:t>
      </w:r>
    </w:p>
    <w:p w:rsidR="004A239F" w:rsidRPr="004A239F" w:rsidRDefault="004A239F" w:rsidP="00D23F73">
      <w:pPr>
        <w:snapToGrid w:val="0"/>
        <w:rPr>
          <w:rFonts w:ascii="Times New Roman" w:eastAsia="等线" w:hAnsi="Times New Roman" w:cs="Times New Roman"/>
          <w:b/>
          <w:sz w:val="24"/>
        </w:rPr>
      </w:pPr>
    </w:p>
    <w:p w:rsidR="00D23F73" w:rsidRDefault="00D23F73" w:rsidP="00D23F73">
      <w:pPr>
        <w:snapToGrid w:val="0"/>
        <w:rPr>
          <w:rFonts w:ascii="Times New Roman" w:eastAsia="等线" w:hAnsi="Times New Roman" w:cs="Times New Roman"/>
          <w:b/>
        </w:rPr>
      </w:pPr>
      <w:r w:rsidRPr="00D23F73">
        <w:rPr>
          <w:rFonts w:ascii="Times New Roman" w:eastAsia="等线" w:hAnsi="Times New Roman" w:cs="Times New Roman"/>
          <w:b/>
          <w:noProof/>
        </w:rPr>
        <w:drawing>
          <wp:inline distT="0" distB="0" distL="0" distR="0">
            <wp:extent cx="5274310" cy="4747592"/>
            <wp:effectExtent l="0" t="0" r="2540" b="0"/>
            <wp:docPr id="1" name="图片 1" descr="C:\课题合作\王子平\SCLC列线图\是否手术\图片\分层合图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课题合作\王子平\SCLC列线图\是否手术\图片\分层合图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4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17" w:rsidRDefault="002A5B17">
      <w:pPr>
        <w:widowControl/>
        <w:jc w:val="left"/>
        <w:rPr>
          <w:rFonts w:ascii="Times New Roman" w:eastAsia="等线" w:hAnsi="Times New Roman" w:cs="Times New Roman"/>
          <w:b/>
        </w:rPr>
      </w:pPr>
      <w:r>
        <w:rPr>
          <w:rFonts w:ascii="Times New Roman" w:eastAsia="等线" w:hAnsi="Times New Roman" w:cs="Times New Roman"/>
          <w:b/>
        </w:rPr>
        <w:br w:type="page"/>
      </w:r>
    </w:p>
    <w:p w:rsidR="00D23F73" w:rsidRPr="004A239F" w:rsidRDefault="00D23F73" w:rsidP="00D23F73">
      <w:pPr>
        <w:snapToGrid w:val="0"/>
        <w:rPr>
          <w:rFonts w:ascii="Times New Roman" w:eastAsia="等线" w:hAnsi="Times New Roman" w:cs="Times New Roman"/>
          <w:sz w:val="24"/>
        </w:rPr>
      </w:pPr>
      <w:r w:rsidRPr="004A239F">
        <w:rPr>
          <w:rFonts w:ascii="Times New Roman" w:eastAsia="等线" w:hAnsi="Times New Roman" w:cs="Times New Roman"/>
          <w:b/>
          <w:sz w:val="24"/>
        </w:rPr>
        <w:lastRenderedPageBreak/>
        <w:t xml:space="preserve">Figure </w:t>
      </w:r>
      <w:r w:rsidR="0042080B">
        <w:rPr>
          <w:rFonts w:ascii="Times New Roman" w:eastAsia="等线" w:hAnsi="Times New Roman" w:cs="Times New Roman"/>
          <w:b/>
          <w:sz w:val="24"/>
        </w:rPr>
        <w:t>S</w:t>
      </w:r>
      <w:r w:rsidR="00C066FB">
        <w:rPr>
          <w:rFonts w:ascii="Times New Roman" w:eastAsia="等线" w:hAnsi="Times New Roman" w:cs="Times New Roman"/>
          <w:b/>
          <w:sz w:val="24"/>
        </w:rPr>
        <w:t>3</w:t>
      </w:r>
      <w:r w:rsidRPr="004A239F">
        <w:rPr>
          <w:rFonts w:ascii="Times New Roman" w:eastAsia="等线" w:hAnsi="Times New Roman" w:cs="Times New Roman"/>
          <w:b/>
          <w:sz w:val="24"/>
        </w:rPr>
        <w:t>.</w:t>
      </w:r>
      <w:r w:rsidRPr="004A239F">
        <w:rPr>
          <w:rFonts w:ascii="Times New Roman" w:eastAsia="等线" w:hAnsi="Times New Roman" w:cs="Times New Roman"/>
          <w:sz w:val="24"/>
        </w:rPr>
        <w:t xml:space="preserve"> Propensity score distributions (</w:t>
      </w:r>
      <w:r w:rsidRPr="00D12806">
        <w:rPr>
          <w:rFonts w:ascii="Times New Roman" w:eastAsia="等线" w:hAnsi="Times New Roman" w:cs="Times New Roman"/>
          <w:b/>
          <w:sz w:val="24"/>
        </w:rPr>
        <w:t>A</w:t>
      </w:r>
      <w:r w:rsidRPr="004A239F">
        <w:rPr>
          <w:rFonts w:ascii="Times New Roman" w:eastAsia="等线" w:hAnsi="Times New Roman" w:cs="Times New Roman"/>
          <w:sz w:val="24"/>
        </w:rPr>
        <w:t>) before matching, and (</w:t>
      </w:r>
      <w:r w:rsidRPr="00D12806">
        <w:rPr>
          <w:rFonts w:ascii="Times New Roman" w:eastAsia="等线" w:hAnsi="Times New Roman" w:cs="Times New Roman"/>
          <w:b/>
          <w:sz w:val="24"/>
        </w:rPr>
        <w:t>B</w:t>
      </w:r>
      <w:r w:rsidRPr="004A239F">
        <w:rPr>
          <w:rFonts w:ascii="Times New Roman" w:eastAsia="等线" w:hAnsi="Times New Roman" w:cs="Times New Roman"/>
          <w:sz w:val="24"/>
        </w:rPr>
        <w:t>) after matching.</w:t>
      </w:r>
    </w:p>
    <w:p w:rsidR="00D23F73" w:rsidRDefault="00D23F73" w:rsidP="00D23F73">
      <w:pPr>
        <w:snapToGrid w:val="0"/>
        <w:rPr>
          <w:rFonts w:ascii="Times New Roman" w:eastAsia="等线" w:hAnsi="Times New Roman" w:cs="Times New Roman"/>
          <w:sz w:val="24"/>
        </w:rPr>
      </w:pPr>
      <w:r>
        <w:rPr>
          <w:rFonts w:ascii="Times New Roman" w:eastAsia="等线" w:hAnsi="Times New Roman" w:cs="Times New Roman"/>
          <w:noProof/>
          <w:sz w:val="24"/>
        </w:rPr>
        <w:drawing>
          <wp:inline distT="0" distB="0" distL="0" distR="0" wp14:anchorId="08BD2F89" wp14:editId="5CD55177">
            <wp:extent cx="5191125" cy="2595245"/>
            <wp:effectExtent l="0" t="0" r="0" b="0"/>
            <wp:docPr id="4" name="图片 4" descr="C:\课题合作\王子平\SCLC列线图\是否手术\fig2 密度曲线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课题合作\王子平\SCLC列线图\是否手术\fig2 密度曲线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2483" cy="259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D8" w:rsidRDefault="00AA59D8" w:rsidP="00D23F73">
      <w:pPr>
        <w:snapToGrid w:val="0"/>
        <w:rPr>
          <w:rFonts w:ascii="Times New Roman" w:eastAsia="等线" w:hAnsi="Times New Roman" w:cs="Times New Roman"/>
          <w:sz w:val="24"/>
        </w:rPr>
      </w:pPr>
    </w:p>
    <w:p w:rsidR="00AA59D8" w:rsidRDefault="00AA59D8">
      <w:pPr>
        <w:widowControl/>
        <w:jc w:val="left"/>
        <w:rPr>
          <w:rFonts w:ascii="Times New Roman" w:eastAsia="等线" w:hAnsi="Times New Roman" w:cs="Times New Roman"/>
          <w:b/>
          <w:sz w:val="24"/>
        </w:rPr>
      </w:pPr>
      <w:r>
        <w:rPr>
          <w:rFonts w:ascii="Times New Roman" w:eastAsia="等线" w:hAnsi="Times New Roman" w:cs="Times New Roman"/>
          <w:b/>
          <w:sz w:val="24"/>
        </w:rPr>
        <w:br w:type="page"/>
      </w:r>
    </w:p>
    <w:p w:rsidR="00AA59D8" w:rsidRDefault="00AA59D8" w:rsidP="00D23F73">
      <w:pPr>
        <w:snapToGrid w:val="0"/>
        <w:rPr>
          <w:rFonts w:ascii="Times New Roman" w:eastAsia="等线" w:hAnsi="Times New Roman" w:cs="Times New Roman"/>
          <w:sz w:val="24"/>
        </w:rPr>
      </w:pPr>
      <w:r w:rsidRPr="00AA59D8">
        <w:rPr>
          <w:rFonts w:ascii="Times New Roman" w:eastAsia="等线" w:hAnsi="Times New Roman" w:cs="Times New Roman"/>
          <w:b/>
          <w:sz w:val="24"/>
        </w:rPr>
        <w:lastRenderedPageBreak/>
        <w:t xml:space="preserve">Figure </w:t>
      </w:r>
      <w:r w:rsidR="0042080B">
        <w:rPr>
          <w:rFonts w:ascii="Times New Roman" w:eastAsia="等线" w:hAnsi="Times New Roman" w:cs="Times New Roman"/>
          <w:b/>
          <w:sz w:val="24"/>
        </w:rPr>
        <w:t>S</w:t>
      </w:r>
      <w:r w:rsidR="00C066FB">
        <w:rPr>
          <w:rFonts w:ascii="Times New Roman" w:eastAsia="等线" w:hAnsi="Times New Roman" w:cs="Times New Roman"/>
          <w:b/>
          <w:sz w:val="24"/>
        </w:rPr>
        <w:t>4</w:t>
      </w:r>
      <w:r w:rsidRPr="00AA59D8">
        <w:rPr>
          <w:rFonts w:ascii="Times New Roman" w:eastAsia="等线" w:hAnsi="Times New Roman" w:cs="Times New Roman"/>
          <w:b/>
          <w:sz w:val="24"/>
        </w:rPr>
        <w:t xml:space="preserve">. </w:t>
      </w:r>
      <w:r w:rsidRPr="00AA59D8">
        <w:rPr>
          <w:rFonts w:ascii="Times New Roman" w:eastAsia="等线" w:hAnsi="Times New Roman" w:cs="Times New Roman"/>
          <w:sz w:val="24"/>
        </w:rPr>
        <w:t>Kaplan-Meier survival curves for I-II stage SCLC patients with or without surgery</w:t>
      </w:r>
      <w:r>
        <w:rPr>
          <w:rFonts w:ascii="Times New Roman" w:eastAsia="等线" w:hAnsi="Times New Roman" w:cs="Times New Roman"/>
          <w:sz w:val="24"/>
        </w:rPr>
        <w:t xml:space="preserve"> after propensity score matching</w:t>
      </w:r>
      <w:r w:rsidRPr="00AA59D8">
        <w:rPr>
          <w:rFonts w:ascii="Times New Roman" w:eastAsia="等线" w:hAnsi="Times New Roman" w:cs="Times New Roman"/>
          <w:sz w:val="24"/>
        </w:rPr>
        <w:t>.</w:t>
      </w:r>
    </w:p>
    <w:p w:rsidR="00AA59D8" w:rsidRDefault="00AA59D8" w:rsidP="00D23F73">
      <w:pPr>
        <w:snapToGrid w:val="0"/>
        <w:rPr>
          <w:rFonts w:ascii="Times New Roman" w:eastAsia="等线" w:hAnsi="Times New Roman" w:cs="Times New Roman"/>
          <w:sz w:val="24"/>
        </w:rPr>
      </w:pPr>
      <w:r w:rsidRPr="00AA59D8">
        <w:rPr>
          <w:rFonts w:ascii="Times New Roman" w:eastAsia="等线" w:hAnsi="Times New Roman" w:cs="Times New Roman"/>
          <w:noProof/>
          <w:sz w:val="24"/>
        </w:rPr>
        <w:drawing>
          <wp:inline distT="0" distB="0" distL="0" distR="0">
            <wp:extent cx="5274310" cy="3164028"/>
            <wp:effectExtent l="0" t="0" r="2540" b="0"/>
            <wp:docPr id="2" name="图片 2" descr="C:\课题合作\王子平\SCLC列线图\是否手术\图片\匹配后 KM曲线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课题合作\王子平\SCLC列线图\是否手术\图片\匹配后 KM曲线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17" w:rsidRDefault="002A5B17">
      <w:pPr>
        <w:widowControl/>
        <w:jc w:val="left"/>
        <w:rPr>
          <w:rFonts w:ascii="Times New Roman" w:eastAsia="等线" w:hAnsi="Times New Roman" w:cs="Times New Roman"/>
          <w:b/>
          <w:szCs w:val="21"/>
        </w:rPr>
      </w:pPr>
      <w:r>
        <w:rPr>
          <w:rFonts w:ascii="Times New Roman" w:eastAsia="等线" w:hAnsi="Times New Roman" w:cs="Times New Roman"/>
          <w:b/>
          <w:szCs w:val="21"/>
        </w:rPr>
        <w:br w:type="page"/>
      </w:r>
    </w:p>
    <w:p w:rsidR="00B3672E" w:rsidRDefault="00B3672E" w:rsidP="00B3672E">
      <w:pPr>
        <w:snapToGrid w:val="0"/>
        <w:rPr>
          <w:rFonts w:ascii="Times New Roman" w:eastAsia="等线" w:hAnsi="Times New Roman" w:cs="Times New Roman"/>
          <w:b/>
          <w:szCs w:val="21"/>
        </w:rPr>
      </w:pPr>
      <w:r>
        <w:rPr>
          <w:rFonts w:ascii="Times New Roman" w:eastAsia="等线" w:hAnsi="Times New Roman" w:cs="Times New Roman"/>
          <w:b/>
          <w:sz w:val="24"/>
        </w:rPr>
        <w:lastRenderedPageBreak/>
        <w:t xml:space="preserve">Figure </w:t>
      </w:r>
      <w:r w:rsidR="0042080B">
        <w:rPr>
          <w:rFonts w:ascii="Times New Roman" w:eastAsia="等线" w:hAnsi="Times New Roman" w:cs="Times New Roman"/>
          <w:b/>
          <w:sz w:val="24"/>
        </w:rPr>
        <w:t>S</w:t>
      </w:r>
      <w:r w:rsidR="00C066FB">
        <w:rPr>
          <w:rFonts w:ascii="Times New Roman" w:eastAsia="等线" w:hAnsi="Times New Roman" w:cs="Times New Roman"/>
          <w:b/>
          <w:sz w:val="24"/>
        </w:rPr>
        <w:t>5</w:t>
      </w:r>
      <w:r w:rsidRPr="00AA59D8">
        <w:rPr>
          <w:rFonts w:ascii="Times New Roman" w:eastAsia="等线" w:hAnsi="Times New Roman" w:cs="Times New Roman"/>
          <w:b/>
          <w:sz w:val="24"/>
        </w:rPr>
        <w:t>.</w:t>
      </w:r>
      <w:r w:rsidRPr="00B3672E">
        <w:t xml:space="preserve"> </w:t>
      </w:r>
      <w:r w:rsidRPr="00B3672E">
        <w:rPr>
          <w:rFonts w:ascii="Times New Roman" w:eastAsia="等线" w:hAnsi="Times New Roman" w:cs="Times New Roman"/>
          <w:sz w:val="24"/>
        </w:rPr>
        <w:t>Transformation of Continuous Variables in Univariate Analysis Using Restricted Cubic Splines relating to (</w:t>
      </w:r>
      <w:r w:rsidRPr="00B3672E">
        <w:rPr>
          <w:rFonts w:ascii="Times New Roman" w:eastAsia="等线" w:hAnsi="Times New Roman" w:cs="Times New Roman"/>
          <w:b/>
          <w:sz w:val="24"/>
        </w:rPr>
        <w:t>A</w:t>
      </w:r>
      <w:r w:rsidRPr="00B3672E">
        <w:rPr>
          <w:rFonts w:ascii="Times New Roman" w:eastAsia="等线" w:hAnsi="Times New Roman" w:cs="Times New Roman"/>
          <w:sz w:val="24"/>
        </w:rPr>
        <w:t>) age and (</w:t>
      </w:r>
      <w:r w:rsidRPr="00B3672E">
        <w:rPr>
          <w:rFonts w:ascii="Times New Roman" w:eastAsia="等线" w:hAnsi="Times New Roman" w:cs="Times New Roman"/>
          <w:b/>
          <w:sz w:val="24"/>
        </w:rPr>
        <w:t>B</w:t>
      </w:r>
      <w:r w:rsidRPr="00B3672E">
        <w:rPr>
          <w:rFonts w:ascii="Times New Roman" w:eastAsia="等线" w:hAnsi="Times New Roman" w:cs="Times New Roman"/>
          <w:sz w:val="24"/>
        </w:rPr>
        <w:t xml:space="preserve">) </w:t>
      </w:r>
      <w:r>
        <w:rPr>
          <w:rFonts w:ascii="Times New Roman" w:eastAsia="等线" w:hAnsi="Times New Roman" w:cs="Times New Roman"/>
          <w:sz w:val="24"/>
        </w:rPr>
        <w:t>tumor size</w:t>
      </w:r>
      <w:r w:rsidRPr="00B3672E">
        <w:rPr>
          <w:rFonts w:ascii="Times New Roman" w:eastAsia="等线" w:hAnsi="Times New Roman" w:cs="Times New Roman"/>
          <w:sz w:val="24"/>
        </w:rPr>
        <w:t>.</w:t>
      </w:r>
    </w:p>
    <w:p w:rsidR="00B3672E" w:rsidRDefault="00B3672E" w:rsidP="002A5B17">
      <w:pPr>
        <w:snapToGrid w:val="0"/>
        <w:rPr>
          <w:rFonts w:ascii="Times New Roman" w:eastAsia="等线" w:hAnsi="Times New Roman" w:cs="Times New Roman"/>
          <w:b/>
          <w:szCs w:val="21"/>
        </w:rPr>
      </w:pPr>
      <w:r w:rsidRPr="00B3672E">
        <w:rPr>
          <w:rFonts w:ascii="Times New Roman" w:eastAsia="等线" w:hAnsi="Times New Roman" w:cs="Times New Roman"/>
          <w:b/>
          <w:noProof/>
          <w:szCs w:val="21"/>
        </w:rPr>
        <w:drawing>
          <wp:inline distT="0" distB="0" distL="0" distR="0">
            <wp:extent cx="5274310" cy="2021566"/>
            <wp:effectExtent l="0" t="0" r="2540" b="0"/>
            <wp:docPr id="3" name="图片 3" descr="C:\课题合作\王子平\SCLC列线图\是否手术\图片\补充图片 立方样条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课题合作\王子平\SCLC列线图\是否手术\图片\补充图片 立方样条.ti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2E" w:rsidRDefault="00B3672E">
      <w:pPr>
        <w:widowControl/>
        <w:jc w:val="left"/>
        <w:rPr>
          <w:rFonts w:ascii="Times New Roman" w:eastAsia="等线" w:hAnsi="Times New Roman" w:cs="Times New Roman"/>
          <w:b/>
          <w:sz w:val="24"/>
          <w:szCs w:val="21"/>
        </w:rPr>
      </w:pPr>
      <w:r>
        <w:rPr>
          <w:rFonts w:ascii="Times New Roman" w:eastAsia="等线" w:hAnsi="Times New Roman" w:cs="Times New Roman"/>
          <w:b/>
          <w:sz w:val="24"/>
          <w:szCs w:val="21"/>
        </w:rPr>
        <w:br w:type="page"/>
      </w:r>
    </w:p>
    <w:p w:rsidR="002A5B17" w:rsidRPr="00B3672E" w:rsidRDefault="002A5B17" w:rsidP="002A5B17">
      <w:pPr>
        <w:snapToGrid w:val="0"/>
        <w:rPr>
          <w:rFonts w:ascii="Times New Roman" w:eastAsia="等线" w:hAnsi="Times New Roman" w:cs="Times New Roman"/>
          <w:sz w:val="24"/>
          <w:szCs w:val="21"/>
        </w:rPr>
      </w:pPr>
      <w:bookmarkStart w:id="0" w:name="_GoBack"/>
      <w:r w:rsidRPr="00B3672E">
        <w:rPr>
          <w:rFonts w:ascii="Times New Roman" w:eastAsia="等线" w:hAnsi="Times New Roman" w:cs="Times New Roman"/>
          <w:b/>
          <w:sz w:val="24"/>
          <w:szCs w:val="21"/>
        </w:rPr>
        <w:lastRenderedPageBreak/>
        <w:t>T</w:t>
      </w:r>
      <w:r w:rsidRPr="00B3672E">
        <w:rPr>
          <w:rFonts w:ascii="Times New Roman" w:eastAsia="等线" w:hAnsi="Times New Roman" w:cs="Times New Roman" w:hint="eastAsia"/>
          <w:b/>
          <w:sz w:val="24"/>
          <w:szCs w:val="21"/>
        </w:rPr>
        <w:t>able</w:t>
      </w:r>
      <w:r w:rsidRPr="00B3672E">
        <w:rPr>
          <w:rFonts w:ascii="Times New Roman" w:eastAsia="等线" w:hAnsi="Times New Roman" w:cs="Times New Roman"/>
          <w:b/>
          <w:sz w:val="24"/>
          <w:szCs w:val="21"/>
        </w:rPr>
        <w:t xml:space="preserve"> </w:t>
      </w:r>
      <w:r w:rsidR="0042080B">
        <w:rPr>
          <w:rFonts w:ascii="Times New Roman" w:eastAsia="等线" w:hAnsi="Times New Roman" w:cs="Times New Roman"/>
          <w:b/>
          <w:sz w:val="24"/>
          <w:szCs w:val="21"/>
        </w:rPr>
        <w:t>S</w:t>
      </w:r>
      <w:r w:rsidRPr="00B3672E">
        <w:rPr>
          <w:rFonts w:ascii="Times New Roman" w:eastAsia="等线" w:hAnsi="Times New Roman" w:cs="Times New Roman"/>
          <w:b/>
          <w:sz w:val="24"/>
          <w:szCs w:val="21"/>
        </w:rPr>
        <w:t xml:space="preserve">1. </w:t>
      </w:r>
      <w:r w:rsidRPr="00B3672E">
        <w:rPr>
          <w:rFonts w:ascii="Times New Roman" w:eastAsia="等线" w:hAnsi="Times New Roman" w:cs="Times New Roman"/>
          <w:sz w:val="24"/>
          <w:szCs w:val="21"/>
        </w:rPr>
        <w:t>Cox proportional hazard multivariable regression model parameters.</w:t>
      </w:r>
    </w:p>
    <w:tbl>
      <w:tblPr>
        <w:tblStyle w:val="a7"/>
        <w:tblW w:w="4887" w:type="dxa"/>
        <w:tblLayout w:type="fixed"/>
        <w:tblLook w:val="04A0" w:firstRow="1" w:lastRow="0" w:firstColumn="1" w:lastColumn="0" w:noHBand="0" w:noVBand="1"/>
      </w:tblPr>
      <w:tblGrid>
        <w:gridCol w:w="2352"/>
        <w:gridCol w:w="1728"/>
        <w:gridCol w:w="807"/>
      </w:tblGrid>
      <w:tr w:rsidR="002A5B17" w:rsidTr="00F6100E">
        <w:trPr>
          <w:trHeight w:val="340"/>
        </w:trPr>
        <w:tc>
          <w:tcPr>
            <w:tcW w:w="2352" w:type="dxa"/>
            <w:vAlign w:val="center"/>
          </w:tcPr>
          <w:bookmarkEnd w:id="0"/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 xml:space="preserve">Covariate 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Beta coefficient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P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 xml:space="preserve">Age </w:t>
            </w:r>
            <w:r>
              <w:rPr>
                <w:rFonts w:ascii="Times New Roman" w:eastAsia="等线" w:hAnsi="Times New Roman" w:cs="Times New Roman"/>
                <w:szCs w:val="21"/>
                <w:vertAlign w:val="superscript"/>
              </w:rPr>
              <w:t>a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0.031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&lt;0.001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Age’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-0.003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widowControl/>
              <w:snapToGrid w:val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0.692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Tumor size</w:t>
            </w:r>
            <w:r>
              <w:rPr>
                <w:rFonts w:ascii="Times New Roman" w:eastAsia="等线" w:hAnsi="Times New Roman" w:cs="Times New Roman"/>
                <w:szCs w:val="21"/>
                <w:vertAlign w:val="superscript"/>
              </w:rPr>
              <w:t xml:space="preserve"> b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widowControl/>
              <w:snapToGrid w:val="0"/>
              <w:ind w:right="21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0.100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widowControl/>
              <w:snapToGrid w:val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0.012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Tumor size’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-0.064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0.264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Regional extension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0.246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&lt;0.001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N1 stage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0.083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0.208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Surgery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-1.252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&lt;0.001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Chemotherapy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-0.261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0.002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Radiotherapy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-0.697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&lt;0.001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Surgery</w:t>
            </w:r>
            <w:r>
              <w:rPr>
                <w:rFonts w:ascii="Times New Roman" w:eastAsia="等线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等线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Ra</w:t>
            </w:r>
            <w:r>
              <w:rPr>
                <w:rFonts w:ascii="Times New Roman" w:eastAsia="等线" w:hAnsi="Times New Roman" w:cs="Times New Roman"/>
                <w:szCs w:val="21"/>
              </w:rPr>
              <w:t>diotherapy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0.581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&lt;0.001</w:t>
            </w:r>
          </w:p>
        </w:tc>
      </w:tr>
      <w:tr w:rsidR="002A5B17" w:rsidTr="00F6100E">
        <w:trPr>
          <w:trHeight w:val="340"/>
        </w:trPr>
        <w:tc>
          <w:tcPr>
            <w:tcW w:w="2352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szCs w:val="21"/>
              </w:rPr>
              <w:t>Surgery</w:t>
            </w:r>
            <w:r>
              <w:rPr>
                <w:rFonts w:ascii="Times New Roman" w:eastAsia="等线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等线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>N1 stage</w:t>
            </w:r>
          </w:p>
        </w:tc>
        <w:tc>
          <w:tcPr>
            <w:tcW w:w="1728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0.716</w:t>
            </w:r>
          </w:p>
        </w:tc>
        <w:tc>
          <w:tcPr>
            <w:tcW w:w="807" w:type="dxa"/>
            <w:vAlign w:val="center"/>
          </w:tcPr>
          <w:p w:rsidR="002A5B17" w:rsidRDefault="002A5B17" w:rsidP="00F6100E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&lt;0.001</w:t>
            </w:r>
          </w:p>
        </w:tc>
      </w:tr>
    </w:tbl>
    <w:p w:rsidR="002A5B17" w:rsidRDefault="002A5B17" w:rsidP="002A5B17">
      <w:pPr>
        <w:snapToGrid w:val="0"/>
        <w:rPr>
          <w:rFonts w:ascii="Times New Roman" w:eastAsia="等线" w:hAnsi="Times New Roman" w:cs="Times New Roman"/>
          <w:szCs w:val="21"/>
        </w:rPr>
      </w:pPr>
      <w:r>
        <w:rPr>
          <w:rFonts w:ascii="Times New Roman" w:eastAsia="等线" w:hAnsi="Times New Roman" w:cs="Times New Roman"/>
          <w:szCs w:val="21"/>
          <w:vertAlign w:val="superscript"/>
        </w:rPr>
        <w:t xml:space="preserve">a </w:t>
      </w:r>
      <w:r>
        <w:rPr>
          <w:rFonts w:ascii="Times New Roman" w:eastAsia="等线" w:hAnsi="Times New Roman" w:cs="Times New Roman"/>
          <w:szCs w:val="21"/>
        </w:rPr>
        <w:t>Age modeled using restricted cubic spline function with three knots, requiring two independent coefficients: age and age’.</w:t>
      </w:r>
    </w:p>
    <w:p w:rsidR="002A5B17" w:rsidRDefault="002A5B17" w:rsidP="002A5B17">
      <w:pPr>
        <w:snapToGrid w:val="0"/>
        <w:rPr>
          <w:rFonts w:ascii="Times New Roman" w:eastAsia="等线" w:hAnsi="Times New Roman" w:cs="Times New Roman"/>
          <w:szCs w:val="21"/>
        </w:rPr>
      </w:pPr>
      <w:r>
        <w:rPr>
          <w:rFonts w:ascii="Times New Roman" w:eastAsia="等线" w:hAnsi="Times New Roman" w:cs="Times New Roman"/>
          <w:szCs w:val="21"/>
          <w:vertAlign w:val="superscript"/>
        </w:rPr>
        <w:t xml:space="preserve">b </w:t>
      </w:r>
      <w:r>
        <w:rPr>
          <w:rFonts w:ascii="Times New Roman" w:eastAsia="等线" w:hAnsi="Times New Roman" w:cs="Times New Roman"/>
          <w:szCs w:val="21"/>
        </w:rPr>
        <w:t>Tumor size modeled using restricted cubic spline function with three knots, requiring two independent coefficients: tumor size and tumor size’.</w:t>
      </w:r>
    </w:p>
    <w:p w:rsidR="002E1C05" w:rsidRPr="002A5B17" w:rsidRDefault="002E1C05"/>
    <w:sectPr w:rsidR="002E1C05" w:rsidRPr="002A5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17" w:rsidRDefault="00426E17" w:rsidP="00D23F73">
      <w:r>
        <w:separator/>
      </w:r>
    </w:p>
  </w:endnote>
  <w:endnote w:type="continuationSeparator" w:id="0">
    <w:p w:rsidR="00426E17" w:rsidRDefault="00426E17" w:rsidP="00D2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17" w:rsidRDefault="00426E17" w:rsidP="00D23F73">
      <w:r>
        <w:separator/>
      </w:r>
    </w:p>
  </w:footnote>
  <w:footnote w:type="continuationSeparator" w:id="0">
    <w:p w:rsidR="00426E17" w:rsidRDefault="00426E17" w:rsidP="00D2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79"/>
    <w:rsid w:val="0007025B"/>
    <w:rsid w:val="001B4C85"/>
    <w:rsid w:val="002A5B17"/>
    <w:rsid w:val="002E1C05"/>
    <w:rsid w:val="0042080B"/>
    <w:rsid w:val="00426E17"/>
    <w:rsid w:val="004A239F"/>
    <w:rsid w:val="00522B79"/>
    <w:rsid w:val="00AA59D8"/>
    <w:rsid w:val="00B3672E"/>
    <w:rsid w:val="00C066FB"/>
    <w:rsid w:val="00D12806"/>
    <w:rsid w:val="00D23F73"/>
    <w:rsid w:val="00D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72A20"/>
  <w15:chartTrackingRefBased/>
  <w15:docId w15:val="{A2E734A4-D0A1-4038-BE87-CAC7889D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F73"/>
    <w:rPr>
      <w:sz w:val="18"/>
      <w:szCs w:val="18"/>
    </w:rPr>
  </w:style>
  <w:style w:type="table" w:styleId="a7">
    <w:name w:val="Table Grid"/>
    <w:basedOn w:val="a1"/>
    <w:uiPriority w:val="39"/>
    <w:qFormat/>
    <w:rsid w:val="002A5B1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zqw</dc:creator>
  <cp:keywords/>
  <dc:description/>
  <cp:lastModifiedBy>zqw</cp:lastModifiedBy>
  <cp:revision>10</cp:revision>
  <dcterms:created xsi:type="dcterms:W3CDTF">2019-02-25T15:39:00Z</dcterms:created>
  <dcterms:modified xsi:type="dcterms:W3CDTF">2019-06-07T00:14:00Z</dcterms:modified>
</cp:coreProperties>
</file>