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D39AD11" w14:textId="77777777" w:rsidR="00797460" w:rsidRDefault="00797460" w:rsidP="00A71DA0">
      <w:pPr>
        <w:spacing w:before="240"/>
        <w:rPr>
          <w:b/>
          <w:bCs/>
        </w:rPr>
      </w:pPr>
    </w:p>
    <w:p w14:paraId="067E5F8A" w14:textId="0813EB56" w:rsidR="00A71DA0" w:rsidRDefault="00797460" w:rsidP="00A71DA0">
      <w:pPr>
        <w:spacing w:before="240"/>
      </w:pPr>
      <w:r>
        <w:rPr>
          <w:b/>
          <w:bCs/>
          <w:noProof/>
        </w:rPr>
        <w:drawing>
          <wp:inline distT="0" distB="0" distL="0" distR="0" wp14:anchorId="4DFB0115" wp14:editId="6032C347">
            <wp:extent cx="5543550" cy="5214659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5" r="20877"/>
                    <a:stretch/>
                  </pic:blipFill>
                  <pic:spPr bwMode="auto">
                    <a:xfrm>
                      <a:off x="0" y="0"/>
                      <a:ext cx="5552997" cy="52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1DA0" w:rsidRPr="00A71DA0">
        <w:rPr>
          <w:b/>
          <w:bCs/>
        </w:rPr>
        <w:t xml:space="preserve">Supplementary Figure 1. Protein expression analysis of transgenic Arabidopsis lines expressing AtNHR2A-GFP and AtNHR2B-GFP and free GFP.  </w:t>
      </w:r>
      <w:r w:rsidR="00A71DA0" w:rsidRPr="00A71DA0">
        <w:t xml:space="preserve">Four-week-old plants were inoculated with </w:t>
      </w:r>
      <w:r w:rsidR="00A71DA0" w:rsidRPr="00A71DA0">
        <w:rPr>
          <w:i/>
          <w:iCs/>
        </w:rPr>
        <w:t xml:space="preserve">Pseudomonas </w:t>
      </w:r>
      <w:proofErr w:type="spellStart"/>
      <w:r w:rsidR="00A71DA0" w:rsidRPr="00A71DA0">
        <w:rPr>
          <w:i/>
          <w:iCs/>
        </w:rPr>
        <w:t>syringae</w:t>
      </w:r>
      <w:proofErr w:type="spellEnd"/>
      <w:r w:rsidR="00A71DA0" w:rsidRPr="00A71DA0">
        <w:t xml:space="preserve"> </w:t>
      </w:r>
      <w:proofErr w:type="spellStart"/>
      <w:r w:rsidR="00A71DA0" w:rsidRPr="00A71DA0">
        <w:t>pv</w:t>
      </w:r>
      <w:proofErr w:type="spellEnd"/>
      <w:r w:rsidR="00A71DA0" w:rsidRPr="00A71DA0">
        <w:t xml:space="preserve"> </w:t>
      </w:r>
      <w:proofErr w:type="spellStart"/>
      <w:r w:rsidR="00A71DA0" w:rsidRPr="00A71DA0">
        <w:t>tabaci</w:t>
      </w:r>
      <w:proofErr w:type="spellEnd"/>
      <w:r w:rsidR="00A71DA0" w:rsidRPr="00A71DA0">
        <w:rPr>
          <w:i/>
          <w:iCs/>
        </w:rPr>
        <w:t xml:space="preserve"> </w:t>
      </w:r>
      <w:r w:rsidR="00A71DA0" w:rsidRPr="00A71DA0">
        <w:t xml:space="preserve">(1 X </w:t>
      </w:r>
      <w:proofErr w:type="gramStart"/>
      <w:r w:rsidR="00A71DA0" w:rsidRPr="00A71DA0">
        <w:t>10</w:t>
      </w:r>
      <w:r w:rsidR="00A71DA0" w:rsidRPr="00A71DA0">
        <w:rPr>
          <w:vertAlign w:val="superscript"/>
        </w:rPr>
        <w:t xml:space="preserve">6 </w:t>
      </w:r>
      <w:r w:rsidR="00A71DA0" w:rsidRPr="00A71DA0">
        <w:t xml:space="preserve"> CFU</w:t>
      </w:r>
      <w:proofErr w:type="gramEnd"/>
      <w:r w:rsidR="00A71DA0" w:rsidRPr="00A71DA0">
        <w:t xml:space="preserve">/ml) and harvested at 6 </w:t>
      </w:r>
      <w:proofErr w:type="spellStart"/>
      <w:r w:rsidR="00A71DA0" w:rsidRPr="00A71DA0">
        <w:t>hpi</w:t>
      </w:r>
      <w:proofErr w:type="spellEnd"/>
      <w:r w:rsidR="00A71DA0" w:rsidRPr="00A71DA0">
        <w:t xml:space="preserve"> for protein extraction. Extracted proteins were separated on mass spectrometry compatible 4-20% Tris-Glycine gel and transferred to a nitrocellulose membrane for Western blot with anti-GFP-HRP antibodies (A). Total proteins were immunoprecipitated with GFP-Trap A beads and eluted with 2X SDS buffer. The eluted proteins were resolved on 4-20% Tris-Glycine Gel and visualized by silver staining. Red lines show the molecular weight ranges for four fractions (</w:t>
      </w:r>
      <w:proofErr w:type="spellStart"/>
      <w:r w:rsidR="00A71DA0" w:rsidRPr="00A71DA0">
        <w:t>i</w:t>
      </w:r>
      <w:proofErr w:type="spellEnd"/>
      <w:r w:rsidR="00A71DA0" w:rsidRPr="00A71DA0">
        <w:t>, ii, iii, iv) that were cut out from the gel for each sample before trypsin digestion (B).</w:t>
      </w:r>
    </w:p>
    <w:p w14:paraId="2F8F18E4" w14:textId="5FCF628B" w:rsidR="00797460" w:rsidRDefault="00797460" w:rsidP="00A71DA0">
      <w:pPr>
        <w:spacing w:before="240"/>
      </w:pPr>
    </w:p>
    <w:p w14:paraId="513115F3" w14:textId="77777777" w:rsidR="00797460" w:rsidRDefault="00797460" w:rsidP="00A71DA0">
      <w:pPr>
        <w:spacing w:before="240"/>
        <w:rPr>
          <w:noProof/>
        </w:rPr>
      </w:pPr>
    </w:p>
    <w:p w14:paraId="561BE34A" w14:textId="567758FF" w:rsidR="00797460" w:rsidRPr="00A71DA0" w:rsidRDefault="00797460" w:rsidP="00A71DA0">
      <w:pPr>
        <w:spacing w:before="240"/>
      </w:pPr>
      <w:r>
        <w:rPr>
          <w:noProof/>
        </w:rPr>
        <w:drawing>
          <wp:inline distT="0" distB="0" distL="0" distR="0" wp14:anchorId="1BB3D190" wp14:editId="3C0ADBB6">
            <wp:extent cx="6393446" cy="4295775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54"/>
                    <a:stretch/>
                  </pic:blipFill>
                  <pic:spPr bwMode="auto">
                    <a:xfrm>
                      <a:off x="0" y="0"/>
                      <a:ext cx="6402206" cy="430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5BC41" w14:textId="4A322B0F" w:rsidR="00DE23E8" w:rsidRDefault="00797460" w:rsidP="00654E8F">
      <w:pPr>
        <w:spacing w:before="240"/>
      </w:pPr>
      <w:r w:rsidRPr="0079746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2B62CC" wp14:editId="01AABAFD">
                <wp:simplePos x="0" y="0"/>
                <wp:positionH relativeFrom="margin">
                  <wp:align>right</wp:align>
                </wp:positionH>
                <wp:positionV relativeFrom="paragraph">
                  <wp:posOffset>53340</wp:posOffset>
                </wp:positionV>
                <wp:extent cx="5924550" cy="1115695"/>
                <wp:effectExtent l="0" t="0" r="0" b="0"/>
                <wp:wrapNone/>
                <wp:docPr id="11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1115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A75C50" w14:textId="6CF4D935" w:rsidR="00797460" w:rsidRDefault="00797460" w:rsidP="0079746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Supplementary Figure 2. Proteins interacting with AtNHR2A and AtNHR2B are involved in distinct biological processes.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 The Gene Ontology (GO) annotation tool was used to classify AtNHR2A-interacting proteins (A) and AtNHR2B-interacting proteins (B) into three GO categories: biological function, molecular function and cellular component.</w:t>
                            </w:r>
                          </w:p>
                          <w:p w14:paraId="388D3005" w14:textId="77777777" w:rsidR="00797460" w:rsidRDefault="00797460" w:rsidP="0079746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2B62CC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415.3pt;margin-top:4.2pt;width:466.5pt;height:87.85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" filled="f" stroked="f">
                <v:textbox style="mso-fit-shape-to-text:t">
                  <w:txbxContent>
                    <w:p w14:paraId="1DA75C50" w14:textId="6CF4D935" w:rsidR="00797460" w:rsidRDefault="00797460" w:rsidP="0079746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Supplementary Figure 2. Proteins interacting with AtNHR2A and AtNHR2B are involved in distinct biological processes.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 The Gene Ontology (GO) annotation tool was used to classify AtNHR2A-interacting proteins (</w:t>
                      </w:r>
                      <w:r>
                        <w:rPr>
                          <w:color w:val="000000" w:themeColor="text1"/>
                          <w:kern w:val="24"/>
                        </w:rPr>
                        <w:t>A</w:t>
                      </w:r>
                      <w:r>
                        <w:rPr>
                          <w:color w:val="000000" w:themeColor="text1"/>
                          <w:kern w:val="24"/>
                        </w:rPr>
                        <w:t>) and AtNHR2B-interacting proteins (</w:t>
                      </w:r>
                      <w:r>
                        <w:rPr>
                          <w:color w:val="000000" w:themeColor="text1"/>
                          <w:kern w:val="24"/>
                        </w:rPr>
                        <w:t>B</w:t>
                      </w:r>
                      <w:r>
                        <w:rPr>
                          <w:color w:val="000000" w:themeColor="text1"/>
                          <w:kern w:val="24"/>
                        </w:rPr>
                        <w:t>) into three GO categories: biological function, molecular function and cellular component.</w:t>
                      </w:r>
                    </w:p>
                    <w:p w14:paraId="388D3005" w14:textId="77777777" w:rsidR="00797460" w:rsidRDefault="00797460" w:rsidP="0079746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426960" w14:textId="03C3E188" w:rsidR="00A71DA0" w:rsidRDefault="00A71DA0" w:rsidP="00654E8F">
      <w:pPr>
        <w:spacing w:before="240"/>
      </w:pPr>
    </w:p>
    <w:p w14:paraId="1CFA1FFF" w14:textId="4ACD89F4" w:rsidR="00A71DA0" w:rsidRDefault="00A71DA0" w:rsidP="00654E8F">
      <w:pPr>
        <w:spacing w:before="240"/>
      </w:pPr>
    </w:p>
    <w:p w14:paraId="1809E6C2" w14:textId="4EE66197" w:rsidR="00A71DA0" w:rsidRDefault="00A71DA0" w:rsidP="00654E8F">
      <w:pPr>
        <w:spacing w:before="240"/>
      </w:pPr>
    </w:p>
    <w:p w14:paraId="773AB1C6" w14:textId="21C2E38E" w:rsidR="00A71DA0" w:rsidRDefault="00A71DA0" w:rsidP="00654E8F">
      <w:pPr>
        <w:spacing w:before="240"/>
      </w:pPr>
    </w:p>
    <w:p w14:paraId="4CA08458" w14:textId="450201EE" w:rsidR="00A71DA0" w:rsidRDefault="00A71DA0" w:rsidP="00654E8F">
      <w:pPr>
        <w:spacing w:before="240"/>
      </w:pPr>
    </w:p>
    <w:p w14:paraId="7910D8C1" w14:textId="16586764" w:rsidR="00A71DA0" w:rsidRDefault="00A71DA0" w:rsidP="00654E8F">
      <w:pPr>
        <w:spacing w:before="240"/>
      </w:pPr>
    </w:p>
    <w:p w14:paraId="588323CB" w14:textId="3A0112FD" w:rsidR="00A71DA0" w:rsidRDefault="00A71DA0" w:rsidP="00654E8F">
      <w:pPr>
        <w:spacing w:before="240"/>
      </w:pPr>
    </w:p>
    <w:p w14:paraId="5642517F" w14:textId="493D49F5" w:rsidR="00A71DA0" w:rsidRDefault="00A71DA0" w:rsidP="00654E8F">
      <w:pPr>
        <w:spacing w:before="240"/>
      </w:pPr>
    </w:p>
    <w:p w14:paraId="4F4B0728" w14:textId="0C5E6A7E" w:rsidR="00A71DA0" w:rsidRDefault="00A71DA0" w:rsidP="00654E8F">
      <w:pPr>
        <w:spacing w:before="240"/>
      </w:pPr>
    </w:p>
    <w:p w14:paraId="1D2818E6" w14:textId="26500114" w:rsidR="00A71DA0" w:rsidRDefault="00A71DA0" w:rsidP="00654E8F">
      <w:pPr>
        <w:spacing w:before="240"/>
      </w:pPr>
    </w:p>
    <w:p w14:paraId="664627B7" w14:textId="69F81BA6" w:rsidR="00A71DA0" w:rsidRDefault="00A71DA0" w:rsidP="00654E8F">
      <w:pPr>
        <w:spacing w:before="240"/>
      </w:pPr>
    </w:p>
    <w:p w14:paraId="293C8C11" w14:textId="7027A8FF" w:rsidR="00A71DA0" w:rsidRDefault="00A71DA0" w:rsidP="00654E8F">
      <w:pPr>
        <w:spacing w:before="240"/>
      </w:pPr>
    </w:p>
    <w:p w14:paraId="7E9CABEE" w14:textId="6B7F9BF3" w:rsidR="00A71DA0" w:rsidRDefault="00797460" w:rsidP="00654E8F">
      <w:pPr>
        <w:spacing w:before="240"/>
      </w:pPr>
      <w:r>
        <w:rPr>
          <w:noProof/>
        </w:rPr>
        <w:drawing>
          <wp:inline distT="0" distB="0" distL="0" distR="0" wp14:anchorId="7B0B2754" wp14:editId="64DBC53A">
            <wp:extent cx="5584825" cy="348263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085" cy="3487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5F8459" w14:textId="198EAED8" w:rsidR="00A71DA0" w:rsidRDefault="00797460" w:rsidP="00654E8F">
      <w:pPr>
        <w:spacing w:before="240"/>
      </w:pPr>
      <w:r w:rsidRPr="0079746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E7A002" wp14:editId="11D647CC">
                <wp:simplePos x="0" y="0"/>
                <wp:positionH relativeFrom="margin">
                  <wp:align>left</wp:align>
                </wp:positionH>
                <wp:positionV relativeFrom="paragraph">
                  <wp:posOffset>66675</wp:posOffset>
                </wp:positionV>
                <wp:extent cx="6499225" cy="830580"/>
                <wp:effectExtent l="0" t="0" r="0" b="0"/>
                <wp:wrapNone/>
                <wp:docPr id="15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22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C5A4CE" w14:textId="52F0E015" w:rsidR="00797460" w:rsidRDefault="00797460" w:rsidP="0079746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Supplementary Figure 3.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Western blots showing co-immunoprecipitation of AtNHR2B-GFP by His-</w:t>
                            </w:r>
                            <w:r w:rsidR="00F63C8A" w:rsidRPr="00F63C8A"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AtENGD-1 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as detected by His antibody. </w:t>
                            </w:r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>Input and co-immunoprecipitated samples were run onto an SDS-PAGE gel and transferred to a nitrocellulose membrane for Western blot analysis using anti-His antibodies to detect His-</w:t>
                            </w:r>
                            <w:r w:rsidR="00F63C8A" w:rsidRPr="00F63C8A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 xml:space="preserve">AtENGD-1 </w:t>
                            </w:r>
                            <w:r w:rsidRPr="00F47E01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>(</w:t>
                            </w:r>
                            <w:r w:rsidR="00F47E01" w:rsidRPr="00F47E01">
                              <w:rPr>
                                <w:rFonts w:eastAsia="Calibri"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  <w:r w:rsidRPr="00F47E01">
                              <w:rPr>
                                <w:rFonts w:eastAsia="Calibri"/>
                                <w:bCs/>
                                <w:color w:val="000000" w:themeColor="text1"/>
                                <w:kern w:val="24"/>
                              </w:rPr>
                              <w:t>)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 xml:space="preserve">and anti-GFP antibodies to detect AtNHR2A-GFP and GFP </w:t>
                            </w:r>
                            <w:r w:rsidRPr="00F47E01">
                              <w:rPr>
                                <w:rFonts w:eastAsia="Calibri"/>
                                <w:bCs/>
                                <w:color w:val="000000" w:themeColor="text1"/>
                                <w:kern w:val="24"/>
                              </w:rPr>
                              <w:t>(</w:t>
                            </w:r>
                            <w:r w:rsidR="00F47E01" w:rsidRPr="00F47E01">
                              <w:rPr>
                                <w:rFonts w:eastAsia="Calibri"/>
                                <w:bCs/>
                                <w:color w:val="000000" w:themeColor="text1"/>
                                <w:kern w:val="24"/>
                              </w:rPr>
                              <w:t>B</w:t>
                            </w:r>
                            <w:r w:rsidRPr="00F47E01">
                              <w:rPr>
                                <w:rFonts w:eastAsia="Calibri"/>
                                <w:bCs/>
                                <w:color w:val="000000" w:themeColor="text1"/>
                                <w:kern w:val="24"/>
                              </w:rPr>
                              <w:t>)</w:t>
                            </w:r>
                            <w:r w:rsidRPr="00F47E01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>.</w:t>
                            </w:r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 xml:space="preserve"> Lane 1: GFP + His-At</w:t>
                            </w:r>
                            <w:r w:rsidR="00B6413E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>ENGD-</w:t>
                            </w:r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>1; Lane 2: AtNHR2A-GFP + His-At</w:t>
                            </w:r>
                            <w:r w:rsidR="00B6413E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>ENGD-</w:t>
                            </w:r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>1; Lane 3: AtNHR2A-GFP + His-</w:t>
                            </w:r>
                            <w:r w:rsidR="00F63C8A" w:rsidRPr="00F63C8A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>AtENGD-1</w:t>
                            </w:r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>; Lane 4: GFP + His-</w:t>
                            </w:r>
                            <w:r w:rsidR="00F63C8A" w:rsidRPr="00F63C8A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>AtENGD-1</w:t>
                            </w:r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DE7A002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7" type="#_x0000_t202" style="position:absolute;margin-left:0;margin-top:5.25pt;width:511.75pt;height:65.4pt;z-index:251665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" filled="f" stroked="f">
                <v:textbox style="mso-fit-shape-to-text:t">
                  <w:txbxContent>
                    <w:p w14:paraId="4BC5A4CE" w14:textId="52F0E015" w:rsidR="00797460" w:rsidRDefault="00797460" w:rsidP="0079746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Supplementary Figure 3.</w:t>
                      </w:r>
                      <w:r>
                        <w:rPr>
                          <w:rFonts w:eastAsia="Calibri"/>
                          <w:b/>
                          <w:bCs/>
                          <w:color w:val="000000" w:themeColor="text1"/>
                          <w:kern w:val="24"/>
                        </w:rPr>
                        <w:t xml:space="preserve"> Western blots showing co-immunoprecipitation of AtNHR2B-GFP by His-</w:t>
                      </w:r>
                      <w:r w:rsidR="00F63C8A" w:rsidRPr="00F63C8A">
                        <w:rPr>
                          <w:rFonts w:eastAsia="Calibri"/>
                          <w:b/>
                          <w:bCs/>
                          <w:color w:val="000000" w:themeColor="text1"/>
                          <w:kern w:val="24"/>
                        </w:rPr>
                        <w:t xml:space="preserve">AtENGD-1 </w:t>
                      </w:r>
                      <w:r>
                        <w:rPr>
                          <w:rFonts w:eastAsia="Calibri"/>
                          <w:b/>
                          <w:bCs/>
                          <w:color w:val="000000" w:themeColor="text1"/>
                          <w:kern w:val="24"/>
                        </w:rPr>
                        <w:t xml:space="preserve">as detected by His antibody. </w:t>
                      </w:r>
                      <w:r>
                        <w:rPr>
                          <w:rFonts w:eastAsia="Calibri"/>
                          <w:color w:val="000000" w:themeColor="text1"/>
                          <w:kern w:val="24"/>
                        </w:rPr>
                        <w:t>Input and co-immunoprecipitated samples were run onto an SDS-PAGE gel and transferred to a nitrocellulose membrane for Western blot analysis using anti-His antibodies to detect His-</w:t>
                      </w:r>
                      <w:r w:rsidR="00F63C8A" w:rsidRPr="00F63C8A">
                        <w:rPr>
                          <w:rFonts w:eastAsia="Calibri"/>
                          <w:color w:val="000000" w:themeColor="text1"/>
                          <w:kern w:val="24"/>
                        </w:rPr>
                        <w:t xml:space="preserve">AtENGD-1 </w:t>
                      </w:r>
                      <w:r w:rsidRPr="00F47E01">
                        <w:rPr>
                          <w:rFonts w:eastAsia="Calibri"/>
                          <w:color w:val="000000" w:themeColor="text1"/>
                          <w:kern w:val="24"/>
                        </w:rPr>
                        <w:t>(</w:t>
                      </w:r>
                      <w:r w:rsidR="00F47E01" w:rsidRPr="00F47E01">
                        <w:rPr>
                          <w:rFonts w:eastAsia="Calibri"/>
                          <w:bCs/>
                          <w:color w:val="000000" w:themeColor="text1"/>
                          <w:kern w:val="24"/>
                        </w:rPr>
                        <w:t>A</w:t>
                      </w:r>
                      <w:r w:rsidRPr="00F47E01">
                        <w:rPr>
                          <w:rFonts w:eastAsia="Calibri"/>
                          <w:bCs/>
                          <w:color w:val="000000" w:themeColor="text1"/>
                          <w:kern w:val="24"/>
                        </w:rPr>
                        <w:t>)</w:t>
                      </w:r>
                      <w:r>
                        <w:rPr>
                          <w:rFonts w:eastAsia="Calibri"/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eastAsia="Calibri"/>
                          <w:color w:val="000000" w:themeColor="text1"/>
                          <w:kern w:val="24"/>
                        </w:rPr>
                        <w:t xml:space="preserve">and anti-GFP antibodies to detect AtNHR2A-GFP and GFP </w:t>
                      </w:r>
                      <w:r w:rsidRPr="00F47E01">
                        <w:rPr>
                          <w:rFonts w:eastAsia="Calibri"/>
                          <w:bCs/>
                          <w:color w:val="000000" w:themeColor="text1"/>
                          <w:kern w:val="24"/>
                        </w:rPr>
                        <w:t>(</w:t>
                      </w:r>
                      <w:r w:rsidR="00F47E01" w:rsidRPr="00F47E01">
                        <w:rPr>
                          <w:rFonts w:eastAsia="Calibri"/>
                          <w:bCs/>
                          <w:color w:val="000000" w:themeColor="text1"/>
                          <w:kern w:val="24"/>
                        </w:rPr>
                        <w:t>B</w:t>
                      </w:r>
                      <w:r w:rsidRPr="00F47E01">
                        <w:rPr>
                          <w:rFonts w:eastAsia="Calibri"/>
                          <w:bCs/>
                          <w:color w:val="000000" w:themeColor="text1"/>
                          <w:kern w:val="24"/>
                        </w:rPr>
                        <w:t>)</w:t>
                      </w:r>
                      <w:r w:rsidRPr="00F47E01">
                        <w:rPr>
                          <w:rFonts w:eastAsia="Calibri"/>
                          <w:color w:val="000000" w:themeColor="text1"/>
                          <w:kern w:val="24"/>
                        </w:rPr>
                        <w:t>.</w:t>
                      </w:r>
                      <w:r>
                        <w:rPr>
                          <w:rFonts w:eastAsia="Calibri"/>
                          <w:color w:val="000000" w:themeColor="text1"/>
                          <w:kern w:val="24"/>
                        </w:rPr>
                        <w:t xml:space="preserve"> Lane 1: GFP + His-At</w:t>
                      </w:r>
                      <w:r w:rsidR="00B6413E">
                        <w:rPr>
                          <w:rFonts w:eastAsia="Calibri"/>
                          <w:color w:val="000000" w:themeColor="text1"/>
                          <w:kern w:val="24"/>
                        </w:rPr>
                        <w:t>ENGD-</w:t>
                      </w:r>
                      <w:r>
                        <w:rPr>
                          <w:rFonts w:eastAsia="Calibri"/>
                          <w:color w:val="000000" w:themeColor="text1"/>
                          <w:kern w:val="24"/>
                        </w:rPr>
                        <w:t>1; Lane 2: AtNHR2A-GFP + His-At</w:t>
                      </w:r>
                      <w:r w:rsidR="00B6413E">
                        <w:rPr>
                          <w:rFonts w:eastAsia="Calibri"/>
                          <w:color w:val="000000" w:themeColor="text1"/>
                          <w:kern w:val="24"/>
                        </w:rPr>
                        <w:t>ENGD-</w:t>
                      </w:r>
                      <w:r>
                        <w:rPr>
                          <w:rFonts w:eastAsia="Calibri"/>
                          <w:color w:val="000000" w:themeColor="text1"/>
                          <w:kern w:val="24"/>
                        </w:rPr>
                        <w:t>1; Lane 3: AtNHR2A-GFP + His-</w:t>
                      </w:r>
                      <w:r w:rsidR="00F63C8A" w:rsidRPr="00F63C8A">
                        <w:rPr>
                          <w:rFonts w:eastAsia="Calibri"/>
                          <w:color w:val="000000" w:themeColor="text1"/>
                          <w:kern w:val="24"/>
                        </w:rPr>
                        <w:t>AtENGD-1</w:t>
                      </w:r>
                      <w:r>
                        <w:rPr>
                          <w:rFonts w:eastAsia="Calibri"/>
                          <w:color w:val="000000" w:themeColor="text1"/>
                          <w:kern w:val="24"/>
                        </w:rPr>
                        <w:t>; Lane 4: GFP + His-</w:t>
                      </w:r>
                      <w:r w:rsidR="00F63C8A" w:rsidRPr="00F63C8A">
                        <w:rPr>
                          <w:rFonts w:eastAsia="Calibri"/>
                          <w:color w:val="000000" w:themeColor="text1"/>
                          <w:kern w:val="24"/>
                        </w:rPr>
                        <w:t>AtENGD-1</w:t>
                      </w:r>
                      <w:r>
                        <w:rPr>
                          <w:rFonts w:eastAsia="Calibri"/>
                          <w:color w:val="000000" w:themeColor="text1"/>
                          <w:kern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93D8DE" w14:textId="001EE0CA" w:rsidR="00A71DA0" w:rsidRDefault="00A71DA0" w:rsidP="00654E8F">
      <w:pPr>
        <w:spacing w:before="240"/>
      </w:pPr>
    </w:p>
    <w:p w14:paraId="0BB4E81E" w14:textId="6A827A75" w:rsidR="00A71DA0" w:rsidRDefault="00A71DA0" w:rsidP="00654E8F">
      <w:pPr>
        <w:spacing w:before="240"/>
      </w:pPr>
    </w:p>
    <w:p w14:paraId="6C6D6A72" w14:textId="4DF56619" w:rsidR="00A71DA0" w:rsidRDefault="00A71DA0" w:rsidP="00654E8F">
      <w:pPr>
        <w:spacing w:before="240"/>
      </w:pPr>
    </w:p>
    <w:p w14:paraId="680D5718" w14:textId="5D02B89C" w:rsidR="00A71DA0" w:rsidRDefault="00A71DA0" w:rsidP="00654E8F">
      <w:pPr>
        <w:spacing w:before="240"/>
      </w:pPr>
    </w:p>
    <w:p w14:paraId="57A78281" w14:textId="26F3E34C" w:rsidR="00A71DA0" w:rsidRDefault="00A71DA0" w:rsidP="00654E8F">
      <w:pPr>
        <w:spacing w:before="240"/>
      </w:pPr>
    </w:p>
    <w:p w14:paraId="3BBACA11" w14:textId="2BAD381D" w:rsidR="00A71DA0" w:rsidRDefault="00A71DA0" w:rsidP="00654E8F">
      <w:pPr>
        <w:spacing w:before="240"/>
      </w:pPr>
    </w:p>
    <w:p w14:paraId="1313DA65" w14:textId="152379CD" w:rsidR="00A71DA0" w:rsidRDefault="00797460">
      <w:pPr>
        <w:spacing w:before="0" w:after="200" w:line="276" w:lineRule="auto"/>
      </w:pPr>
      <w:r w:rsidRPr="0079746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1D9A73" wp14:editId="4999838F">
                <wp:simplePos x="0" y="0"/>
                <wp:positionH relativeFrom="column">
                  <wp:posOffset>-270510</wp:posOffset>
                </wp:positionH>
                <wp:positionV relativeFrom="paragraph">
                  <wp:posOffset>1594485</wp:posOffset>
                </wp:positionV>
                <wp:extent cx="6096000" cy="830997"/>
                <wp:effectExtent l="0" t="0" r="0" b="0"/>
                <wp:wrapNone/>
                <wp:docPr id="3" name="Text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11F657-BBA5-478C-86D4-37E896D03AE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8309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23A48E" w14:textId="3A8EEECD" w:rsidR="00797460" w:rsidRDefault="00797460" w:rsidP="00797460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1D9A73" id="_x0000_s1028" type="#_x0000_t202" style="position:absolute;margin-left:-21.3pt;margin-top:125.55pt;width:480pt;height:65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" filled="f" stroked="f">
                <v:textbox style="mso-fit-shape-to-text:t">
                  <w:txbxContent>
                    <w:p w14:paraId="0023A48E" w14:textId="3A8EEECD" w:rsidR="00797460" w:rsidRDefault="00797460" w:rsidP="00797460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="00A71DA0">
        <w:br w:type="page"/>
      </w:r>
      <w:bookmarkStart w:id="0" w:name="_GoBack"/>
      <w:bookmarkEnd w:id="0"/>
    </w:p>
    <w:p w14:paraId="60BB116D" w14:textId="03A7E15E" w:rsidR="00A71DA0" w:rsidRDefault="00797460">
      <w:pPr>
        <w:spacing w:before="0" w:after="200" w:line="276" w:lineRule="auto"/>
      </w:pPr>
      <w:r w:rsidRPr="0079746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7D80A1" wp14:editId="570A2088">
                <wp:simplePos x="0" y="0"/>
                <wp:positionH relativeFrom="column">
                  <wp:posOffset>-223520</wp:posOffset>
                </wp:positionH>
                <wp:positionV relativeFrom="paragraph">
                  <wp:posOffset>3834765</wp:posOffset>
                </wp:positionV>
                <wp:extent cx="6835775" cy="1015663"/>
                <wp:effectExtent l="0" t="0" r="0" b="0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5C066B-B346-46A0-81A1-9E8ADFAF0F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5775" cy="10156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A29CB8" w14:textId="77777777" w:rsidR="00797460" w:rsidRDefault="00797460" w:rsidP="0079746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Supplementary Figure 4. Western blots showing co-immunoprecipitation of AtNHR2B-GFP by MYC-AtRPN1A as detected by GFP antibody. 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Input and co-immunoprecipitated samples were run onto an SDS-PAGE gel and transferred to a nitrocellulose membrane for Western blot analysis using anti- GFP antibodies to detect AtNHR2B-GFP and GFP </w:t>
                            </w:r>
                            <w:r w:rsidRPr="00F47E01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(A)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 and anti-MYC antibodies to detect MYC-AtRPN1A </w:t>
                            </w:r>
                            <w:r w:rsidRPr="00F47E01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(B)</w:t>
                            </w:r>
                            <w:r w:rsidRPr="00F47E01">
                              <w:rPr>
                                <w:color w:val="000000" w:themeColor="text1"/>
                                <w:kern w:val="24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Lane 1: AtNHR2B-GFP + MYC-AtRPN1A; Lane 2: GFP + MYC-AtRPN1A; Lane 3: empty; Lane 4: AtNHR2B-GFP + MYC-AtRPN1A; Lane 5: GFP + MYC-AtRPN1A.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7D80A1" id="_x0000_s1029" type="#_x0000_t202" style="position:absolute;margin-left:-17.6pt;margin-top:301.95pt;width:538.25pt;height:79.9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" filled="f" stroked="f">
                <v:textbox style="mso-fit-shape-to-text:t">
                  <w:txbxContent>
                    <w:p w14:paraId="5FA29CB8" w14:textId="77777777" w:rsidR="00797460" w:rsidRDefault="00797460" w:rsidP="0079746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Supplementary Figure 4. Western blots showing co-immunoprecipitation of AtNHR2B-GFP by MYC-AtRPN1A as detected by GFP antibody. 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Input and co-immunoprecipitated samples were run onto an SDS-PAGE gel and transferred to a nitrocellulose membrane for Western blot analysis using anti- GFP antibodies to detect AtNHR2B-GFP and GFP </w:t>
                      </w:r>
                      <w:r w:rsidRPr="00F47E01">
                        <w:rPr>
                          <w:bCs/>
                          <w:color w:val="000000" w:themeColor="text1"/>
                          <w:kern w:val="24"/>
                        </w:rPr>
                        <w:t>(A)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 and anti-MYC antibodies to detect MYC-AtRPN1A </w:t>
                      </w:r>
                      <w:r w:rsidRPr="00F47E01">
                        <w:rPr>
                          <w:bCs/>
                          <w:color w:val="000000" w:themeColor="text1"/>
                          <w:kern w:val="24"/>
                        </w:rPr>
                        <w:t>(B)</w:t>
                      </w:r>
                      <w:r w:rsidRPr="00F47E01">
                        <w:rPr>
                          <w:color w:val="000000" w:themeColor="text1"/>
                          <w:kern w:val="24"/>
                        </w:rPr>
                        <w:t>.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</w:rPr>
                        <w:t>Lane 1: AtNHR2B-GFP + MYC-AtRPN1A; Lane 2: GFP + MYC-AtRPN1A; Lane 3: empty; Lane 4: AtNHR2B-GFP + MYC-AtRPN1A; Lane 5: GFP + MYC-AtRPN1A.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B08CC8" wp14:editId="7B876234">
            <wp:extent cx="6673215" cy="375376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687" cy="3757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1DA0">
        <w:br w:type="page"/>
      </w:r>
    </w:p>
    <w:p w14:paraId="13E08950" w14:textId="4502C217" w:rsidR="00797460" w:rsidRDefault="00797460" w:rsidP="00654E8F">
      <w:pPr>
        <w:spacing w:before="240"/>
        <w:rPr>
          <w:noProof/>
        </w:rPr>
      </w:pPr>
    </w:p>
    <w:p w14:paraId="53CE20EE" w14:textId="15DCCEAA" w:rsidR="00A71DA0" w:rsidRPr="001549D3" w:rsidRDefault="006D20F2" w:rsidP="00654E8F">
      <w:pPr>
        <w:spacing w:before="240"/>
      </w:pPr>
      <w:r w:rsidRPr="0079746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140A5D" wp14:editId="687FDA34">
                <wp:simplePos x="0" y="0"/>
                <wp:positionH relativeFrom="column">
                  <wp:posOffset>-347345</wp:posOffset>
                </wp:positionH>
                <wp:positionV relativeFrom="paragraph">
                  <wp:posOffset>4078605</wp:posOffset>
                </wp:positionV>
                <wp:extent cx="7060565" cy="1015365"/>
                <wp:effectExtent l="0" t="0" r="0" b="0"/>
                <wp:wrapNone/>
                <wp:docPr id="19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0565" cy="1015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D68AF3" w14:textId="35D1873D" w:rsidR="00797460" w:rsidRDefault="00797460" w:rsidP="0079746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Supplementary Figure 5. Western blots showing co-immunoprecipitation of AtNHR2B-GFP by HA-AtCCoAMT1 as detected by GFP antibody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. Input and co-immunoprecipitated samples were run onto an SDS-PAGE gel and transferred to a nitrocellulose membrane for Western blot analysis using anti- GFP antibodies to detect AtNHR2B-GFP and GFP </w:t>
                            </w:r>
                            <w:r w:rsidRPr="00F47E01">
                              <w:rPr>
                                <w:color w:val="000000" w:themeColor="text1"/>
                                <w:kern w:val="24"/>
                              </w:rPr>
                              <w:t>(</w:t>
                            </w:r>
                            <w:r w:rsidR="00F47E01" w:rsidRPr="00F47E01">
                              <w:rPr>
                                <w:color w:val="000000" w:themeColor="text1"/>
                                <w:kern w:val="24"/>
                              </w:rPr>
                              <w:t>A</w:t>
                            </w:r>
                            <w:r w:rsidRPr="00F47E01">
                              <w:rPr>
                                <w:color w:val="000000" w:themeColor="text1"/>
                                <w:kern w:val="24"/>
                              </w:rPr>
                              <w:t>)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 and anti-HA antibodies to detect HA- AtCcoAMT1</w:t>
                            </w:r>
                            <w:r w:rsidRPr="00F47E01">
                              <w:rPr>
                                <w:color w:val="000000" w:themeColor="text1"/>
                                <w:kern w:val="24"/>
                              </w:rPr>
                              <w:t>(</w:t>
                            </w:r>
                            <w:r w:rsidR="00F47E01" w:rsidRPr="00F47E01">
                              <w:rPr>
                                <w:color w:val="000000" w:themeColor="text1"/>
                                <w:kern w:val="24"/>
                              </w:rPr>
                              <w:t>B</w:t>
                            </w:r>
                            <w:r w:rsidRPr="00F47E01">
                              <w:rPr>
                                <w:color w:val="000000" w:themeColor="text1"/>
                                <w:kern w:val="24"/>
                              </w:rPr>
                              <w:t>).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 Lane 1: AtNHR2B-GFP + HA-AtCCoAMT1; Lane 2: GFP + HA-AtCCoAMT1; Lane 3: empty; Lane 4: AtNHR2B-GFP + HA-AtCCoAMT1; Lane 5: GFP + HA-AtCCoAMT1.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140A5D" id="_x0000_s1030" type="#_x0000_t202" style="position:absolute;margin-left:-27.35pt;margin-top:321.15pt;width:555.95pt;height:79.9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" filled="f" stroked="f">
                <v:textbox style="mso-fit-shape-to-text:t">
                  <w:txbxContent>
                    <w:p w14:paraId="46D68AF3" w14:textId="35D1873D" w:rsidR="00797460" w:rsidRDefault="00797460" w:rsidP="0079746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Supplementary Figure 5. Western blots showing co-immunoprecipitation of AtNHR2B-GFP by HA-AtCCoAMT1 as detected by GFP antibody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. Input and co-immunoprecipitated samples were run onto an SDS-PAGE gel and transferred to a nitrocellulose membrane for Western blot analysis using anti- GFP antibodies to detect AtNHR2B-GFP and GFP </w:t>
                      </w:r>
                      <w:r w:rsidRPr="00F47E01">
                        <w:rPr>
                          <w:color w:val="000000" w:themeColor="text1"/>
                          <w:kern w:val="24"/>
                        </w:rPr>
                        <w:t>(</w:t>
                      </w:r>
                      <w:r w:rsidR="00F47E01" w:rsidRPr="00F47E01">
                        <w:rPr>
                          <w:color w:val="000000" w:themeColor="text1"/>
                          <w:kern w:val="24"/>
                        </w:rPr>
                        <w:t>A</w:t>
                      </w:r>
                      <w:r w:rsidRPr="00F47E01">
                        <w:rPr>
                          <w:color w:val="000000" w:themeColor="text1"/>
                          <w:kern w:val="24"/>
                        </w:rPr>
                        <w:t>)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 and anti-HA antibodies to detect HA- AtCcoAMT1</w:t>
                      </w:r>
                      <w:bookmarkStart w:id="1" w:name="_GoBack"/>
                      <w:r w:rsidRPr="00F47E01">
                        <w:rPr>
                          <w:color w:val="000000" w:themeColor="text1"/>
                          <w:kern w:val="24"/>
                        </w:rPr>
                        <w:t>(</w:t>
                      </w:r>
                      <w:r w:rsidR="00F47E01" w:rsidRPr="00F47E01">
                        <w:rPr>
                          <w:color w:val="000000" w:themeColor="text1"/>
                          <w:kern w:val="24"/>
                        </w:rPr>
                        <w:t>B</w:t>
                      </w:r>
                      <w:r w:rsidRPr="00F47E01">
                        <w:rPr>
                          <w:color w:val="000000" w:themeColor="text1"/>
                          <w:kern w:val="24"/>
                        </w:rPr>
                        <w:t>).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bookmarkEnd w:id="1"/>
                      <w:r>
                        <w:rPr>
                          <w:color w:val="000000" w:themeColor="text1"/>
                          <w:kern w:val="24"/>
                        </w:rPr>
                        <w:t>Lane 1: AtNHR2B-GFP + HA-AtCCoAMT1; Lane 2: GFP + HA-AtCCoAMT1; Lane 3: empty; Lane 4: AtNHR2B-GFP + HA-AtCCoAMT1; Lane 5: GFP + HA-AtCCoAMT1.</w:t>
                      </w:r>
                    </w:p>
                  </w:txbxContent>
                </v:textbox>
              </v:shape>
            </w:pict>
          </mc:Fallback>
        </mc:AlternateContent>
      </w:r>
      <w:r w:rsidR="00797460">
        <w:rPr>
          <w:noProof/>
        </w:rPr>
        <w:drawing>
          <wp:inline distT="0" distB="0" distL="0" distR="0" wp14:anchorId="04A729CE" wp14:editId="4F4BF466">
            <wp:extent cx="6010275" cy="440099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r="15683"/>
                    <a:stretch/>
                  </pic:blipFill>
                  <pic:spPr bwMode="auto">
                    <a:xfrm>
                      <a:off x="0" y="0"/>
                      <a:ext cx="6041019" cy="44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1DA0" w:rsidRPr="001549D3" w:rsidSect="0093429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134A06" w14:textId="77777777" w:rsidR="00F124FA" w:rsidRDefault="00F124FA" w:rsidP="00117666">
      <w:pPr>
        <w:spacing w:after="0"/>
      </w:pPr>
      <w:r>
        <w:separator/>
      </w:r>
    </w:p>
  </w:endnote>
  <w:endnote w:type="continuationSeparator" w:id="0">
    <w:p w14:paraId="4D9AC5B9" w14:textId="77777777" w:rsidR="00F124FA" w:rsidRDefault="00F124F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2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FD735E" w14:textId="77777777" w:rsidR="00F124FA" w:rsidRDefault="00F124FA" w:rsidP="00117666">
      <w:pPr>
        <w:spacing w:after="0"/>
      </w:pPr>
      <w:r>
        <w:separator/>
      </w:r>
    </w:p>
  </w:footnote>
  <w:footnote w:type="continuationSeparator" w:id="0">
    <w:p w14:paraId="7952E2F2" w14:textId="77777777" w:rsidR="00F124FA" w:rsidRDefault="00F124F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9A3560" w14:textId="77777777" w:rsidR="00797460" w:rsidRPr="009151AA" w:rsidRDefault="00797460" w:rsidP="00797460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2298A"/>
    <w:rsid w:val="001549D3"/>
    <w:rsid w:val="00160065"/>
    <w:rsid w:val="00177D84"/>
    <w:rsid w:val="001C46CF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B1F32"/>
    <w:rsid w:val="006375C7"/>
    <w:rsid w:val="00654E8F"/>
    <w:rsid w:val="00660D05"/>
    <w:rsid w:val="006820B1"/>
    <w:rsid w:val="006B7D14"/>
    <w:rsid w:val="006D20F2"/>
    <w:rsid w:val="00701727"/>
    <w:rsid w:val="0070566C"/>
    <w:rsid w:val="00714C50"/>
    <w:rsid w:val="00725A7D"/>
    <w:rsid w:val="007501BE"/>
    <w:rsid w:val="00790BB3"/>
    <w:rsid w:val="00797460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71DA0"/>
    <w:rsid w:val="00AA4D24"/>
    <w:rsid w:val="00AB6715"/>
    <w:rsid w:val="00AE394D"/>
    <w:rsid w:val="00B1671E"/>
    <w:rsid w:val="00B25EB8"/>
    <w:rsid w:val="00B37F4D"/>
    <w:rsid w:val="00B6413E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124FA"/>
    <w:rsid w:val="00F46900"/>
    <w:rsid w:val="00F47E01"/>
    <w:rsid w:val="00F61D89"/>
    <w:rsid w:val="00F6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EC8B728-D321-49B8-9F2C-B1E41E3CC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5</TotalTime>
  <Pages>5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Clemencia Rojas</cp:lastModifiedBy>
  <cp:revision>4</cp:revision>
  <cp:lastPrinted>2013-10-03T12:51:00Z</cp:lastPrinted>
  <dcterms:created xsi:type="dcterms:W3CDTF">2019-12-03T16:09:00Z</dcterms:created>
  <dcterms:modified xsi:type="dcterms:W3CDTF">2019-12-05T14:41:00Z</dcterms:modified>
</cp:coreProperties>
</file>