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38721" w14:textId="0E86E726" w:rsidR="00B50828" w:rsidRPr="0099548D" w:rsidRDefault="00B50828" w:rsidP="00B50828">
      <w:pPr>
        <w:spacing w:after="0" w:line="480" w:lineRule="auto"/>
        <w:contextualSpacing/>
        <w:rPr>
          <w:rFonts w:cs="Times New Roman"/>
          <w:b/>
        </w:rPr>
      </w:pPr>
      <w:r w:rsidRPr="0099548D">
        <w:rPr>
          <w:rFonts w:cs="Times New Roman"/>
          <w:b/>
        </w:rPr>
        <w:t>Optimisation and validation of immunohistochemical methods for FAAH and NAPE-PLD protein expression.</w:t>
      </w:r>
    </w:p>
    <w:p w14:paraId="79C6A738" w14:textId="4CC0F164" w:rsidR="00B50828" w:rsidRPr="0099548D" w:rsidRDefault="00B50828" w:rsidP="00B50828">
      <w:pPr>
        <w:spacing w:after="0" w:line="480" w:lineRule="auto"/>
        <w:contextualSpacing/>
        <w:jc w:val="both"/>
        <w:rPr>
          <w:rFonts w:cs="Times New Roman"/>
          <w:b/>
        </w:rPr>
      </w:pPr>
      <w:proofErr w:type="spellStart"/>
      <w:r w:rsidRPr="0099548D">
        <w:rPr>
          <w:rFonts w:cs="Times New Roman"/>
        </w:rPr>
        <w:t>Immunolocalisation</w:t>
      </w:r>
      <w:proofErr w:type="spellEnd"/>
      <w:r w:rsidRPr="0099548D">
        <w:rPr>
          <w:rFonts w:cs="Times New Roman"/>
        </w:rPr>
        <w:t xml:space="preserve"> was performed using antibodies against </w:t>
      </w:r>
      <w:r w:rsidR="00657D1D" w:rsidRPr="0099548D">
        <w:rPr>
          <w:rFonts w:cs="Times New Roman"/>
        </w:rPr>
        <w:t xml:space="preserve">human </w:t>
      </w:r>
      <w:r w:rsidRPr="0099548D">
        <w:rPr>
          <w:rFonts w:cs="Times New Roman"/>
        </w:rPr>
        <w:t>FAAH (</w:t>
      </w:r>
      <w:r w:rsidR="00657D1D" w:rsidRPr="0099548D">
        <w:rPr>
          <w:rFonts w:cs="Times New Roman"/>
        </w:rPr>
        <w:t xml:space="preserve">FAAH 11-S, </w:t>
      </w:r>
      <w:r w:rsidRPr="0099548D">
        <w:rPr>
          <w:rFonts w:cs="Times New Roman"/>
        </w:rPr>
        <w:t xml:space="preserve">Alpha Diagnostics International San Antonio, TX, USA) and </w:t>
      </w:r>
      <w:r w:rsidR="00657D1D" w:rsidRPr="0099548D">
        <w:rPr>
          <w:rFonts w:cs="Times New Roman"/>
        </w:rPr>
        <w:t xml:space="preserve">rabbit anti-human </w:t>
      </w:r>
      <w:r w:rsidRPr="0099548D">
        <w:rPr>
          <w:rFonts w:cs="Times New Roman"/>
        </w:rPr>
        <w:t>NAPE-PLD (</w:t>
      </w:r>
      <w:r w:rsidR="00657D1D" w:rsidRPr="0099548D">
        <w:rPr>
          <w:rFonts w:cs="Times New Roman"/>
        </w:rPr>
        <w:t xml:space="preserve">catalogue number HPA024338; </w:t>
      </w:r>
      <w:r w:rsidRPr="0099548D">
        <w:rPr>
          <w:rFonts w:cs="Times New Roman"/>
        </w:rPr>
        <w:t>SIGMA Life Science. Stockholm, Sweden) with standard immunohistochemistry protocols</w:t>
      </w:r>
      <w:r w:rsidR="00657D1D" w:rsidRPr="0099548D">
        <w:rPr>
          <w:rFonts w:cs="Times New Roman"/>
        </w:rPr>
        <w:t>,</w:t>
      </w:r>
      <w:r w:rsidRPr="0099548D">
        <w:rPr>
          <w:rFonts w:cs="Times New Roman"/>
        </w:rPr>
        <w:t xml:space="preserve"> as previously described </w:t>
      </w:r>
      <w:r w:rsidR="00657D1D" w:rsidRPr="0099548D">
        <w:rPr>
          <w:rFonts w:cs="Times New Roman"/>
        </w:rPr>
        <w:t>(</w:t>
      </w:r>
      <w:r w:rsidR="0099548D">
        <w:rPr>
          <w:rFonts w:cs="Times New Roman"/>
        </w:rPr>
        <w:t>1-3</w:t>
      </w:r>
      <w:r w:rsidR="00657D1D" w:rsidRPr="0099548D">
        <w:rPr>
          <w:rFonts w:cs="Times New Roman"/>
        </w:rPr>
        <w:t>)</w:t>
      </w:r>
      <w:r w:rsidRPr="0099548D">
        <w:rPr>
          <w:rFonts w:cs="Times New Roman"/>
        </w:rPr>
        <w:t>. For negative controls, the slides were incubated with rabbit serum (for FAAH) and rabbit IgG antibodies (</w:t>
      </w:r>
      <w:r w:rsidR="00EE2CDB">
        <w:rPr>
          <w:rFonts w:cs="Times New Roman"/>
        </w:rPr>
        <w:t>Bio-Rad</w:t>
      </w:r>
      <w:r w:rsidRPr="0099548D">
        <w:rPr>
          <w:rFonts w:cs="Times New Roman"/>
        </w:rPr>
        <w:t xml:space="preserve">; for NAPE-PLD) diluted to the same concentrations as the primary antibody. </w:t>
      </w:r>
      <w:r w:rsidR="00657D1D" w:rsidRPr="0099548D">
        <w:rPr>
          <w:rFonts w:cs="Times New Roman"/>
        </w:rPr>
        <w:t>Details of the procedures and image capture are presented in detail in the Methods section.</w:t>
      </w:r>
      <w:r w:rsidRPr="0099548D">
        <w:rPr>
          <w:rFonts w:cs="Times New Roman"/>
        </w:rPr>
        <w:t xml:space="preserve"> All images were captured at 20</w:t>
      </w:r>
      <w:r w:rsidR="007A4A4F">
        <w:rPr>
          <w:rFonts w:cs="Times New Roman"/>
        </w:rPr>
        <w:t xml:space="preserve">0 </w:t>
      </w:r>
      <w:bookmarkStart w:id="0" w:name="_GoBack"/>
      <w:bookmarkEnd w:id="0"/>
      <w:r w:rsidRPr="0099548D">
        <w:rPr>
          <w:rFonts w:cs="Times New Roman"/>
        </w:rPr>
        <w:t>X magnification.</w:t>
      </w:r>
    </w:p>
    <w:p w14:paraId="40EB273B" w14:textId="78A71D07" w:rsidR="002F02D9" w:rsidRPr="0099548D" w:rsidRDefault="002F02D9" w:rsidP="00B50828">
      <w:pPr>
        <w:spacing w:after="0" w:line="480" w:lineRule="auto"/>
        <w:contextualSpacing/>
        <w:rPr>
          <w:rFonts w:cs="Times New Roman"/>
          <w:b/>
        </w:rPr>
      </w:pPr>
    </w:p>
    <w:p w14:paraId="03F6F971" w14:textId="1E5A8049" w:rsidR="00B50828" w:rsidRPr="0099548D" w:rsidRDefault="00B50828" w:rsidP="00B50828">
      <w:pPr>
        <w:spacing w:after="0" w:line="480" w:lineRule="auto"/>
        <w:contextualSpacing/>
        <w:jc w:val="both"/>
        <w:rPr>
          <w:rFonts w:cs="Times New Roman"/>
        </w:rPr>
      </w:pPr>
      <w:r w:rsidRPr="0099548D">
        <w:rPr>
          <w:rFonts w:cs="Times New Roman"/>
        </w:rPr>
        <w:t xml:space="preserve">To determine the optimal primary antibody dilution for FAAH was obtained using 4 different dilutions (1:1000, 1:2000, 1: 3000 and 1:4000) as shown in </w:t>
      </w:r>
      <w:r w:rsidR="0079660F" w:rsidRPr="0099548D">
        <w:rPr>
          <w:rFonts w:cs="Times New Roman"/>
          <w:b/>
        </w:rPr>
        <w:t>Supplemental Figure 1a</w:t>
      </w:r>
      <w:r w:rsidRPr="0099548D">
        <w:rPr>
          <w:rFonts w:cs="Times New Roman"/>
        </w:rPr>
        <w:t>.  The data indicated that the best dilution was 1:2000 and consequently this dilution was used for the specificity study (</w:t>
      </w:r>
      <w:r w:rsidR="0079660F" w:rsidRPr="0099548D">
        <w:rPr>
          <w:rFonts w:cs="Times New Roman"/>
          <w:b/>
        </w:rPr>
        <w:t>Supplemental Figure 1b</w:t>
      </w:r>
      <w:r w:rsidRPr="0099548D">
        <w:rPr>
          <w:rFonts w:cs="Times New Roman"/>
        </w:rPr>
        <w:t>). The left image shows positive staining of the tissue with the primary FAAH serum, whilst the right image shows no staining when the primary FAAH antibody was replaced non-immune rabbit serum (at the same concentration) as a control.  These data indicate that the staining was specific within the endometrial samples used and similar to that previously reported (</w:t>
      </w:r>
      <w:r w:rsidR="0099548D">
        <w:rPr>
          <w:rFonts w:cs="Times New Roman"/>
        </w:rPr>
        <w:t>1</w:t>
      </w:r>
      <w:proofErr w:type="gramStart"/>
      <w:r w:rsidR="0099548D">
        <w:rPr>
          <w:rFonts w:cs="Times New Roman"/>
        </w:rPr>
        <w:t>,2</w:t>
      </w:r>
      <w:proofErr w:type="gramEnd"/>
      <w:r w:rsidRPr="0099548D">
        <w:rPr>
          <w:rFonts w:cs="Times New Roman"/>
        </w:rPr>
        <w:t>).</w:t>
      </w:r>
    </w:p>
    <w:p w14:paraId="32B46772" w14:textId="04EC2A74" w:rsidR="00B50828" w:rsidRPr="0099548D" w:rsidRDefault="00B50828" w:rsidP="00B50828">
      <w:pPr>
        <w:spacing w:after="0" w:line="480" w:lineRule="auto"/>
        <w:contextualSpacing/>
        <w:jc w:val="both"/>
        <w:rPr>
          <w:rFonts w:cs="Times New Roman"/>
        </w:rPr>
      </w:pPr>
    </w:p>
    <w:p w14:paraId="184CD11C" w14:textId="67ABF70E" w:rsidR="002F02D9" w:rsidRPr="0099548D" w:rsidRDefault="00B50828" w:rsidP="00B50828">
      <w:pPr>
        <w:spacing w:after="0" w:line="480" w:lineRule="auto"/>
        <w:contextualSpacing/>
        <w:jc w:val="both"/>
        <w:rPr>
          <w:rFonts w:cs="Times New Roman"/>
        </w:rPr>
      </w:pPr>
      <w:r w:rsidRPr="0099548D">
        <w:rPr>
          <w:rFonts w:cs="Times New Roman"/>
        </w:rPr>
        <w:t xml:space="preserve">Similar studies with rabbit anti-human NAPE-PLD antibodies required more antibody per slide. </w:t>
      </w:r>
      <w:r w:rsidR="002F02D9" w:rsidRPr="0099548D">
        <w:rPr>
          <w:rFonts w:cs="Times New Roman"/>
        </w:rPr>
        <w:t>The optimal primary antibody dilution for NAPE-PLD was obtained using 1:25, 1:50, 1:100 and 1:200 dilutions of the antibody</w:t>
      </w:r>
      <w:r w:rsidRPr="0099548D">
        <w:rPr>
          <w:rFonts w:cs="Times New Roman"/>
        </w:rPr>
        <w:t xml:space="preserve">, as shown in </w:t>
      </w:r>
      <w:r w:rsidRPr="0099548D">
        <w:rPr>
          <w:rFonts w:cs="Times New Roman"/>
          <w:b/>
        </w:rPr>
        <w:t>Supplemental Figure 2</w:t>
      </w:r>
      <w:r w:rsidR="0079660F" w:rsidRPr="0099548D">
        <w:rPr>
          <w:rFonts w:cs="Times New Roman"/>
          <w:b/>
        </w:rPr>
        <w:t>a</w:t>
      </w:r>
      <w:r w:rsidRPr="0099548D">
        <w:rPr>
          <w:rFonts w:cs="Times New Roman"/>
          <w:b/>
        </w:rPr>
        <w:t>.</w:t>
      </w:r>
      <w:r w:rsidRPr="0099548D">
        <w:rPr>
          <w:rFonts w:cs="Times New Roman"/>
        </w:rPr>
        <w:t xml:space="preserve"> </w:t>
      </w:r>
      <w:r w:rsidR="002F02D9" w:rsidRPr="0099548D">
        <w:rPr>
          <w:rFonts w:cs="Times New Roman"/>
        </w:rPr>
        <w:t xml:space="preserve">The best results were obtained with the 1:50 dilution and so this dilution was used for the </w:t>
      </w:r>
      <w:r w:rsidRPr="0099548D">
        <w:rPr>
          <w:rFonts w:cs="Times New Roman"/>
        </w:rPr>
        <w:t>specificity</w:t>
      </w:r>
      <w:r w:rsidR="002F02D9" w:rsidRPr="0099548D">
        <w:rPr>
          <w:rFonts w:cs="Times New Roman"/>
        </w:rPr>
        <w:t xml:space="preserve"> study. </w:t>
      </w:r>
    </w:p>
    <w:p w14:paraId="5B2E378E" w14:textId="77777777" w:rsidR="00B50828" w:rsidRPr="0099548D" w:rsidRDefault="00B50828" w:rsidP="00B50828">
      <w:pPr>
        <w:spacing w:after="0" w:line="480" w:lineRule="auto"/>
        <w:contextualSpacing/>
        <w:jc w:val="both"/>
        <w:rPr>
          <w:rFonts w:cs="Times New Roman"/>
        </w:rPr>
      </w:pPr>
    </w:p>
    <w:p w14:paraId="55FEEE5F" w14:textId="30DF68B6" w:rsidR="002F02D9" w:rsidRPr="0099548D" w:rsidRDefault="002F02D9" w:rsidP="00B50828">
      <w:pPr>
        <w:spacing w:after="0" w:line="480" w:lineRule="auto"/>
        <w:contextualSpacing/>
        <w:jc w:val="both"/>
        <w:rPr>
          <w:rFonts w:cs="Times New Roman"/>
        </w:rPr>
      </w:pPr>
      <w:r w:rsidRPr="0099548D">
        <w:rPr>
          <w:rFonts w:cs="Times New Roman"/>
        </w:rPr>
        <w:t>Following completing the antibody dilution optimisation study, the specificity</w:t>
      </w:r>
      <w:r w:rsidRPr="0099548D" w:rsidDel="00D34EEC">
        <w:rPr>
          <w:rFonts w:cs="Times New Roman"/>
        </w:rPr>
        <w:t xml:space="preserve"> </w:t>
      </w:r>
      <w:r w:rsidRPr="0099548D">
        <w:rPr>
          <w:rFonts w:cs="Times New Roman"/>
        </w:rPr>
        <w:t>of the optimal dilution (1:50) of the NAPE-PLD primary antibody</w:t>
      </w:r>
      <w:r w:rsidRPr="0099548D" w:rsidDel="00D34EEC">
        <w:rPr>
          <w:rFonts w:cs="Times New Roman"/>
        </w:rPr>
        <w:t xml:space="preserve"> </w:t>
      </w:r>
      <w:r w:rsidRPr="0099548D">
        <w:rPr>
          <w:rFonts w:cs="Times New Roman"/>
        </w:rPr>
        <w:t>was evaluated</w:t>
      </w:r>
      <w:r w:rsidR="00B50828" w:rsidRPr="0099548D">
        <w:rPr>
          <w:rFonts w:cs="Times New Roman"/>
        </w:rPr>
        <w:t xml:space="preserve"> </w:t>
      </w:r>
      <w:r w:rsidR="00B50828" w:rsidRPr="0099548D">
        <w:rPr>
          <w:rFonts w:cs="Times New Roman"/>
          <w:b/>
        </w:rPr>
        <w:t>Supplemental</w:t>
      </w:r>
      <w:r w:rsidRPr="0099548D">
        <w:rPr>
          <w:rFonts w:cs="Times New Roman"/>
          <w:b/>
        </w:rPr>
        <w:t xml:space="preserve"> </w:t>
      </w:r>
      <w:r w:rsidR="0079660F" w:rsidRPr="0099548D">
        <w:rPr>
          <w:rFonts w:cs="Times New Roman"/>
          <w:b/>
        </w:rPr>
        <w:t>Figure 2b</w:t>
      </w:r>
      <w:r w:rsidRPr="0099548D">
        <w:rPr>
          <w:rFonts w:cs="Times New Roman"/>
        </w:rPr>
        <w:t>.</w:t>
      </w:r>
      <w:r w:rsidRPr="0099548D">
        <w:rPr>
          <w:rFonts w:cs="Times New Roman"/>
          <w:b/>
        </w:rPr>
        <w:t xml:space="preserve">  </w:t>
      </w:r>
      <w:r w:rsidR="00B50828" w:rsidRPr="0099548D">
        <w:rPr>
          <w:rFonts w:cs="Times New Roman"/>
        </w:rPr>
        <w:t>The left i</w:t>
      </w:r>
      <w:r w:rsidRPr="0099548D">
        <w:rPr>
          <w:rFonts w:cs="Times New Roman"/>
        </w:rPr>
        <w:t>mage show</w:t>
      </w:r>
      <w:r w:rsidR="00B50828" w:rsidRPr="0099548D">
        <w:rPr>
          <w:rFonts w:cs="Times New Roman"/>
        </w:rPr>
        <w:t>s</w:t>
      </w:r>
      <w:r w:rsidRPr="0099548D">
        <w:rPr>
          <w:rFonts w:cs="Times New Roman"/>
        </w:rPr>
        <w:t xml:space="preserve"> positive staining of the </w:t>
      </w:r>
      <w:r w:rsidR="00B50828" w:rsidRPr="0099548D">
        <w:rPr>
          <w:rFonts w:cs="Times New Roman"/>
        </w:rPr>
        <w:t xml:space="preserve">tissue with the </w:t>
      </w:r>
      <w:r w:rsidRPr="0099548D">
        <w:rPr>
          <w:rFonts w:cs="Times New Roman"/>
        </w:rPr>
        <w:t>primary NAPE-PLD</w:t>
      </w:r>
      <w:r w:rsidR="00B50828" w:rsidRPr="0099548D">
        <w:rPr>
          <w:rFonts w:cs="Times New Roman"/>
        </w:rPr>
        <w:t xml:space="preserve"> antibody</w:t>
      </w:r>
      <w:r w:rsidRPr="0099548D">
        <w:rPr>
          <w:rFonts w:cs="Times New Roman"/>
        </w:rPr>
        <w:t xml:space="preserve">, whilst </w:t>
      </w:r>
      <w:r w:rsidR="00B50828" w:rsidRPr="0099548D">
        <w:rPr>
          <w:rFonts w:cs="Times New Roman"/>
        </w:rPr>
        <w:t>the right image</w:t>
      </w:r>
      <w:r w:rsidRPr="0099548D">
        <w:rPr>
          <w:rFonts w:cs="Times New Roman"/>
        </w:rPr>
        <w:t xml:space="preserve"> show</w:t>
      </w:r>
      <w:r w:rsidR="00B50828" w:rsidRPr="0099548D">
        <w:rPr>
          <w:rFonts w:cs="Times New Roman"/>
        </w:rPr>
        <w:t>s</w:t>
      </w:r>
      <w:r w:rsidRPr="0099548D">
        <w:rPr>
          <w:rFonts w:cs="Times New Roman"/>
        </w:rPr>
        <w:t xml:space="preserve"> </w:t>
      </w:r>
      <w:r w:rsidRPr="0099548D">
        <w:rPr>
          <w:rFonts w:cs="Times New Roman"/>
        </w:rPr>
        <w:lastRenderedPageBreak/>
        <w:t xml:space="preserve">no staining when the </w:t>
      </w:r>
      <w:r w:rsidR="00B50828" w:rsidRPr="0099548D">
        <w:rPr>
          <w:rFonts w:cs="Times New Roman"/>
        </w:rPr>
        <w:t xml:space="preserve">primary antibody NAPE-PLD was replaced  rabbit </w:t>
      </w:r>
      <w:r w:rsidRPr="0099548D">
        <w:rPr>
          <w:rFonts w:cs="Times New Roman"/>
        </w:rPr>
        <w:t>IgG (at the same concentration)</w:t>
      </w:r>
      <w:r w:rsidR="00B50828" w:rsidRPr="0099548D">
        <w:rPr>
          <w:rFonts w:cs="Times New Roman"/>
        </w:rPr>
        <w:t xml:space="preserve"> as a control</w:t>
      </w:r>
      <w:r w:rsidRPr="0099548D">
        <w:rPr>
          <w:rFonts w:cs="Times New Roman"/>
        </w:rPr>
        <w:t>.  These data indicate that the staining was specific within the endometrial samples used.</w:t>
      </w:r>
    </w:p>
    <w:p w14:paraId="6D76AF57" w14:textId="77777777" w:rsidR="0079660F" w:rsidRPr="0099548D" w:rsidRDefault="0079660F" w:rsidP="00B50828">
      <w:pPr>
        <w:spacing w:after="0" w:line="480" w:lineRule="auto"/>
        <w:contextualSpacing/>
        <w:jc w:val="both"/>
        <w:rPr>
          <w:rFonts w:cs="Times New Roman"/>
        </w:rPr>
      </w:pPr>
    </w:p>
    <w:p w14:paraId="7D31A067" w14:textId="77777777" w:rsidR="0079660F" w:rsidRPr="0099548D" w:rsidRDefault="0079660F" w:rsidP="00B50828">
      <w:pPr>
        <w:spacing w:after="0" w:line="480" w:lineRule="auto"/>
        <w:contextualSpacing/>
        <w:jc w:val="both"/>
        <w:rPr>
          <w:rFonts w:cs="Times New Roman"/>
        </w:rPr>
      </w:pPr>
    </w:p>
    <w:p w14:paraId="73E37CBC" w14:textId="5BC7B1DE" w:rsidR="0079660F" w:rsidRPr="0099548D" w:rsidRDefault="0079660F" w:rsidP="00B50828">
      <w:pPr>
        <w:spacing w:after="0" w:line="480" w:lineRule="auto"/>
        <w:contextualSpacing/>
        <w:jc w:val="both"/>
        <w:rPr>
          <w:rFonts w:cs="Times New Roman"/>
          <w:b/>
        </w:rPr>
      </w:pPr>
      <w:r w:rsidRPr="0099548D">
        <w:rPr>
          <w:rFonts w:cs="Times New Roman"/>
          <w:b/>
        </w:rPr>
        <w:t>Supplemental figure legends</w:t>
      </w:r>
    </w:p>
    <w:p w14:paraId="4AF80404" w14:textId="20F7AA2D" w:rsidR="0079660F" w:rsidRPr="0099548D" w:rsidRDefault="0079660F" w:rsidP="0099548D">
      <w:pPr>
        <w:spacing w:after="0" w:line="480" w:lineRule="auto"/>
        <w:contextualSpacing/>
        <w:rPr>
          <w:rFonts w:cs="Times New Roman"/>
          <w:b/>
        </w:rPr>
      </w:pPr>
      <w:r w:rsidRPr="0099548D">
        <w:rPr>
          <w:rFonts w:cs="Times New Roman"/>
          <w:b/>
        </w:rPr>
        <w:t>Supplemental Figure 1. Optimal antibody dilution and demonstration of specificity for FAAH immunohistochemistry</w:t>
      </w:r>
    </w:p>
    <w:p w14:paraId="6CDB048F" w14:textId="77777777" w:rsidR="0079660F" w:rsidRPr="0099548D" w:rsidRDefault="0079660F" w:rsidP="0099548D">
      <w:pPr>
        <w:spacing w:after="0" w:line="480" w:lineRule="auto"/>
        <w:contextualSpacing/>
        <w:jc w:val="both"/>
        <w:rPr>
          <w:rFonts w:cs="Times New Roman"/>
        </w:rPr>
      </w:pPr>
    </w:p>
    <w:p w14:paraId="6C352642" w14:textId="526B5AFB" w:rsidR="0079660F" w:rsidRPr="0099548D" w:rsidRDefault="0079660F" w:rsidP="0099548D">
      <w:pPr>
        <w:spacing w:after="0" w:line="480" w:lineRule="auto"/>
        <w:contextualSpacing/>
        <w:jc w:val="both"/>
        <w:rPr>
          <w:rFonts w:cs="Times New Roman"/>
        </w:rPr>
      </w:pPr>
      <w:r w:rsidRPr="0099548D">
        <w:rPr>
          <w:rFonts w:cs="Times New Roman"/>
        </w:rPr>
        <w:t>Serial sections of normal endometrium were incubated with the indicated dilutions of FAAH rabbit serum (panel a), and the antibody binding detected with 3</w:t>
      </w:r>
      <w:proofErr w:type="gramStart"/>
      <w:r w:rsidRPr="0099548D">
        <w:rPr>
          <w:rFonts w:cs="Times New Roman"/>
        </w:rPr>
        <w:t>,3’</w:t>
      </w:r>
      <w:proofErr w:type="gramEnd"/>
      <w:r w:rsidRPr="0099548D">
        <w:rPr>
          <w:rFonts w:cs="Times New Roman"/>
        </w:rPr>
        <w:t xml:space="preserve">-diaminobenzidine (brown) staining. FAAH staining was noted in both the stoma (S) and the glands (G), with very strong staining observed with the 1:1000 dilution, while the 1:3000 and 1:4000 showed very light staining.  The 1:2000 dilution provided the optimal staining pattern and so was used in all subsequent analyses. In panel b the specificity of the primary FAAH antibody is demonstrated with the image on the left being 1:2000 dilution of FAAH rabbit serum whilst that on the right is the non-immune rabbit serum control diluted to 1:2000 (i.e.  </w:t>
      </w:r>
      <w:proofErr w:type="gramStart"/>
      <w:r w:rsidRPr="0099548D">
        <w:rPr>
          <w:rFonts w:cs="Times New Roman"/>
        </w:rPr>
        <w:t>at</w:t>
      </w:r>
      <w:proofErr w:type="gramEnd"/>
      <w:r w:rsidRPr="0099548D">
        <w:rPr>
          <w:rFonts w:cs="Times New Roman"/>
        </w:rPr>
        <w:t xml:space="preserve"> the same concentration as the FAAH primary antibody). Note the lack of staining in the non-immune rabbit serum control.</w:t>
      </w:r>
    </w:p>
    <w:p w14:paraId="7B8E3FDF" w14:textId="783EA2DE" w:rsidR="0079660F" w:rsidRPr="0099548D" w:rsidRDefault="0079660F" w:rsidP="0099548D">
      <w:pPr>
        <w:spacing w:after="0" w:line="480" w:lineRule="auto"/>
        <w:contextualSpacing/>
        <w:jc w:val="both"/>
        <w:rPr>
          <w:rFonts w:cs="Times New Roman"/>
        </w:rPr>
      </w:pPr>
      <w:r w:rsidRPr="0099548D">
        <w:rPr>
          <w:rFonts w:cs="Times New Roman"/>
        </w:rPr>
        <w:t xml:space="preserve"> </w:t>
      </w:r>
    </w:p>
    <w:p w14:paraId="600C029B" w14:textId="1C9D6C8A" w:rsidR="0079660F" w:rsidRPr="0099548D" w:rsidRDefault="0079660F" w:rsidP="0099548D">
      <w:pPr>
        <w:spacing w:after="0" w:line="480" w:lineRule="auto"/>
        <w:contextualSpacing/>
        <w:rPr>
          <w:rFonts w:cs="Times New Roman"/>
          <w:b/>
        </w:rPr>
      </w:pPr>
      <w:r w:rsidRPr="0099548D">
        <w:rPr>
          <w:rFonts w:cs="Times New Roman"/>
          <w:b/>
        </w:rPr>
        <w:t>Supplemental Figure 2. Optimal antibody dilution and demonstration of specificity for NAPE-PLD immunohistochemistry</w:t>
      </w:r>
    </w:p>
    <w:p w14:paraId="1B8E059F" w14:textId="53D62CA3" w:rsidR="0079660F" w:rsidRDefault="0079660F" w:rsidP="0099548D">
      <w:pPr>
        <w:spacing w:after="0" w:line="480" w:lineRule="auto"/>
        <w:contextualSpacing/>
        <w:jc w:val="both"/>
        <w:rPr>
          <w:rFonts w:cs="Times New Roman"/>
        </w:rPr>
      </w:pPr>
      <w:r w:rsidRPr="0099548D">
        <w:rPr>
          <w:rFonts w:cs="Times New Roman"/>
        </w:rPr>
        <w:t>Serial sections of normal endometrium were incubated with the indicated dilutions of NAPE-PLD rabbit primary (panel a), and the antibody binding detected with 3</w:t>
      </w:r>
      <w:proofErr w:type="gramStart"/>
      <w:r w:rsidRPr="0099548D">
        <w:rPr>
          <w:rFonts w:cs="Times New Roman"/>
        </w:rPr>
        <w:t>,3’</w:t>
      </w:r>
      <w:proofErr w:type="gramEnd"/>
      <w:r w:rsidRPr="0099548D">
        <w:rPr>
          <w:rFonts w:cs="Times New Roman"/>
        </w:rPr>
        <w:t xml:space="preserve">-diaminobenzidine (brown) staining. NAPE-PLD staining was noted in both the stoma (S) and the glands (G), with very strong staining observed with the 1:25 dilution, while the 1:100 and 1:200 showed very light staining.  The 1:50 dilution provided the optimal staining pattern and so was used in all subsequent analyses. In panel b the specificity of the primary NAPE-PLD antibody is demonstrated with the image on the left </w:t>
      </w:r>
      <w:r w:rsidRPr="0099548D">
        <w:rPr>
          <w:rFonts w:cs="Times New Roman"/>
        </w:rPr>
        <w:lastRenderedPageBreak/>
        <w:t>being 1:50 dilution of NAPE-PLD rabbit antibody whilst that on the right is the non-immune rabbit immunoglobulins (IgG) diluted to the same concentration as the NAPE-PLD primary antibody). Note the lack of staining in the rabbit IgG control.</w:t>
      </w:r>
    </w:p>
    <w:p w14:paraId="66393383" w14:textId="77777777" w:rsidR="0099548D" w:rsidRDefault="0099548D" w:rsidP="0099548D">
      <w:pPr>
        <w:spacing w:after="0" w:line="480" w:lineRule="auto"/>
        <w:contextualSpacing/>
        <w:jc w:val="both"/>
        <w:rPr>
          <w:rFonts w:cs="Times New Roman"/>
        </w:rPr>
      </w:pPr>
    </w:p>
    <w:p w14:paraId="48242B32" w14:textId="4FDD2656" w:rsidR="0099548D" w:rsidRDefault="0099548D" w:rsidP="0099548D">
      <w:pPr>
        <w:spacing w:after="0" w:line="480" w:lineRule="auto"/>
        <w:contextualSpacing/>
        <w:jc w:val="both"/>
        <w:rPr>
          <w:rFonts w:cs="Times New Roman"/>
          <w:b/>
          <w:sz w:val="24"/>
        </w:rPr>
      </w:pPr>
      <w:r w:rsidRPr="0099548D">
        <w:rPr>
          <w:rFonts w:cs="Times New Roman"/>
          <w:b/>
          <w:sz w:val="24"/>
        </w:rPr>
        <w:t>References</w:t>
      </w:r>
    </w:p>
    <w:p w14:paraId="534C1009" w14:textId="77777777" w:rsidR="0099548D" w:rsidRPr="0099548D" w:rsidRDefault="0099548D" w:rsidP="0099548D">
      <w:pPr>
        <w:pStyle w:val="EndNoteBibliography"/>
        <w:numPr>
          <w:ilvl w:val="0"/>
          <w:numId w:val="7"/>
        </w:numPr>
        <w:spacing w:after="0" w:line="480" w:lineRule="auto"/>
        <w:ind w:left="426" w:hanging="426"/>
        <w:contextualSpacing/>
        <w:jc w:val="both"/>
      </w:pPr>
      <w:r w:rsidRPr="0099548D">
        <w:t>Taylor AH, Abbas MS, Habiba MA, Konje JC. Histomorphometric evaluation of cannabinoid receptor and anandamide modulating enzyme expression in the human endometrium through the menstrual cycle. Histochemistry and Cell Biology. 2010;133:557-65.</w:t>
      </w:r>
    </w:p>
    <w:p w14:paraId="49651E1D" w14:textId="28100163" w:rsidR="0099548D" w:rsidRPr="0099548D" w:rsidRDefault="0099548D" w:rsidP="0099548D">
      <w:pPr>
        <w:pStyle w:val="EndNoteBibliography"/>
        <w:numPr>
          <w:ilvl w:val="0"/>
          <w:numId w:val="7"/>
        </w:numPr>
        <w:spacing w:after="0" w:line="480" w:lineRule="auto"/>
        <w:ind w:left="426" w:hanging="426"/>
        <w:contextualSpacing/>
        <w:jc w:val="both"/>
      </w:pPr>
      <w:r w:rsidRPr="0099548D">
        <w:t>Gebeh AK, Willets JM, Marczylo EL, Taylor AH, Konje JC. Ectopic pregnancy is associated with high anandamide levels and aberrant expression of FAAH and CB1 in fallopian tubes. Journal of Clinical Endocrinology and Metabolism. 2012;97:2827-35.</w:t>
      </w:r>
    </w:p>
    <w:p w14:paraId="0D00D60A" w14:textId="2E276256" w:rsidR="0079660F" w:rsidRPr="0099548D" w:rsidRDefault="0099548D" w:rsidP="0099548D">
      <w:pPr>
        <w:pStyle w:val="ListParagraph"/>
        <w:numPr>
          <w:ilvl w:val="0"/>
          <w:numId w:val="7"/>
        </w:numPr>
        <w:spacing w:after="0" w:line="480" w:lineRule="auto"/>
        <w:ind w:left="426" w:hanging="426"/>
        <w:jc w:val="both"/>
        <w:rPr>
          <w:rFonts w:cs="Times New Roman"/>
        </w:rPr>
      </w:pPr>
      <w:r w:rsidRPr="0099548D">
        <w:rPr>
          <w:rFonts w:cs="Times New Roman"/>
        </w:rPr>
        <w:t>El-</w:t>
      </w:r>
      <w:proofErr w:type="spellStart"/>
      <w:r w:rsidRPr="0099548D">
        <w:rPr>
          <w:rFonts w:cs="Times New Roman"/>
        </w:rPr>
        <w:t>Talatini</w:t>
      </w:r>
      <w:proofErr w:type="spellEnd"/>
      <w:r w:rsidRPr="0099548D">
        <w:rPr>
          <w:rFonts w:cs="Times New Roman"/>
        </w:rPr>
        <w:t>, MR, Taylor AH, Elson JC, Brown L, Davidson A, Konje JC</w:t>
      </w:r>
      <w:r>
        <w:rPr>
          <w:rFonts w:cs="Times New Roman"/>
        </w:rPr>
        <w:t>.</w:t>
      </w:r>
      <w:r w:rsidRPr="0099548D">
        <w:rPr>
          <w:rFonts w:cs="Times New Roman"/>
        </w:rPr>
        <w:t xml:space="preserve"> Localisation and function of the endocannabinoid system in the human ovary. </w:t>
      </w:r>
      <w:proofErr w:type="spellStart"/>
      <w:r w:rsidRPr="0099548D">
        <w:rPr>
          <w:rFonts w:cs="Times New Roman"/>
        </w:rPr>
        <w:t>PLoS</w:t>
      </w:r>
      <w:proofErr w:type="spellEnd"/>
      <w:r w:rsidRPr="0099548D">
        <w:rPr>
          <w:rFonts w:cs="Times New Roman"/>
        </w:rPr>
        <w:t xml:space="preserve"> One. 2009; 4(2):e4579.</w:t>
      </w:r>
    </w:p>
    <w:sectPr w:rsidR="0079660F" w:rsidRPr="0099548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31A1" w14:textId="77777777" w:rsidR="003C3F31" w:rsidRDefault="003C3F31" w:rsidP="00B50828">
      <w:pPr>
        <w:spacing w:after="0" w:line="240" w:lineRule="auto"/>
      </w:pPr>
      <w:r>
        <w:separator/>
      </w:r>
    </w:p>
  </w:endnote>
  <w:endnote w:type="continuationSeparator" w:id="0">
    <w:p w14:paraId="33D11BBE" w14:textId="77777777" w:rsidR="003C3F31" w:rsidRDefault="003C3F31" w:rsidP="00B5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B5CFE" w14:textId="77777777" w:rsidR="003C3F31" w:rsidRDefault="003C3F31" w:rsidP="00B50828">
      <w:pPr>
        <w:spacing w:after="0" w:line="240" w:lineRule="auto"/>
      </w:pPr>
      <w:r>
        <w:separator/>
      </w:r>
    </w:p>
  </w:footnote>
  <w:footnote w:type="continuationSeparator" w:id="0">
    <w:p w14:paraId="3E8071B5" w14:textId="77777777" w:rsidR="003C3F31" w:rsidRDefault="003C3F31" w:rsidP="00B50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69FC4" w14:textId="0604FBCA" w:rsidR="00B50828" w:rsidRDefault="00B50828">
    <w:pPr>
      <w:pStyle w:val="Header"/>
    </w:pPr>
    <w:r>
      <w:t>Supplemental file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2BFF"/>
    <w:multiLevelType w:val="multilevel"/>
    <w:tmpl w:val="6D2ED6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1315E4C"/>
    <w:multiLevelType w:val="hybridMultilevel"/>
    <w:tmpl w:val="9D5670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32E39D5"/>
    <w:multiLevelType w:val="hybridMultilevel"/>
    <w:tmpl w:val="6D70D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A9"/>
    <w:rsid w:val="002F02D9"/>
    <w:rsid w:val="003C3F31"/>
    <w:rsid w:val="004118E5"/>
    <w:rsid w:val="00630ABF"/>
    <w:rsid w:val="00657D1D"/>
    <w:rsid w:val="0079660F"/>
    <w:rsid w:val="007A4A4F"/>
    <w:rsid w:val="00945EA9"/>
    <w:rsid w:val="0097333A"/>
    <w:rsid w:val="0099548D"/>
    <w:rsid w:val="00AA103B"/>
    <w:rsid w:val="00B50828"/>
    <w:rsid w:val="00EE2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486F"/>
  <w15:chartTrackingRefBased/>
  <w15:docId w15:val="{4336A710-87EA-4528-8992-44B488F2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D9"/>
  </w:style>
  <w:style w:type="paragraph" w:styleId="Heading1">
    <w:name w:val="heading 1"/>
    <w:basedOn w:val="Normal"/>
    <w:next w:val="Normal"/>
    <w:link w:val="Heading1Char"/>
    <w:uiPriority w:val="9"/>
    <w:qFormat/>
    <w:rsid w:val="00AA103B"/>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103B"/>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103B"/>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A103B"/>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103B"/>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0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10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10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A10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A103B"/>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2F02D9"/>
    <w:rPr>
      <w:sz w:val="16"/>
      <w:szCs w:val="16"/>
    </w:rPr>
  </w:style>
  <w:style w:type="paragraph" w:styleId="CommentText">
    <w:name w:val="annotation text"/>
    <w:basedOn w:val="Normal"/>
    <w:link w:val="CommentTextChar"/>
    <w:uiPriority w:val="99"/>
    <w:semiHidden/>
    <w:unhideWhenUsed/>
    <w:rsid w:val="002F02D9"/>
    <w:pPr>
      <w:spacing w:line="240" w:lineRule="auto"/>
    </w:pPr>
    <w:rPr>
      <w:sz w:val="20"/>
      <w:szCs w:val="20"/>
    </w:rPr>
  </w:style>
  <w:style w:type="character" w:customStyle="1" w:styleId="CommentTextChar">
    <w:name w:val="Comment Text Char"/>
    <w:basedOn w:val="DefaultParagraphFont"/>
    <w:link w:val="CommentText"/>
    <w:uiPriority w:val="99"/>
    <w:semiHidden/>
    <w:rsid w:val="002F02D9"/>
    <w:rPr>
      <w:sz w:val="20"/>
      <w:szCs w:val="20"/>
    </w:rPr>
  </w:style>
  <w:style w:type="paragraph" w:styleId="BalloonText">
    <w:name w:val="Balloon Text"/>
    <w:basedOn w:val="Normal"/>
    <w:link w:val="BalloonTextChar"/>
    <w:uiPriority w:val="99"/>
    <w:semiHidden/>
    <w:unhideWhenUsed/>
    <w:rsid w:val="002F0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2D9"/>
    <w:rPr>
      <w:rFonts w:ascii="Segoe UI" w:hAnsi="Segoe UI" w:cs="Segoe UI"/>
      <w:sz w:val="18"/>
      <w:szCs w:val="18"/>
    </w:rPr>
  </w:style>
  <w:style w:type="paragraph" w:styleId="Header">
    <w:name w:val="header"/>
    <w:basedOn w:val="Normal"/>
    <w:link w:val="HeaderChar"/>
    <w:uiPriority w:val="99"/>
    <w:unhideWhenUsed/>
    <w:rsid w:val="00B50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828"/>
  </w:style>
  <w:style w:type="paragraph" w:styleId="Footer">
    <w:name w:val="footer"/>
    <w:basedOn w:val="Normal"/>
    <w:link w:val="FooterChar"/>
    <w:uiPriority w:val="99"/>
    <w:unhideWhenUsed/>
    <w:rsid w:val="00B50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828"/>
  </w:style>
  <w:style w:type="paragraph" w:customStyle="1" w:styleId="EndNoteBibliography">
    <w:name w:val="EndNote Bibliography"/>
    <w:basedOn w:val="Normal"/>
    <w:link w:val="EndNoteBibliographyChar"/>
    <w:rsid w:val="0099548D"/>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9548D"/>
    <w:rPr>
      <w:rFonts w:ascii="Calibri" w:hAnsi="Calibri"/>
      <w:noProof/>
      <w:lang w:val="en-US"/>
    </w:rPr>
  </w:style>
  <w:style w:type="paragraph" w:styleId="ListParagraph">
    <w:name w:val="List Paragraph"/>
    <w:basedOn w:val="Normal"/>
    <w:uiPriority w:val="34"/>
    <w:qFormat/>
    <w:rsid w:val="00995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Taylor</dc:creator>
  <cp:keywords/>
  <dc:description/>
  <cp:lastModifiedBy>Anthony Taylor</cp:lastModifiedBy>
  <cp:revision>7</cp:revision>
  <dcterms:created xsi:type="dcterms:W3CDTF">2016-04-25T12:58:00Z</dcterms:created>
  <dcterms:modified xsi:type="dcterms:W3CDTF">2019-11-24T10:49:00Z</dcterms:modified>
</cp:coreProperties>
</file>