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33EE1" w14:textId="77777777" w:rsidR="00361404" w:rsidRPr="00E163B8" w:rsidRDefault="00361404" w:rsidP="00361404">
      <w:pPr>
        <w:spacing w:line="480" w:lineRule="auto"/>
        <w:rPr>
          <w:sz w:val="32"/>
          <w:szCs w:val="32"/>
        </w:rPr>
      </w:pPr>
      <w:bookmarkStart w:id="0" w:name="_GoBack"/>
      <w:bookmarkEnd w:id="0"/>
      <w:r w:rsidRPr="00E163B8">
        <w:rPr>
          <w:b/>
          <w:i/>
          <w:sz w:val="32"/>
          <w:szCs w:val="32"/>
        </w:rPr>
        <w:t>Supplemental Materials</w:t>
      </w:r>
    </w:p>
    <w:p w14:paraId="0CD045BD" w14:textId="77777777" w:rsidR="004455F2" w:rsidRDefault="00652AE0" w:rsidP="00652AE0">
      <w:pPr>
        <w:rPr>
          <w:b/>
          <w:color w:val="000000"/>
          <w:sz w:val="24"/>
          <w:szCs w:val="24"/>
        </w:rPr>
      </w:pPr>
      <w:bookmarkStart w:id="1" w:name="_Hlk9417159"/>
      <w:r w:rsidRPr="00B02CDE">
        <w:rPr>
          <w:b/>
          <w:color w:val="000000"/>
          <w:sz w:val="24"/>
          <w:szCs w:val="24"/>
        </w:rPr>
        <w:t>ERα signaling increased IL-17A production in Th17 cells by upregulating IL-23R expression and promoting mitochondrial respiration and proliferation</w:t>
      </w:r>
      <w:bookmarkEnd w:id="1"/>
    </w:p>
    <w:p w14:paraId="2D100AD9" w14:textId="77777777" w:rsidR="00652AE0" w:rsidRPr="00B02CDE" w:rsidRDefault="00652AE0" w:rsidP="00652AE0">
      <w:pPr>
        <w:rPr>
          <w:sz w:val="24"/>
          <w:szCs w:val="24"/>
        </w:rPr>
      </w:pPr>
    </w:p>
    <w:p w14:paraId="5B7D0098" w14:textId="77777777" w:rsidR="004455F2" w:rsidRPr="00B02CDE" w:rsidRDefault="004455F2" w:rsidP="004455F2">
      <w:pPr>
        <w:spacing w:line="480" w:lineRule="auto"/>
        <w:rPr>
          <w:sz w:val="24"/>
          <w:szCs w:val="24"/>
          <w:vertAlign w:val="superscript"/>
        </w:rPr>
      </w:pPr>
      <w:bookmarkStart w:id="2" w:name="_Hlk9413663"/>
      <w:r w:rsidRPr="00B02CDE">
        <w:rPr>
          <w:sz w:val="24"/>
          <w:szCs w:val="24"/>
        </w:rPr>
        <w:t>Hubaida Fuseini</w:t>
      </w:r>
      <w:r w:rsidRPr="00B02CDE">
        <w:rPr>
          <w:sz w:val="24"/>
          <w:szCs w:val="24"/>
          <w:vertAlign w:val="superscript"/>
        </w:rPr>
        <w:t>1</w:t>
      </w:r>
      <w:r w:rsidRPr="00B02CDE">
        <w:rPr>
          <w:sz w:val="24"/>
          <w:szCs w:val="24"/>
        </w:rPr>
        <w:t>, Jacqueline-Yvonne Cephus</w:t>
      </w:r>
      <w:r w:rsidRPr="00B02CDE">
        <w:rPr>
          <w:sz w:val="24"/>
          <w:szCs w:val="24"/>
          <w:vertAlign w:val="superscript"/>
        </w:rPr>
        <w:t>2</w:t>
      </w:r>
      <w:r w:rsidRPr="00B02CDE">
        <w:rPr>
          <w:sz w:val="24"/>
          <w:szCs w:val="24"/>
        </w:rPr>
        <w:t>, Pingsheng Wu</w:t>
      </w:r>
      <w:r w:rsidRPr="00B02CDE">
        <w:rPr>
          <w:sz w:val="24"/>
          <w:szCs w:val="24"/>
          <w:vertAlign w:val="superscript"/>
        </w:rPr>
        <w:t>2</w:t>
      </w:r>
      <w:r w:rsidRPr="00B02CDE">
        <w:rPr>
          <w:sz w:val="24"/>
          <w:szCs w:val="24"/>
        </w:rPr>
        <w:t>, J. Brooke Davis</w:t>
      </w:r>
      <w:r w:rsidRPr="00B02CDE">
        <w:rPr>
          <w:sz w:val="24"/>
          <w:szCs w:val="24"/>
          <w:vertAlign w:val="superscript"/>
        </w:rPr>
        <w:t>2</w:t>
      </w:r>
      <w:r w:rsidRPr="00B02CDE">
        <w:rPr>
          <w:sz w:val="24"/>
          <w:szCs w:val="24"/>
        </w:rPr>
        <w:t>, Diana, C. Contreras</w:t>
      </w:r>
      <w:r w:rsidRPr="00B02CDE">
        <w:rPr>
          <w:sz w:val="24"/>
          <w:szCs w:val="24"/>
          <w:vertAlign w:val="superscript"/>
        </w:rPr>
        <w:t>1</w:t>
      </w:r>
      <w:r w:rsidRPr="00B02CDE">
        <w:rPr>
          <w:sz w:val="24"/>
          <w:szCs w:val="24"/>
        </w:rPr>
        <w:t>, Vivek D. Gandhi</w:t>
      </w:r>
      <w:r w:rsidRPr="00B02CDE">
        <w:rPr>
          <w:sz w:val="24"/>
          <w:szCs w:val="24"/>
          <w:vertAlign w:val="superscript"/>
        </w:rPr>
        <w:t>2</w:t>
      </w:r>
      <w:r w:rsidRPr="00B02CDE">
        <w:rPr>
          <w:sz w:val="24"/>
          <w:szCs w:val="24"/>
        </w:rPr>
        <w:t>, Jeffrey C. Rathmell</w:t>
      </w:r>
      <w:r w:rsidRPr="00B02CDE">
        <w:rPr>
          <w:sz w:val="24"/>
          <w:szCs w:val="24"/>
          <w:vertAlign w:val="superscript"/>
        </w:rPr>
        <w:t>1</w:t>
      </w:r>
      <w:r w:rsidRPr="00B02CDE">
        <w:rPr>
          <w:sz w:val="24"/>
          <w:szCs w:val="24"/>
        </w:rPr>
        <w:t>, Dawn C. Newcomb</w:t>
      </w:r>
      <w:r w:rsidRPr="00B02CDE">
        <w:rPr>
          <w:sz w:val="24"/>
          <w:szCs w:val="24"/>
          <w:vertAlign w:val="superscript"/>
        </w:rPr>
        <w:t>1,2*</w:t>
      </w:r>
    </w:p>
    <w:p w14:paraId="658CB849" w14:textId="77777777" w:rsidR="004455F2" w:rsidRPr="00B02CDE" w:rsidRDefault="004455F2" w:rsidP="004455F2">
      <w:pPr>
        <w:spacing w:line="480" w:lineRule="auto"/>
        <w:rPr>
          <w:sz w:val="24"/>
          <w:szCs w:val="24"/>
          <w:vertAlign w:val="superscript"/>
        </w:rPr>
      </w:pPr>
    </w:p>
    <w:bookmarkEnd w:id="2"/>
    <w:p w14:paraId="6286A607" w14:textId="77777777" w:rsidR="004455F2" w:rsidRPr="00B02CDE" w:rsidRDefault="004455F2" w:rsidP="004455F2">
      <w:pPr>
        <w:pStyle w:val="ListParagraph"/>
        <w:widowControl/>
        <w:autoSpaceDE/>
        <w:autoSpaceDN/>
        <w:spacing w:before="0" w:after="80" w:line="480" w:lineRule="auto"/>
        <w:contextualSpacing/>
        <w:rPr>
          <w:sz w:val="24"/>
          <w:szCs w:val="24"/>
        </w:rPr>
      </w:pPr>
      <w:r w:rsidRPr="00B02CDE">
        <w:rPr>
          <w:sz w:val="24"/>
          <w:szCs w:val="24"/>
          <w:vertAlign w:val="superscript"/>
        </w:rPr>
        <w:t>1</w:t>
      </w:r>
      <w:r w:rsidRPr="00B02CDE">
        <w:rPr>
          <w:sz w:val="24"/>
          <w:szCs w:val="24"/>
        </w:rPr>
        <w:t>Department Pathology, Microbiology and Immunology, Vanderbilt University, Medical Center North, 1161 21</w:t>
      </w:r>
      <w:r w:rsidRPr="00B02CDE">
        <w:rPr>
          <w:sz w:val="24"/>
          <w:szCs w:val="24"/>
          <w:vertAlign w:val="superscript"/>
        </w:rPr>
        <w:t>st</w:t>
      </w:r>
      <w:r w:rsidRPr="00B02CDE">
        <w:rPr>
          <w:sz w:val="24"/>
          <w:szCs w:val="24"/>
        </w:rPr>
        <w:t xml:space="preserve"> Avenue MCN B-1222, Nashville, TN 37232</w:t>
      </w:r>
    </w:p>
    <w:p w14:paraId="629C4EC1" w14:textId="77777777" w:rsidR="004455F2" w:rsidRPr="00B02CDE" w:rsidRDefault="004455F2" w:rsidP="004455F2">
      <w:pPr>
        <w:pStyle w:val="ListParagraph"/>
        <w:widowControl/>
        <w:autoSpaceDE/>
        <w:autoSpaceDN/>
        <w:spacing w:before="0" w:after="80" w:line="480" w:lineRule="auto"/>
        <w:contextualSpacing/>
        <w:rPr>
          <w:sz w:val="24"/>
          <w:szCs w:val="24"/>
        </w:rPr>
      </w:pPr>
      <w:r w:rsidRPr="00B02CDE">
        <w:rPr>
          <w:sz w:val="24"/>
          <w:szCs w:val="24"/>
          <w:vertAlign w:val="superscript"/>
        </w:rPr>
        <w:t>2</w:t>
      </w:r>
      <w:r w:rsidRPr="00B02CDE">
        <w:rPr>
          <w:sz w:val="24"/>
          <w:szCs w:val="24"/>
        </w:rPr>
        <w:t>Department of Medicine, Vanderbilt University Medical Center, Medical Center North, 1161 21</w:t>
      </w:r>
      <w:r w:rsidRPr="00B02CDE">
        <w:rPr>
          <w:sz w:val="24"/>
          <w:szCs w:val="24"/>
          <w:vertAlign w:val="superscript"/>
        </w:rPr>
        <w:t>st</w:t>
      </w:r>
      <w:r w:rsidRPr="00B02CDE">
        <w:rPr>
          <w:sz w:val="24"/>
          <w:szCs w:val="24"/>
        </w:rPr>
        <w:t xml:space="preserve"> Avenue B-1222, Nashville TN, 37232</w:t>
      </w:r>
    </w:p>
    <w:p w14:paraId="218637C1" w14:textId="77777777" w:rsidR="001605FB" w:rsidRPr="00563C00" w:rsidRDefault="001605FB" w:rsidP="001605FB">
      <w:pPr>
        <w:pStyle w:val="ListParagraph"/>
        <w:widowControl/>
        <w:autoSpaceDE/>
        <w:autoSpaceDN/>
        <w:spacing w:after="80" w:line="480" w:lineRule="auto"/>
        <w:contextualSpacing/>
        <w:rPr>
          <w:sz w:val="24"/>
          <w:szCs w:val="24"/>
        </w:rPr>
      </w:pPr>
    </w:p>
    <w:p w14:paraId="3515A155" w14:textId="77777777" w:rsidR="001605FB" w:rsidRPr="007F7101" w:rsidRDefault="001605FB" w:rsidP="001605FB">
      <w:pPr>
        <w:spacing w:line="480" w:lineRule="auto"/>
        <w:rPr>
          <w:b/>
          <w:sz w:val="24"/>
          <w:szCs w:val="24"/>
        </w:rPr>
      </w:pPr>
      <w:r w:rsidRPr="007F7101">
        <w:rPr>
          <w:b/>
          <w:sz w:val="24"/>
          <w:szCs w:val="24"/>
        </w:rPr>
        <w:t xml:space="preserve">*Correspondence: </w:t>
      </w:r>
    </w:p>
    <w:p w14:paraId="19DB18E4" w14:textId="77777777" w:rsidR="001605FB" w:rsidRPr="00563C00" w:rsidRDefault="001605FB" w:rsidP="001605FB">
      <w:pPr>
        <w:spacing w:line="480" w:lineRule="auto"/>
        <w:rPr>
          <w:sz w:val="24"/>
          <w:szCs w:val="24"/>
        </w:rPr>
      </w:pPr>
      <w:r w:rsidRPr="00563C00">
        <w:rPr>
          <w:sz w:val="24"/>
          <w:szCs w:val="24"/>
        </w:rPr>
        <w:t>Dr. Dawn C. Newcomb</w:t>
      </w:r>
    </w:p>
    <w:p w14:paraId="0556A299" w14:textId="77777777" w:rsidR="001605FB" w:rsidRPr="00563C00" w:rsidRDefault="001605FB" w:rsidP="001605FB">
      <w:pPr>
        <w:spacing w:line="480" w:lineRule="auto"/>
        <w:rPr>
          <w:sz w:val="24"/>
          <w:szCs w:val="24"/>
        </w:rPr>
      </w:pPr>
      <w:r w:rsidRPr="00563C00">
        <w:rPr>
          <w:sz w:val="24"/>
          <w:szCs w:val="24"/>
        </w:rPr>
        <w:t>dawn.newcomb@</w:t>
      </w:r>
      <w:r w:rsidR="004455F2">
        <w:rPr>
          <w:sz w:val="24"/>
          <w:szCs w:val="24"/>
        </w:rPr>
        <w:t>vumc.org</w:t>
      </w:r>
    </w:p>
    <w:p w14:paraId="67A86ACC" w14:textId="77777777" w:rsidR="001605FB" w:rsidRDefault="001605FB" w:rsidP="001605FB">
      <w:pPr>
        <w:spacing w:line="480" w:lineRule="auto"/>
        <w:rPr>
          <w:sz w:val="24"/>
          <w:szCs w:val="24"/>
        </w:rPr>
      </w:pPr>
    </w:p>
    <w:p w14:paraId="4315FC2F" w14:textId="77777777" w:rsidR="001605FB" w:rsidRPr="00563C00" w:rsidRDefault="001605FB" w:rsidP="001605FB">
      <w:pPr>
        <w:spacing w:line="480" w:lineRule="auto"/>
        <w:rPr>
          <w:sz w:val="24"/>
          <w:szCs w:val="24"/>
        </w:rPr>
      </w:pPr>
      <w:r w:rsidRPr="00563C00">
        <w:rPr>
          <w:sz w:val="24"/>
          <w:szCs w:val="24"/>
        </w:rPr>
        <w:t>Keywords: Th17,</w:t>
      </w:r>
      <w:r>
        <w:rPr>
          <w:sz w:val="24"/>
          <w:szCs w:val="24"/>
        </w:rPr>
        <w:t xml:space="preserve"> </w:t>
      </w:r>
      <w:r w:rsidRPr="00563C00">
        <w:rPr>
          <w:sz w:val="24"/>
          <w:szCs w:val="24"/>
        </w:rPr>
        <w:t>estrogen, estrogen receptor alpha,</w:t>
      </w:r>
      <w:r>
        <w:rPr>
          <w:sz w:val="24"/>
          <w:szCs w:val="24"/>
        </w:rPr>
        <w:t xml:space="preserve"> </w:t>
      </w:r>
      <w:r w:rsidRPr="00563C00">
        <w:rPr>
          <w:sz w:val="24"/>
          <w:szCs w:val="24"/>
        </w:rPr>
        <w:t>IL-23R, IL-17A, oxygen consumption rate, COX20, cytochrome c oxidase</w:t>
      </w:r>
    </w:p>
    <w:p w14:paraId="3D787C61" w14:textId="77777777" w:rsidR="001605FB" w:rsidRDefault="001605FB">
      <w:pPr>
        <w:rPr>
          <w:b/>
          <w:sz w:val="24"/>
          <w:szCs w:val="24"/>
        </w:rPr>
      </w:pPr>
    </w:p>
    <w:p w14:paraId="52485EE4" w14:textId="77777777" w:rsidR="00CE1E8D" w:rsidRDefault="00CE1E8D">
      <w:pPr>
        <w:rPr>
          <w:b/>
          <w:sz w:val="24"/>
          <w:szCs w:val="24"/>
        </w:rPr>
      </w:pPr>
    </w:p>
    <w:p w14:paraId="3D6D3FDF" w14:textId="77777777" w:rsidR="00CE1E8D" w:rsidRDefault="00CE1E8D">
      <w:pPr>
        <w:rPr>
          <w:b/>
          <w:sz w:val="24"/>
          <w:szCs w:val="24"/>
        </w:rPr>
      </w:pPr>
    </w:p>
    <w:p w14:paraId="23382F32" w14:textId="77777777" w:rsidR="00CE1E8D" w:rsidRDefault="00CE1E8D">
      <w:pPr>
        <w:rPr>
          <w:b/>
          <w:sz w:val="24"/>
          <w:szCs w:val="24"/>
        </w:rPr>
      </w:pPr>
    </w:p>
    <w:p w14:paraId="3D775B32" w14:textId="77777777" w:rsidR="00CE1E8D" w:rsidRDefault="00CE1E8D">
      <w:pPr>
        <w:rPr>
          <w:b/>
          <w:sz w:val="24"/>
          <w:szCs w:val="24"/>
        </w:rPr>
      </w:pPr>
    </w:p>
    <w:p w14:paraId="26F25253" w14:textId="77777777" w:rsidR="001605FB" w:rsidRDefault="001605FB">
      <w:pPr>
        <w:rPr>
          <w:b/>
          <w:sz w:val="24"/>
          <w:szCs w:val="24"/>
        </w:rPr>
      </w:pPr>
    </w:p>
    <w:p w14:paraId="394D06BB" w14:textId="77777777" w:rsidR="001605FB" w:rsidRDefault="001605FB">
      <w:pPr>
        <w:rPr>
          <w:b/>
          <w:sz w:val="24"/>
          <w:szCs w:val="24"/>
        </w:rPr>
      </w:pPr>
    </w:p>
    <w:p w14:paraId="5B07FFD6" w14:textId="77777777" w:rsidR="001605FB" w:rsidRDefault="001605FB">
      <w:pPr>
        <w:rPr>
          <w:b/>
          <w:sz w:val="24"/>
          <w:szCs w:val="24"/>
        </w:rPr>
      </w:pPr>
    </w:p>
    <w:p w14:paraId="5CEE8EA8" w14:textId="77777777" w:rsidR="001605FB" w:rsidRDefault="001605FB">
      <w:pPr>
        <w:rPr>
          <w:b/>
          <w:sz w:val="24"/>
          <w:szCs w:val="24"/>
        </w:rPr>
      </w:pPr>
    </w:p>
    <w:p w14:paraId="46E39BAC" w14:textId="77777777" w:rsidR="001605FB" w:rsidRDefault="001605FB">
      <w:pPr>
        <w:rPr>
          <w:b/>
          <w:sz w:val="24"/>
          <w:szCs w:val="24"/>
        </w:rPr>
      </w:pPr>
    </w:p>
    <w:p w14:paraId="24D7EAC1" w14:textId="77777777" w:rsidR="004455F2" w:rsidRDefault="004455F2">
      <w:pPr>
        <w:widowControl/>
        <w:autoSpaceDE/>
        <w:autoSpaceDN/>
        <w:spacing w:after="8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55BCB7" w14:textId="77777777" w:rsidR="00563718" w:rsidRPr="006D2D66" w:rsidRDefault="003A6159">
      <w:pPr>
        <w:rPr>
          <w:b/>
          <w:sz w:val="24"/>
          <w:szCs w:val="24"/>
        </w:rPr>
      </w:pPr>
      <w:r w:rsidRPr="006D2D66">
        <w:rPr>
          <w:b/>
          <w:sz w:val="24"/>
          <w:szCs w:val="24"/>
        </w:rPr>
        <w:lastRenderedPageBreak/>
        <w:t xml:space="preserve">1 </w:t>
      </w:r>
      <w:proofErr w:type="gramStart"/>
      <w:r w:rsidR="00563718" w:rsidRPr="006D2D66">
        <w:rPr>
          <w:b/>
          <w:sz w:val="24"/>
          <w:szCs w:val="24"/>
        </w:rPr>
        <w:t>Supplemental  Methods</w:t>
      </w:r>
      <w:proofErr w:type="gramEnd"/>
    </w:p>
    <w:p w14:paraId="163580B7" w14:textId="77777777" w:rsidR="00563718" w:rsidRPr="006D2D66" w:rsidRDefault="00563718">
      <w:pPr>
        <w:rPr>
          <w:b/>
          <w:sz w:val="24"/>
          <w:szCs w:val="24"/>
        </w:rPr>
      </w:pPr>
    </w:p>
    <w:p w14:paraId="1D97A3DB" w14:textId="77777777" w:rsidR="00E23134" w:rsidRPr="00B02CDE" w:rsidRDefault="00E23134" w:rsidP="00E23134">
      <w:pPr>
        <w:pStyle w:val="BodyText"/>
        <w:spacing w:before="4" w:line="480" w:lineRule="auto"/>
        <w:rPr>
          <w:b/>
        </w:rPr>
      </w:pPr>
      <w:r w:rsidRPr="00B02CDE">
        <w:rPr>
          <w:b/>
        </w:rPr>
        <w:t>Flow Cytometric Analysis of IL-17A Production in Th17 cells</w:t>
      </w:r>
    </w:p>
    <w:p w14:paraId="5D75C4F3" w14:textId="72C28620" w:rsidR="00E23134" w:rsidRPr="00B02CDE" w:rsidRDefault="00E23134" w:rsidP="00E23134">
      <w:pPr>
        <w:pStyle w:val="BodyText"/>
        <w:spacing w:before="4" w:line="480" w:lineRule="auto"/>
      </w:pPr>
      <w:r w:rsidRPr="00B02CDE">
        <w:t xml:space="preserve">Three days after Th17 cells differentiation, cells were </w:t>
      </w:r>
      <w:r w:rsidR="00716AAD">
        <w:t>harvested and</w:t>
      </w:r>
      <w:r w:rsidRPr="00B02CDE">
        <w:t xml:space="preserve"> stained with viability dye (Ghost Dye UV 450; </w:t>
      </w:r>
      <w:proofErr w:type="spellStart"/>
      <w:r w:rsidRPr="00B02CDE">
        <w:t>Tonbo</w:t>
      </w:r>
      <w:proofErr w:type="spellEnd"/>
      <w:r w:rsidRPr="00B02CDE">
        <w:t xml:space="preserve"> Biosciences), blocked with an anti-</w:t>
      </w:r>
      <w:proofErr w:type="spellStart"/>
      <w:r w:rsidRPr="00B02CDE">
        <w:t>FcR</w:t>
      </w:r>
      <w:proofErr w:type="spellEnd"/>
      <w:r w:rsidRPr="00B02CDE">
        <w:t xml:space="preserve"> Ab (clone 2.4G2), and surface stained with FITC anti-CD4</w:t>
      </w:r>
      <w:r>
        <w:t xml:space="preserve"> and APC anti-IL-23R. </w:t>
      </w:r>
      <w:r w:rsidRPr="00B02CDE">
        <w:t>Cells were then fixed, permeabilized using the Foxp3/transcription factor staining kit (</w:t>
      </w:r>
      <w:proofErr w:type="spellStart"/>
      <w:r w:rsidRPr="00B02CDE">
        <w:t>Tonbo</w:t>
      </w:r>
      <w:proofErr w:type="spellEnd"/>
      <w:r w:rsidRPr="00B02CDE">
        <w:t xml:space="preserve"> Biosciences), and intracellularly stained PE-Cy7 anti–</w:t>
      </w:r>
      <w:r>
        <w:t>Foxp3, PE anti-ROR</w:t>
      </w:r>
      <w:r w:rsidR="00FE1AA6">
        <w:sym w:font="Symbol" w:char="F067"/>
      </w:r>
      <w:r>
        <w:t xml:space="preserve">T, </w:t>
      </w:r>
      <w:r w:rsidR="008457E7">
        <w:t>BV</w:t>
      </w:r>
      <w:r w:rsidR="00FE1AA6">
        <w:t>421 anti-T-bet, and PE-CF594 anti-GATA3 antibodies</w:t>
      </w:r>
      <w:r w:rsidRPr="00B02CDE">
        <w:t xml:space="preserve">. Flow cytometry analysis was conducted on LSR II flow cytometer, and all data were processed using </w:t>
      </w:r>
      <w:proofErr w:type="spellStart"/>
      <w:r w:rsidRPr="00B02CDE">
        <w:t>FlowJo</w:t>
      </w:r>
      <w:proofErr w:type="spellEnd"/>
      <w:r w:rsidRPr="00B02CDE">
        <w:t xml:space="preserve"> software version 10. </w:t>
      </w:r>
    </w:p>
    <w:p w14:paraId="0A11878E" w14:textId="77777777" w:rsidR="00452C08" w:rsidRDefault="00452C08" w:rsidP="00563718">
      <w:pPr>
        <w:pStyle w:val="BodyText"/>
        <w:spacing w:before="4" w:line="480" w:lineRule="auto"/>
        <w:rPr>
          <w:b/>
        </w:rPr>
      </w:pPr>
    </w:p>
    <w:p w14:paraId="144537E8" w14:textId="77777777" w:rsidR="006B7E12" w:rsidRPr="006D2D66" w:rsidRDefault="006B7E12" w:rsidP="00563718">
      <w:pPr>
        <w:pStyle w:val="BodyText"/>
        <w:spacing w:before="4" w:line="480" w:lineRule="auto"/>
        <w:rPr>
          <w:b/>
        </w:rPr>
      </w:pPr>
      <w:r w:rsidRPr="006D2D66">
        <w:rPr>
          <w:b/>
        </w:rPr>
        <w:t>Recruitment of participants</w:t>
      </w:r>
    </w:p>
    <w:p w14:paraId="3E7E8DF5" w14:textId="1C6DAE33" w:rsidR="006B7E12" w:rsidRPr="006D2D66" w:rsidRDefault="00220576" w:rsidP="00F06FF8">
      <w:pPr>
        <w:pStyle w:val="BodyText"/>
        <w:spacing w:before="4" w:line="480" w:lineRule="auto"/>
        <w:ind w:firstLine="720"/>
      </w:pPr>
      <w:r w:rsidRPr="006D2D66">
        <w:t xml:space="preserve">Healthy participants (aged 18-45 years) were recruited at Vanderbilt University Medical Center. Participants were excluded for viral and bacterial symptoms in the previous week or any Th17-associated disease, including multiple sclerosis, psoriasis, </w:t>
      </w:r>
      <w:r w:rsidR="004455F2">
        <w:t>systemic lupus erythematosus</w:t>
      </w:r>
      <w:r w:rsidRPr="006D2D66">
        <w:t xml:space="preserve"> or rheumatoid arthritis. Women were excluded if pregnant, breast-feeding</w:t>
      </w:r>
      <w:r w:rsidR="004455F2">
        <w:t>,</w:t>
      </w:r>
      <w:r w:rsidRPr="006D2D66">
        <w:t xml:space="preserve"> taking hormonal birth control medications</w:t>
      </w:r>
      <w:r w:rsidR="004455F2">
        <w:t>,</w:t>
      </w:r>
      <w:r w:rsidRPr="006D2D66">
        <w:t xml:space="preserve"> </w:t>
      </w:r>
      <w:r w:rsidR="004455F2">
        <w:t>on</w:t>
      </w:r>
      <w:r w:rsidRPr="006D2D66">
        <w:t xml:space="preserve"> estrogen replacement therapy, menopausal or if they had undergone an oophorectomy or hysterectomy. All participants were consented in accordance with Vanderbilt University Institutional Review Board Policies.</w:t>
      </w:r>
    </w:p>
    <w:p w14:paraId="1818BF35" w14:textId="77777777" w:rsidR="006B7E12" w:rsidRPr="006D2D66" w:rsidRDefault="006B7E12" w:rsidP="00563718">
      <w:pPr>
        <w:pStyle w:val="BodyText"/>
        <w:spacing w:before="4" w:line="480" w:lineRule="auto"/>
        <w:rPr>
          <w:b/>
        </w:rPr>
      </w:pPr>
    </w:p>
    <w:p w14:paraId="086C0782" w14:textId="77777777" w:rsidR="00563718" w:rsidRPr="006D2D66" w:rsidRDefault="004455F2" w:rsidP="00563718">
      <w:pPr>
        <w:pStyle w:val="BodyText"/>
        <w:spacing w:before="4" w:line="480" w:lineRule="auto"/>
        <w:rPr>
          <w:b/>
        </w:rPr>
      </w:pPr>
      <w:r>
        <w:rPr>
          <w:b/>
        </w:rPr>
        <w:t xml:space="preserve">Human </w:t>
      </w:r>
      <w:r w:rsidR="007C264F" w:rsidRPr="006D2D66">
        <w:rPr>
          <w:b/>
        </w:rPr>
        <w:t xml:space="preserve">Th17 cell differentiation </w:t>
      </w:r>
      <w:r>
        <w:rPr>
          <w:b/>
        </w:rPr>
        <w:t>and RNA isolation</w:t>
      </w:r>
    </w:p>
    <w:p w14:paraId="3368C2FF" w14:textId="0DDB8B06" w:rsidR="0024266B" w:rsidRPr="00716AAD" w:rsidRDefault="007C264F" w:rsidP="006D2D66">
      <w:pPr>
        <w:pStyle w:val="BodyText"/>
        <w:spacing w:before="4" w:line="480" w:lineRule="auto"/>
        <w:ind w:firstLine="720"/>
        <w:rPr>
          <w:b/>
        </w:rPr>
      </w:pPr>
      <w:r w:rsidRPr="006D2D66">
        <w:t xml:space="preserve">Human PBMCs were isolated from peripheral blood using </w:t>
      </w:r>
      <w:proofErr w:type="spellStart"/>
      <w:r w:rsidRPr="006D2D66">
        <w:t>Ficoll</w:t>
      </w:r>
      <w:proofErr w:type="spellEnd"/>
      <w:r w:rsidRPr="006D2D66">
        <w:t>-Plaque Plus. Naïve CD4+ CD62L+ T cells were isolated from PBMCs by using a commercially available naïve T cell isolation kit (</w:t>
      </w:r>
      <w:proofErr w:type="spellStart"/>
      <w:r w:rsidRPr="006D2D66">
        <w:t>Miltenyi</w:t>
      </w:r>
      <w:proofErr w:type="spellEnd"/>
      <w:r w:rsidRPr="006D2D66">
        <w:t xml:space="preserve">). Naïve T cells were activated using an activation/expansion kit </w:t>
      </w:r>
      <w:r w:rsidRPr="006D2D66">
        <w:lastRenderedPageBreak/>
        <w:t>(</w:t>
      </w:r>
      <w:proofErr w:type="spellStart"/>
      <w:r w:rsidRPr="006D2D66">
        <w:t>Miltenyi</w:t>
      </w:r>
      <w:proofErr w:type="spellEnd"/>
      <w:r w:rsidRPr="006D2D66">
        <w:t>) with anti-CD3 and anti-CD28 bound to bead particles at a ratio of 1 bead particle per 2 cells. CD4+ T cells were cultured and differentiated into Th17 cells with hIL-2 (10 ng/ml), rhIL-1β</w:t>
      </w:r>
      <w:r w:rsidR="004455F2">
        <w:t xml:space="preserve"> </w:t>
      </w:r>
      <w:r w:rsidRPr="006D2D66">
        <w:t xml:space="preserve">(10 ng/ml), </w:t>
      </w:r>
      <w:proofErr w:type="spellStart"/>
      <w:r w:rsidRPr="006D2D66">
        <w:t>rhTGF</w:t>
      </w:r>
      <w:proofErr w:type="spellEnd"/>
      <w:r w:rsidRPr="006D2D66">
        <w:t>-β</w:t>
      </w:r>
      <w:r w:rsidR="004455F2">
        <w:t xml:space="preserve"> </w:t>
      </w:r>
      <w:r w:rsidRPr="006D2D66">
        <w:t>(1 ng/ml)</w:t>
      </w:r>
      <w:r w:rsidR="008457E7">
        <w:t>,</w:t>
      </w:r>
      <w:r w:rsidRPr="006D2D66">
        <w:t xml:space="preserve"> rhIL-6 (10 ng/mL), rhIL-23 (10 ng/ml), anti-</w:t>
      </w:r>
      <w:proofErr w:type="spellStart"/>
      <w:r w:rsidRPr="006D2D66">
        <w:t>IFNγ</w:t>
      </w:r>
      <w:proofErr w:type="spellEnd"/>
      <w:r w:rsidR="008457E7">
        <w:t xml:space="preserve"> </w:t>
      </w:r>
      <w:r w:rsidRPr="006D2D66">
        <w:t xml:space="preserve">(10 </w:t>
      </w:r>
      <w:proofErr w:type="spellStart"/>
      <w:r w:rsidRPr="006D2D66">
        <w:t>μg</w:t>
      </w:r>
      <w:proofErr w:type="spellEnd"/>
      <w:r w:rsidRPr="006D2D66">
        <w:t xml:space="preserve">/ml) and anti-IL-4 (10 </w:t>
      </w:r>
      <w:proofErr w:type="spellStart"/>
      <w:r w:rsidRPr="006D2D66">
        <w:t>μg</w:t>
      </w:r>
      <w:proofErr w:type="spellEnd"/>
      <w:r w:rsidRPr="006D2D66">
        <w:t xml:space="preserve">/ml) in complete RMPI 1640 T cell media containing 10% FBS, 1% penicillin/streptomycin, 2 mmol/L- L-glutamine, 10 </w:t>
      </w:r>
      <w:r w:rsidR="00E04BE4" w:rsidRPr="006D2D66">
        <w:t>mM</w:t>
      </w:r>
      <w:r w:rsidRPr="006D2D66">
        <w:t xml:space="preserve"> HEPES, 0.1 </w:t>
      </w:r>
      <w:r w:rsidR="00E04BE4" w:rsidRPr="006D2D66">
        <w:t>mM</w:t>
      </w:r>
      <w:r w:rsidRPr="006D2D66">
        <w:t xml:space="preserve"> nonessential amino acids and 1 </w:t>
      </w:r>
      <w:r w:rsidR="00E04BE4" w:rsidRPr="006D2D66">
        <w:t>mM</w:t>
      </w:r>
      <w:r w:rsidRPr="006D2D66">
        <w:t xml:space="preserve"> sodium pyruvate. All antibodies and rhIL-1β, rhIL-6, and rhIL-23 were </w:t>
      </w:r>
      <w:r w:rsidRPr="00716AAD">
        <w:t xml:space="preserve">purchased from R &amp; D systems. rhIL-2 and </w:t>
      </w:r>
      <w:proofErr w:type="spellStart"/>
      <w:r w:rsidRPr="00716AAD">
        <w:t>rhTGF</w:t>
      </w:r>
      <w:proofErr w:type="spellEnd"/>
      <w:r w:rsidRPr="00716AAD">
        <w:t xml:space="preserve">-β were purchased from </w:t>
      </w:r>
      <w:proofErr w:type="spellStart"/>
      <w:r w:rsidRPr="00716AAD">
        <w:t>Peptrotech</w:t>
      </w:r>
      <w:proofErr w:type="spellEnd"/>
      <w:r w:rsidRPr="00716AAD">
        <w:t xml:space="preserve"> (Rocky Hill, NJ)</w:t>
      </w:r>
      <w:r w:rsidR="006D2D66" w:rsidRPr="00716AAD">
        <w:t>.</w:t>
      </w:r>
    </w:p>
    <w:p w14:paraId="550D7006" w14:textId="77777777" w:rsidR="00E316D0" w:rsidRPr="00716AAD" w:rsidRDefault="0024266B" w:rsidP="0024266B">
      <w:pPr>
        <w:pStyle w:val="BodyText"/>
        <w:spacing w:before="4" w:line="480" w:lineRule="auto"/>
        <w:ind w:firstLine="720"/>
        <w:rPr>
          <w:color w:val="000000"/>
          <w:shd w:val="clear" w:color="auto" w:fill="FFFFFF"/>
        </w:rPr>
      </w:pPr>
      <w:r w:rsidRPr="00716AAD">
        <w:t xml:space="preserve">Total RNA was isolated using </w:t>
      </w:r>
      <w:proofErr w:type="spellStart"/>
      <w:r w:rsidR="004455F2" w:rsidRPr="00716AAD">
        <w:t>Trizol</w:t>
      </w:r>
      <w:proofErr w:type="spellEnd"/>
      <w:r w:rsidR="004455F2" w:rsidRPr="00716AAD">
        <w:t xml:space="preserve"> and RNA sequencing was conducted at Vanderbilt Technologies for Advanced Genomics Core. </w:t>
      </w:r>
      <w:r w:rsidR="004455F2" w:rsidRPr="00716AAD">
        <w:rPr>
          <w:color w:val="000000"/>
          <w:shd w:val="clear" w:color="auto" w:fill="FFFFFF"/>
        </w:rPr>
        <w:t xml:space="preserve">RNA sequencing (RNA-seq) libraries were prepared using 50 ng of total RNA and Illumina </w:t>
      </w:r>
      <w:proofErr w:type="spellStart"/>
      <w:r w:rsidR="004455F2" w:rsidRPr="00716AAD">
        <w:rPr>
          <w:color w:val="000000"/>
          <w:shd w:val="clear" w:color="auto" w:fill="FFFFFF"/>
        </w:rPr>
        <w:t>TruSeq</w:t>
      </w:r>
      <w:proofErr w:type="spellEnd"/>
      <w:r w:rsidR="004455F2" w:rsidRPr="00716AAD">
        <w:rPr>
          <w:color w:val="000000"/>
          <w:shd w:val="clear" w:color="auto" w:fill="FFFFFF"/>
        </w:rPr>
        <w:t xml:space="preserve"> Stranded mRNA Kit</w:t>
      </w:r>
      <w:r w:rsidR="00E316D0" w:rsidRPr="00716AAD">
        <w:rPr>
          <w:color w:val="000000"/>
          <w:shd w:val="clear" w:color="auto" w:fill="FFFFFF"/>
        </w:rPr>
        <w:t xml:space="preserve"> (</w:t>
      </w:r>
      <w:r w:rsidR="004455F2" w:rsidRPr="00716AAD">
        <w:rPr>
          <w:color w:val="000000"/>
          <w:shd w:val="clear" w:color="auto" w:fill="FFFFFF"/>
        </w:rPr>
        <w:t xml:space="preserve">Illumina) per manufacturer’s instructions, with mRNA enriched via poly(A) selection using </w:t>
      </w:r>
      <w:proofErr w:type="gramStart"/>
      <w:r w:rsidR="004455F2" w:rsidRPr="00716AAD">
        <w:rPr>
          <w:color w:val="000000"/>
          <w:shd w:val="clear" w:color="auto" w:fill="FFFFFF"/>
        </w:rPr>
        <w:t>oligo(</w:t>
      </w:r>
      <w:proofErr w:type="gramEnd"/>
      <w:r w:rsidR="004455F2" w:rsidRPr="00716AAD">
        <w:rPr>
          <w:color w:val="000000"/>
          <w:shd w:val="clear" w:color="auto" w:fill="FFFFFF"/>
        </w:rPr>
        <w:t xml:space="preserve">DT) beads. RNA was then converted to cDNA, adenylated for adapter ligation, and PCR amplified. The libraries were sequenced using the </w:t>
      </w:r>
      <w:proofErr w:type="spellStart"/>
      <w:r w:rsidR="004455F2" w:rsidRPr="00716AAD">
        <w:rPr>
          <w:color w:val="000000"/>
          <w:shd w:val="clear" w:color="auto" w:fill="FFFFFF"/>
        </w:rPr>
        <w:t>HiSeq</w:t>
      </w:r>
      <w:proofErr w:type="spellEnd"/>
      <w:r w:rsidR="004455F2" w:rsidRPr="00716AAD">
        <w:rPr>
          <w:color w:val="000000"/>
          <w:shd w:val="clear" w:color="auto" w:fill="FFFFFF"/>
        </w:rPr>
        <w:t xml:space="preserve"> </w:t>
      </w:r>
      <w:r w:rsidR="00E316D0" w:rsidRPr="00716AAD">
        <w:rPr>
          <w:color w:val="000000"/>
          <w:shd w:val="clear" w:color="auto" w:fill="FFFFFF"/>
        </w:rPr>
        <w:t>25</w:t>
      </w:r>
      <w:r w:rsidR="004455F2" w:rsidRPr="00716AAD">
        <w:rPr>
          <w:color w:val="000000"/>
          <w:shd w:val="clear" w:color="auto" w:fill="FFFFFF"/>
        </w:rPr>
        <w:t xml:space="preserve">00 with 75 bp end reads with a depth of </w:t>
      </w:r>
      <w:r w:rsidR="004455F2" w:rsidRPr="00716AAD">
        <w:rPr>
          <w:rFonts w:ascii="Cambria Math" w:hAnsi="Cambria Math" w:cs="Cambria Math"/>
          <w:color w:val="000000"/>
          <w:shd w:val="clear" w:color="auto" w:fill="FFFFFF"/>
        </w:rPr>
        <w:t>∼</w:t>
      </w:r>
      <w:r w:rsidR="004455F2" w:rsidRPr="00716AAD">
        <w:rPr>
          <w:color w:val="000000"/>
          <w:shd w:val="clear" w:color="auto" w:fill="FFFFFF"/>
        </w:rPr>
        <w:t xml:space="preserve">30 million reads per sample. Real-Time Analysis (version 2.7.6; Illumina) was used for base calling, and analysis was completed using </w:t>
      </w:r>
      <w:proofErr w:type="spellStart"/>
      <w:r w:rsidR="004455F2" w:rsidRPr="00716AAD">
        <w:rPr>
          <w:color w:val="000000"/>
          <w:shd w:val="clear" w:color="auto" w:fill="FFFFFF"/>
        </w:rPr>
        <w:t>MultiQC</w:t>
      </w:r>
      <w:proofErr w:type="spellEnd"/>
      <w:r w:rsidR="004455F2" w:rsidRPr="00716AAD">
        <w:rPr>
          <w:color w:val="000000"/>
          <w:shd w:val="clear" w:color="auto" w:fill="FFFFFF"/>
        </w:rPr>
        <w:t xml:space="preserve"> v1.2. On paired FASTQ files, transcript abundance was estimated, and these read counts were imported into </w:t>
      </w:r>
      <w:proofErr w:type="spellStart"/>
      <w:r w:rsidR="004455F2" w:rsidRPr="00716AAD">
        <w:rPr>
          <w:color w:val="000000"/>
          <w:shd w:val="clear" w:color="auto" w:fill="FFFFFF"/>
        </w:rPr>
        <w:t>edgeR</w:t>
      </w:r>
      <w:proofErr w:type="spellEnd"/>
      <w:r w:rsidR="004455F2" w:rsidRPr="00716AAD">
        <w:rPr>
          <w:color w:val="000000"/>
          <w:shd w:val="clear" w:color="auto" w:fill="FFFFFF"/>
        </w:rPr>
        <w:t xml:space="preserve"> for differential expression analysis</w:t>
      </w:r>
      <w:r w:rsidR="00E316D0" w:rsidRPr="00716AAD">
        <w:rPr>
          <w:color w:val="000000"/>
          <w:shd w:val="clear" w:color="auto" w:fill="FFFFFF"/>
        </w:rPr>
        <w:t xml:space="preserve"> and normalized based on</w:t>
      </w:r>
      <w:r w:rsidR="004455F2" w:rsidRPr="00716AAD">
        <w:rPr>
          <w:color w:val="000000"/>
          <w:shd w:val="clear" w:color="auto" w:fill="FFFFFF"/>
        </w:rPr>
        <w:t xml:space="preserve"> negative binomial distribution. The differential expression of genes between </w:t>
      </w:r>
      <w:r w:rsidR="00E316D0" w:rsidRPr="00716AAD">
        <w:rPr>
          <w:rStyle w:val="Emphasis"/>
          <w:i w:val="0"/>
          <w:color w:val="000000"/>
          <w:bdr w:val="none" w:sz="0" w:space="0" w:color="auto" w:frame="1"/>
          <w:shd w:val="clear" w:color="auto" w:fill="FFFFFF"/>
        </w:rPr>
        <w:t>Th17 cells from women and men</w:t>
      </w:r>
      <w:r w:rsidR="004455F2" w:rsidRPr="00716AAD">
        <w:rPr>
          <w:color w:val="000000"/>
          <w:shd w:val="clear" w:color="auto" w:fill="FFFFFF"/>
        </w:rPr>
        <w:t xml:space="preserve"> samples was assessed by estimating an exact test </w:t>
      </w:r>
      <w:r w:rsidR="004455F2" w:rsidRPr="00716AAD">
        <w:rPr>
          <w:rStyle w:val="Emphasis"/>
          <w:color w:val="000000"/>
          <w:bdr w:val="none" w:sz="0" w:space="0" w:color="auto" w:frame="1"/>
          <w:shd w:val="clear" w:color="auto" w:fill="FFFFFF"/>
        </w:rPr>
        <w:t>p</w:t>
      </w:r>
      <w:r w:rsidR="004455F2" w:rsidRPr="00716AAD">
        <w:rPr>
          <w:color w:val="000000"/>
          <w:shd w:val="clear" w:color="auto" w:fill="FFFFFF"/>
        </w:rPr>
        <w:t> value.</w:t>
      </w:r>
      <w:r w:rsidR="00E316D0" w:rsidRPr="00716AAD">
        <w:rPr>
          <w:color w:val="000000"/>
          <w:shd w:val="clear" w:color="auto" w:fill="FFFFFF"/>
        </w:rPr>
        <w:t xml:space="preserve"> </w:t>
      </w:r>
    </w:p>
    <w:p w14:paraId="7F8F89A4" w14:textId="77777777" w:rsidR="00E316D0" w:rsidRDefault="00E316D0">
      <w:pPr>
        <w:widowControl/>
        <w:autoSpaceDE/>
        <w:autoSpaceDN/>
        <w:spacing w:after="80"/>
        <w:rPr>
          <w:rFonts w:ascii="Open Sans" w:hAnsi="Open Sans"/>
          <w:color w:val="000000"/>
          <w:sz w:val="21"/>
          <w:szCs w:val="21"/>
          <w:shd w:val="clear" w:color="auto" w:fill="FFFFFF"/>
        </w:rPr>
      </w:pPr>
      <w:r>
        <w:rPr>
          <w:rFonts w:ascii="Open Sans" w:hAnsi="Open Sans"/>
          <w:color w:val="000000"/>
          <w:sz w:val="21"/>
          <w:szCs w:val="21"/>
          <w:shd w:val="clear" w:color="auto" w:fill="FFFFFF"/>
        </w:rPr>
        <w:br w:type="page"/>
      </w:r>
    </w:p>
    <w:p w14:paraId="40A05542" w14:textId="77777777" w:rsidR="00647FA0" w:rsidRPr="006D2D66" w:rsidRDefault="003A6159" w:rsidP="00FE1BE3">
      <w:pPr>
        <w:rPr>
          <w:b/>
          <w:sz w:val="24"/>
          <w:szCs w:val="24"/>
        </w:rPr>
      </w:pPr>
      <w:r w:rsidRPr="006D2D66">
        <w:rPr>
          <w:b/>
          <w:sz w:val="24"/>
          <w:szCs w:val="24"/>
        </w:rPr>
        <w:lastRenderedPageBreak/>
        <w:t xml:space="preserve">2 </w:t>
      </w:r>
      <w:r w:rsidR="00AA30C0" w:rsidRPr="006D2D66">
        <w:rPr>
          <w:b/>
          <w:sz w:val="24"/>
          <w:szCs w:val="24"/>
        </w:rPr>
        <w:t xml:space="preserve">Supplemental </w:t>
      </w:r>
      <w:r w:rsidR="00647FA0" w:rsidRPr="006D2D66">
        <w:rPr>
          <w:b/>
          <w:sz w:val="24"/>
          <w:szCs w:val="24"/>
        </w:rPr>
        <w:t>Figures</w:t>
      </w:r>
    </w:p>
    <w:p w14:paraId="61F3A868" w14:textId="77777777" w:rsidR="00647FA0" w:rsidRPr="006D2D66" w:rsidRDefault="00647FA0" w:rsidP="00FE1BE3">
      <w:pPr>
        <w:rPr>
          <w:b/>
          <w:sz w:val="24"/>
          <w:szCs w:val="24"/>
        </w:rPr>
      </w:pPr>
    </w:p>
    <w:p w14:paraId="5B90790B" w14:textId="77777777" w:rsidR="00647FA0" w:rsidRPr="006D2D66" w:rsidRDefault="00647FA0" w:rsidP="00FE1BE3">
      <w:pPr>
        <w:rPr>
          <w:b/>
          <w:sz w:val="24"/>
          <w:szCs w:val="24"/>
        </w:rPr>
      </w:pPr>
    </w:p>
    <w:p w14:paraId="4DAA3431" w14:textId="77777777" w:rsidR="00652AE0" w:rsidRPr="00B02CDE" w:rsidRDefault="00652AE0" w:rsidP="00652AE0">
      <w:pPr>
        <w:rPr>
          <w:sz w:val="24"/>
          <w:szCs w:val="24"/>
        </w:rPr>
      </w:pPr>
      <w:bookmarkStart w:id="3" w:name="_Hlk8741121"/>
      <w:r>
        <w:rPr>
          <w:noProof/>
          <w:sz w:val="24"/>
          <w:szCs w:val="24"/>
          <w:lang w:val="en-CA" w:eastAsia="en-CA"/>
        </w:rPr>
        <w:drawing>
          <wp:inline distT="0" distB="0" distL="0" distR="0" wp14:anchorId="027763BF" wp14:editId="393A4F42">
            <wp:extent cx="4694135" cy="4752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771" cy="47647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3"/>
    <w:p w14:paraId="15A10CF3" w14:textId="77777777" w:rsidR="00647FA0" w:rsidRPr="006D2D66" w:rsidRDefault="00647FA0" w:rsidP="00FE1BE3">
      <w:pPr>
        <w:rPr>
          <w:b/>
          <w:sz w:val="24"/>
          <w:szCs w:val="24"/>
        </w:rPr>
      </w:pPr>
    </w:p>
    <w:p w14:paraId="5E7A9540" w14:textId="77777777" w:rsidR="00647FA0" w:rsidRPr="006D2D66" w:rsidRDefault="00647FA0" w:rsidP="00FE1BE3">
      <w:pPr>
        <w:rPr>
          <w:b/>
          <w:sz w:val="24"/>
          <w:szCs w:val="24"/>
        </w:rPr>
      </w:pPr>
    </w:p>
    <w:p w14:paraId="1FBCA353" w14:textId="71ECDBB8" w:rsidR="00652AE0" w:rsidRDefault="00652AE0" w:rsidP="00652A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Supplemental Figure </w:t>
      </w:r>
      <w:r w:rsidR="00716AAD">
        <w:rPr>
          <w:b/>
          <w:sz w:val="24"/>
          <w:szCs w:val="24"/>
        </w:rPr>
        <w:t>1</w:t>
      </w:r>
      <w:r w:rsidRPr="00B02CDE">
        <w:rPr>
          <w:b/>
          <w:sz w:val="24"/>
          <w:szCs w:val="24"/>
        </w:rPr>
        <w:t xml:space="preserve">: </w:t>
      </w:r>
      <w:r w:rsidR="00E23134">
        <w:rPr>
          <w:b/>
          <w:sz w:val="24"/>
          <w:szCs w:val="24"/>
        </w:rPr>
        <w:t xml:space="preserve">Analysis of transcription factor in Th17 differentiated cells from WT female, WT male, and Esr1-/- female mice. </w:t>
      </w:r>
      <w:r w:rsidR="00E23134" w:rsidRPr="00E23134">
        <w:rPr>
          <w:sz w:val="24"/>
          <w:szCs w:val="24"/>
        </w:rPr>
        <w:t>Th0 and</w:t>
      </w:r>
      <w:r w:rsidR="00E23134">
        <w:rPr>
          <w:b/>
          <w:sz w:val="24"/>
          <w:szCs w:val="24"/>
        </w:rPr>
        <w:t xml:space="preserve"> </w:t>
      </w:r>
      <w:r w:rsidRPr="00B02CDE">
        <w:rPr>
          <w:sz w:val="24"/>
          <w:szCs w:val="24"/>
        </w:rPr>
        <w:t>Th17 cells were differentiated in the presence of varying concentrations of rmIL-23 (0, 10 and 30 ng/ml).</w:t>
      </w:r>
      <w:r w:rsidRPr="00B02CDE">
        <w:rPr>
          <w:b/>
          <w:sz w:val="24"/>
          <w:szCs w:val="24"/>
        </w:rPr>
        <w:t xml:space="preserve"> </w:t>
      </w:r>
      <w:r w:rsidR="00E23134">
        <w:rPr>
          <w:b/>
          <w:sz w:val="24"/>
          <w:szCs w:val="24"/>
        </w:rPr>
        <w:t xml:space="preserve">(A) </w:t>
      </w:r>
      <w:r w:rsidR="00E23134" w:rsidRPr="00E23134">
        <w:rPr>
          <w:sz w:val="24"/>
          <w:szCs w:val="24"/>
        </w:rPr>
        <w:t>Representative d</w:t>
      </w:r>
      <w:r w:rsidRPr="00E23134">
        <w:rPr>
          <w:sz w:val="24"/>
          <w:szCs w:val="24"/>
        </w:rPr>
        <w:t>ot</w:t>
      </w:r>
      <w:r w:rsidRPr="00652AE0">
        <w:rPr>
          <w:sz w:val="24"/>
          <w:szCs w:val="24"/>
        </w:rPr>
        <w:t xml:space="preserve"> plots</w:t>
      </w:r>
      <w:r w:rsidR="00E23134">
        <w:rPr>
          <w:sz w:val="24"/>
          <w:szCs w:val="24"/>
        </w:rPr>
        <w:t xml:space="preserve"> were pre-gated on CD4+ </w:t>
      </w:r>
      <w:r w:rsidR="00FE1AA6">
        <w:rPr>
          <w:sz w:val="24"/>
          <w:szCs w:val="24"/>
        </w:rPr>
        <w:t>IL-23R</w:t>
      </w:r>
      <w:r w:rsidR="00E23134">
        <w:rPr>
          <w:sz w:val="24"/>
          <w:szCs w:val="24"/>
        </w:rPr>
        <w:t xml:space="preserve">+ cells. </w:t>
      </w:r>
      <w:r w:rsidRPr="00652AE0">
        <w:rPr>
          <w:sz w:val="24"/>
          <w:szCs w:val="24"/>
        </w:rPr>
        <w:t xml:space="preserve"> </w:t>
      </w:r>
      <w:r w:rsidRPr="00B02CDE">
        <w:rPr>
          <w:b/>
          <w:sz w:val="24"/>
          <w:szCs w:val="24"/>
        </w:rPr>
        <w:t>(</w:t>
      </w:r>
      <w:r w:rsidR="00E23134">
        <w:rPr>
          <w:b/>
          <w:sz w:val="24"/>
          <w:szCs w:val="24"/>
        </w:rPr>
        <w:t>B-D</w:t>
      </w:r>
      <w:r w:rsidRPr="00B02CDE">
        <w:rPr>
          <w:b/>
          <w:sz w:val="24"/>
          <w:szCs w:val="24"/>
        </w:rPr>
        <w:t>)</w:t>
      </w:r>
      <w:r w:rsidRPr="00B02CDE">
        <w:rPr>
          <w:sz w:val="24"/>
          <w:szCs w:val="24"/>
        </w:rPr>
        <w:t xml:space="preserve"> Frequency </w:t>
      </w:r>
      <w:r w:rsidR="00E23134">
        <w:rPr>
          <w:sz w:val="24"/>
          <w:szCs w:val="24"/>
        </w:rPr>
        <w:t>of ROR</w:t>
      </w:r>
      <w:r w:rsidR="00E23134">
        <w:rPr>
          <w:sz w:val="24"/>
          <w:szCs w:val="24"/>
        </w:rPr>
        <w:sym w:font="Symbol" w:char="F067"/>
      </w:r>
      <w:r w:rsidR="00E23134">
        <w:rPr>
          <w:sz w:val="24"/>
          <w:szCs w:val="24"/>
        </w:rPr>
        <w:t>t+, ROR</w:t>
      </w:r>
      <w:r w:rsidR="00E23134">
        <w:rPr>
          <w:sz w:val="24"/>
          <w:szCs w:val="24"/>
        </w:rPr>
        <w:sym w:font="Symbol" w:char="F067"/>
      </w:r>
      <w:r w:rsidR="00E23134">
        <w:rPr>
          <w:sz w:val="24"/>
          <w:szCs w:val="24"/>
        </w:rPr>
        <w:t xml:space="preserve">t+Foxp3+, and Foxp3+ cells. </w:t>
      </w:r>
      <w:r w:rsidRPr="00B02CDE">
        <w:rPr>
          <w:sz w:val="24"/>
          <w:szCs w:val="24"/>
        </w:rPr>
        <w:t xml:space="preserve">*p&lt;0.05 ANOVA with Tukey post hoc analysis. </w:t>
      </w:r>
      <w:proofErr w:type="spellStart"/>
      <w:r w:rsidRPr="00B02CDE">
        <w:rPr>
          <w:sz w:val="24"/>
          <w:szCs w:val="24"/>
        </w:rPr>
        <w:t>n.s</w:t>
      </w:r>
      <w:proofErr w:type="spellEnd"/>
      <w:r w:rsidRPr="00B02CDE">
        <w:rPr>
          <w:sz w:val="24"/>
          <w:szCs w:val="24"/>
        </w:rPr>
        <w:t>. means not statistically significant.</w:t>
      </w:r>
    </w:p>
    <w:p w14:paraId="22D27049" w14:textId="77777777" w:rsidR="00652AE0" w:rsidRDefault="00652AE0" w:rsidP="00652AE0">
      <w:pPr>
        <w:widowControl/>
        <w:autoSpaceDE/>
        <w:autoSpaceDN/>
        <w:spacing w:after="80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831CB0" w14:textId="135DA472" w:rsidR="00647FA0" w:rsidRPr="006D2D66" w:rsidRDefault="00304828" w:rsidP="00FE1BE3">
      <w:pPr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7A7193" wp14:editId="1663C4CF">
            <wp:extent cx="3895725" cy="3419475"/>
            <wp:effectExtent l="0" t="0" r="9525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537E" w14:textId="77777777" w:rsidR="00647FA0" w:rsidRPr="006D2D66" w:rsidRDefault="00647FA0" w:rsidP="00FE1BE3">
      <w:pPr>
        <w:rPr>
          <w:b/>
          <w:sz w:val="24"/>
          <w:szCs w:val="24"/>
        </w:rPr>
      </w:pPr>
    </w:p>
    <w:p w14:paraId="68BFF485" w14:textId="77777777" w:rsidR="00647FA0" w:rsidRPr="006D2D66" w:rsidRDefault="00647FA0" w:rsidP="00FE1BE3">
      <w:pPr>
        <w:rPr>
          <w:b/>
          <w:sz w:val="24"/>
          <w:szCs w:val="24"/>
        </w:rPr>
      </w:pPr>
    </w:p>
    <w:p w14:paraId="6990B6BA" w14:textId="7155A404" w:rsidR="00985E1B" w:rsidRPr="006D2D66" w:rsidRDefault="00AA30C0">
      <w:pPr>
        <w:rPr>
          <w:sz w:val="24"/>
          <w:szCs w:val="24"/>
        </w:rPr>
      </w:pPr>
      <w:r w:rsidRPr="006D2D66">
        <w:rPr>
          <w:b/>
          <w:sz w:val="24"/>
          <w:szCs w:val="24"/>
        </w:rPr>
        <w:t xml:space="preserve">Supplemental Figure </w:t>
      </w:r>
      <w:r w:rsidR="00304828">
        <w:rPr>
          <w:b/>
          <w:sz w:val="24"/>
          <w:szCs w:val="24"/>
        </w:rPr>
        <w:t>2</w:t>
      </w:r>
      <w:r w:rsidRPr="006D2D66">
        <w:rPr>
          <w:b/>
          <w:sz w:val="24"/>
          <w:szCs w:val="24"/>
        </w:rPr>
        <w:t>:</w:t>
      </w:r>
      <w:r w:rsidR="005920E5" w:rsidRPr="006D2D66">
        <w:rPr>
          <w:b/>
          <w:sz w:val="24"/>
          <w:szCs w:val="24"/>
        </w:rPr>
        <w:t xml:space="preserve"> </w:t>
      </w:r>
      <w:r w:rsidR="003F71D5" w:rsidRPr="006D2D66">
        <w:rPr>
          <w:sz w:val="24"/>
          <w:szCs w:val="24"/>
        </w:rPr>
        <w:t>Plot of differential expressed genes from cultured Th17 cells from healthy women compared to Th17 cells from healthy men.</w:t>
      </w:r>
      <w:r w:rsidR="00E316D0">
        <w:rPr>
          <w:sz w:val="24"/>
          <w:szCs w:val="24"/>
        </w:rPr>
        <w:t xml:space="preserve"> Y-axis shows -log</w:t>
      </w:r>
      <w:r w:rsidR="00E316D0">
        <w:rPr>
          <w:sz w:val="24"/>
          <w:szCs w:val="24"/>
          <w:vertAlign w:val="subscript"/>
        </w:rPr>
        <w:t>10</w:t>
      </w:r>
      <w:r w:rsidR="00E316D0">
        <w:rPr>
          <w:sz w:val="24"/>
          <w:szCs w:val="24"/>
        </w:rPr>
        <w:t xml:space="preserve"> p value</w:t>
      </w:r>
      <w:r w:rsidR="00652AE0">
        <w:rPr>
          <w:sz w:val="24"/>
          <w:szCs w:val="24"/>
        </w:rPr>
        <w:t xml:space="preserve"> with dotted blue line denoting p&lt;0.05 and green dotted line denoting log2 fold change &gt;2. </w:t>
      </w:r>
    </w:p>
    <w:p w14:paraId="451B1AC4" w14:textId="7F2C9070" w:rsidR="00AA30C0" w:rsidRPr="006D2D66" w:rsidRDefault="00AA30C0">
      <w:pPr>
        <w:rPr>
          <w:sz w:val="24"/>
          <w:szCs w:val="24"/>
        </w:rPr>
      </w:pPr>
    </w:p>
    <w:sectPr w:rsidR="00AA30C0" w:rsidRPr="006D2D66" w:rsidSect="00A65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D00AA"/>
    <w:multiLevelType w:val="hybridMultilevel"/>
    <w:tmpl w:val="3E4C6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 Immunolog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r0re2xxfxprafue22arvvxzbd0svfs9fdrzr&quot;&gt;My EndNote Library-Saved-March 2019-Saved-Saved&lt;record-ids&gt;&lt;item&gt;32&lt;/item&gt;&lt;/record-ids&gt;&lt;/item&gt;&lt;/Libraries&gt;"/>
  </w:docVars>
  <w:rsids>
    <w:rsidRoot w:val="005B7150"/>
    <w:rsid w:val="000033DB"/>
    <w:rsid w:val="000265AC"/>
    <w:rsid w:val="000611B9"/>
    <w:rsid w:val="0008018F"/>
    <w:rsid w:val="000C2152"/>
    <w:rsid w:val="00147C5A"/>
    <w:rsid w:val="00151166"/>
    <w:rsid w:val="001605FB"/>
    <w:rsid w:val="001800FA"/>
    <w:rsid w:val="001803E6"/>
    <w:rsid w:val="00183581"/>
    <w:rsid w:val="00184BA4"/>
    <w:rsid w:val="00220576"/>
    <w:rsid w:val="0024266B"/>
    <w:rsid w:val="00276F71"/>
    <w:rsid w:val="002D5C5D"/>
    <w:rsid w:val="00304828"/>
    <w:rsid w:val="003119C3"/>
    <w:rsid w:val="00321195"/>
    <w:rsid w:val="003426E0"/>
    <w:rsid w:val="00361404"/>
    <w:rsid w:val="003910C1"/>
    <w:rsid w:val="003A032E"/>
    <w:rsid w:val="003A6159"/>
    <w:rsid w:val="003F0BBD"/>
    <w:rsid w:val="003F71D5"/>
    <w:rsid w:val="004168D4"/>
    <w:rsid w:val="004455F2"/>
    <w:rsid w:val="00452C08"/>
    <w:rsid w:val="0048123E"/>
    <w:rsid w:val="004C3047"/>
    <w:rsid w:val="004F582B"/>
    <w:rsid w:val="00535859"/>
    <w:rsid w:val="005410DE"/>
    <w:rsid w:val="00563718"/>
    <w:rsid w:val="005920E5"/>
    <w:rsid w:val="005B7150"/>
    <w:rsid w:val="005F5DBB"/>
    <w:rsid w:val="00627853"/>
    <w:rsid w:val="00647FA0"/>
    <w:rsid w:val="00652AE0"/>
    <w:rsid w:val="006A050F"/>
    <w:rsid w:val="006B7E12"/>
    <w:rsid w:val="006C66AE"/>
    <w:rsid w:val="006D2D66"/>
    <w:rsid w:val="00716AAD"/>
    <w:rsid w:val="00725C72"/>
    <w:rsid w:val="00741246"/>
    <w:rsid w:val="00746463"/>
    <w:rsid w:val="007A1201"/>
    <w:rsid w:val="007C264F"/>
    <w:rsid w:val="0083182E"/>
    <w:rsid w:val="008338E0"/>
    <w:rsid w:val="008455AA"/>
    <w:rsid w:val="008457E7"/>
    <w:rsid w:val="00856012"/>
    <w:rsid w:val="00857E75"/>
    <w:rsid w:val="00880669"/>
    <w:rsid w:val="008E0DB3"/>
    <w:rsid w:val="008E571B"/>
    <w:rsid w:val="008E6F73"/>
    <w:rsid w:val="009175D8"/>
    <w:rsid w:val="00934FFB"/>
    <w:rsid w:val="00955379"/>
    <w:rsid w:val="00985E1B"/>
    <w:rsid w:val="009A3421"/>
    <w:rsid w:val="009C10A5"/>
    <w:rsid w:val="009F7141"/>
    <w:rsid w:val="00A43EAF"/>
    <w:rsid w:val="00A53493"/>
    <w:rsid w:val="00A55278"/>
    <w:rsid w:val="00A65150"/>
    <w:rsid w:val="00A73AFB"/>
    <w:rsid w:val="00AA30C0"/>
    <w:rsid w:val="00AB1C84"/>
    <w:rsid w:val="00B52F7B"/>
    <w:rsid w:val="00B633D6"/>
    <w:rsid w:val="00B96709"/>
    <w:rsid w:val="00BA63D6"/>
    <w:rsid w:val="00BF0E28"/>
    <w:rsid w:val="00C21AE3"/>
    <w:rsid w:val="00C22089"/>
    <w:rsid w:val="00C703B8"/>
    <w:rsid w:val="00CE1E8D"/>
    <w:rsid w:val="00CF3E7A"/>
    <w:rsid w:val="00D24C9D"/>
    <w:rsid w:val="00D500B1"/>
    <w:rsid w:val="00D53BAB"/>
    <w:rsid w:val="00D5409A"/>
    <w:rsid w:val="00D7156A"/>
    <w:rsid w:val="00DC6BDA"/>
    <w:rsid w:val="00E04BE4"/>
    <w:rsid w:val="00E163B8"/>
    <w:rsid w:val="00E23134"/>
    <w:rsid w:val="00E316D0"/>
    <w:rsid w:val="00EA249B"/>
    <w:rsid w:val="00EB5AE4"/>
    <w:rsid w:val="00F039F5"/>
    <w:rsid w:val="00F0550B"/>
    <w:rsid w:val="00F06EFF"/>
    <w:rsid w:val="00F06FF8"/>
    <w:rsid w:val="00F517E4"/>
    <w:rsid w:val="00F632D5"/>
    <w:rsid w:val="00F96817"/>
    <w:rsid w:val="00FC2EB9"/>
    <w:rsid w:val="00FD61D9"/>
    <w:rsid w:val="00FE1AA6"/>
    <w:rsid w:val="00FE1BE3"/>
    <w:rsid w:val="00FF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E4E46"/>
  <w15:docId w15:val="{4427F386-CBE4-4268-B6D1-A74272D5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1404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404"/>
    <w:pPr>
      <w:spacing w:before="202"/>
      <w:ind w:left="679" w:hanging="418"/>
    </w:pPr>
  </w:style>
  <w:style w:type="paragraph" w:styleId="BodyText">
    <w:name w:val="Body Text"/>
    <w:basedOn w:val="Normal"/>
    <w:link w:val="BodyTextChar"/>
    <w:uiPriority w:val="1"/>
    <w:qFormat/>
    <w:rsid w:val="0056371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3718"/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BF0E28"/>
  </w:style>
  <w:style w:type="paragraph" w:customStyle="1" w:styleId="EndNoteBibliographyTitle">
    <w:name w:val="EndNote Bibliography Title"/>
    <w:basedOn w:val="Normal"/>
    <w:link w:val="EndNoteBibliographyTitleChar"/>
    <w:rsid w:val="007C264F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BodyTextChar"/>
    <w:link w:val="EndNoteBibliographyTitle"/>
    <w:rsid w:val="007C264F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C264F"/>
    <w:rPr>
      <w:noProof/>
    </w:rPr>
  </w:style>
  <w:style w:type="character" w:customStyle="1" w:styleId="EndNoteBibliographyChar">
    <w:name w:val="EndNote Bibliography Char"/>
    <w:basedOn w:val="BodyTextChar"/>
    <w:link w:val="EndNoteBibliography"/>
    <w:rsid w:val="007C264F"/>
    <w:rPr>
      <w:rFonts w:ascii="Times New Roman" w:eastAsia="Times New Roman" w:hAnsi="Times New Roman" w:cs="Times New Roman"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264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264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455F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18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1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1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1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1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18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Fuseini, Hubaida</dc:creator>
  <cp:keywords/>
  <dc:description/>
  <cp:lastModifiedBy>Newcomb, Dawn Catherine</cp:lastModifiedBy>
  <cp:revision>2</cp:revision>
  <cp:lastPrinted>2019-05-22T20:20:00Z</cp:lastPrinted>
  <dcterms:created xsi:type="dcterms:W3CDTF">2019-10-02T22:17:00Z</dcterms:created>
  <dcterms:modified xsi:type="dcterms:W3CDTF">2019-10-02T22:17:00Z</dcterms:modified>
</cp:coreProperties>
</file>