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69E" w:rsidRDefault="001B269E" w:rsidP="00B17F3D">
      <w:pPr>
        <w:pStyle w:val="Title"/>
        <w:rPr>
          <w:lang w:val="en-GB"/>
        </w:rPr>
      </w:pPr>
      <w:r>
        <w:rPr>
          <w:lang w:val="en-GB"/>
        </w:rPr>
        <w:t>Supplementary Information</w:t>
      </w:r>
    </w:p>
    <w:p w:rsidR="004912FD" w:rsidRDefault="00B17F3D" w:rsidP="001B269E">
      <w:pPr>
        <w:pStyle w:val="Heading1"/>
        <w:rPr>
          <w:lang w:val="en-GB"/>
        </w:rPr>
      </w:pPr>
      <w:r>
        <w:rPr>
          <w:lang w:val="en-GB"/>
        </w:rPr>
        <w:t>Operant assessment of</w:t>
      </w:r>
      <w:r w:rsidR="004912FD">
        <w:rPr>
          <w:lang w:val="en-GB"/>
        </w:rPr>
        <w:t xml:space="preserve"> </w:t>
      </w:r>
      <w:r w:rsidR="00AF50F2">
        <w:rPr>
          <w:lang w:val="en-GB"/>
        </w:rPr>
        <w:t xml:space="preserve">DMTP </w:t>
      </w:r>
      <w:r w:rsidR="003E4195">
        <w:rPr>
          <w:lang w:val="en-GB"/>
        </w:rPr>
        <w:t xml:space="preserve">spatial </w:t>
      </w:r>
      <w:r w:rsidR="00AF50F2">
        <w:rPr>
          <w:lang w:val="en-GB"/>
        </w:rPr>
        <w:t>working memory</w:t>
      </w:r>
      <w:r w:rsidR="004912FD">
        <w:rPr>
          <w:lang w:val="en-GB"/>
        </w:rPr>
        <w:t xml:space="preserve"> </w:t>
      </w:r>
      <w:r>
        <w:rPr>
          <w:lang w:val="en-GB"/>
        </w:rPr>
        <w:t>in</w:t>
      </w:r>
      <w:r w:rsidR="004912FD">
        <w:rPr>
          <w:lang w:val="en-GB"/>
        </w:rPr>
        <w:t xml:space="preserve"> mice</w:t>
      </w:r>
    </w:p>
    <w:p w:rsidR="00A06659" w:rsidRPr="00A06659" w:rsidRDefault="00A06659" w:rsidP="00A06659">
      <w:pPr>
        <w:spacing w:line="360" w:lineRule="auto"/>
        <w:rPr>
          <w:rFonts w:cs="Times New Roman"/>
          <w:lang w:val="en-GB"/>
        </w:rPr>
      </w:pPr>
      <w:r w:rsidRPr="00A06659">
        <w:rPr>
          <w:rFonts w:cs="Times New Roman"/>
          <w:b/>
          <w:i/>
          <w:lang w:val="en-GB"/>
        </w:rPr>
        <w:t>Running title:</w:t>
      </w:r>
      <w:r w:rsidRPr="00A06659">
        <w:rPr>
          <w:rFonts w:cs="Times New Roman"/>
          <w:b/>
          <w:lang w:val="en-GB"/>
        </w:rPr>
        <w:t xml:space="preserve"> </w:t>
      </w:r>
      <w:r w:rsidR="003E4195">
        <w:rPr>
          <w:rFonts w:cs="Times New Roman"/>
          <w:lang w:val="en-GB"/>
        </w:rPr>
        <w:t>Operant working memory</w:t>
      </w:r>
      <w:r w:rsidR="00870A81">
        <w:rPr>
          <w:rFonts w:cs="Times New Roman"/>
          <w:lang w:val="en-GB"/>
        </w:rPr>
        <w:t xml:space="preserve"> testing</w:t>
      </w:r>
      <w:r w:rsidR="003E4195">
        <w:rPr>
          <w:rFonts w:cs="Times New Roman"/>
          <w:lang w:val="en-GB"/>
        </w:rPr>
        <w:t xml:space="preserve"> in mice</w:t>
      </w:r>
    </w:p>
    <w:p w:rsidR="00A06659" w:rsidRDefault="00A06659" w:rsidP="00A06659">
      <w:pPr>
        <w:spacing w:line="360" w:lineRule="auto"/>
        <w:rPr>
          <w:rFonts w:cs="Times New Roman"/>
          <w:lang w:val="en-GB"/>
        </w:rPr>
      </w:pPr>
      <w:r w:rsidRPr="00A06659">
        <w:rPr>
          <w:rFonts w:cs="Times New Roman"/>
          <w:b/>
          <w:i/>
          <w:lang w:val="en-GB"/>
        </w:rPr>
        <w:t>Keywords:</w:t>
      </w:r>
      <w:r w:rsidRPr="00A06659">
        <w:rPr>
          <w:rFonts w:cs="Times New Roman"/>
          <w:lang w:val="en-GB"/>
        </w:rPr>
        <w:t xml:space="preserve"> </w:t>
      </w:r>
      <w:r>
        <w:rPr>
          <w:rFonts w:cs="Times New Roman"/>
          <w:lang w:val="en-GB"/>
        </w:rPr>
        <w:t>spatial working memory</w:t>
      </w:r>
      <w:r w:rsidRPr="00A06659">
        <w:rPr>
          <w:rFonts w:cs="Times New Roman"/>
          <w:lang w:val="en-GB"/>
        </w:rPr>
        <w:t>,</w:t>
      </w:r>
      <w:r>
        <w:rPr>
          <w:rFonts w:cs="Times New Roman"/>
          <w:lang w:val="en-GB"/>
        </w:rPr>
        <w:t xml:space="preserve"> delayed-matching-to-position, guanfacine, modafinil, combined attention and memory (CAM) task</w:t>
      </w:r>
    </w:p>
    <w:p w:rsidR="00A06659" w:rsidRPr="00973502" w:rsidRDefault="00A06659" w:rsidP="00A06659">
      <w:pPr>
        <w:spacing w:line="360" w:lineRule="auto"/>
        <w:rPr>
          <w:rFonts w:cs="Times New Roman"/>
          <w:b/>
          <w:i/>
        </w:rPr>
      </w:pPr>
      <w:r w:rsidRPr="00973502">
        <w:rPr>
          <w:rFonts w:cs="Times New Roman"/>
          <w:b/>
          <w:i/>
        </w:rPr>
        <w:t>Authors:</w:t>
      </w:r>
    </w:p>
    <w:p w:rsidR="00A06659" w:rsidRPr="00973502" w:rsidRDefault="00A06659" w:rsidP="00A06659">
      <w:pPr>
        <w:spacing w:line="360" w:lineRule="auto"/>
        <w:rPr>
          <w:rFonts w:cs="Times New Roman"/>
          <w:b/>
        </w:rPr>
      </w:pPr>
      <w:r>
        <w:rPr>
          <w:rFonts w:cs="Times New Roman"/>
        </w:rPr>
        <w:t>Jasper Teutsch</w:t>
      </w:r>
      <w:r w:rsidR="003E4195" w:rsidRPr="00973502">
        <w:rPr>
          <w:rFonts w:cs="Times New Roman"/>
          <w:vertAlign w:val="superscript"/>
        </w:rPr>
        <w:t>1</w:t>
      </w:r>
      <w:r w:rsidR="003E4195">
        <w:rPr>
          <w:rFonts w:cs="Times New Roman"/>
          <w:vertAlign w:val="superscript"/>
        </w:rPr>
        <w:t>,2</w:t>
      </w:r>
      <w:r w:rsidR="003E4195">
        <w:rPr>
          <w:rFonts w:cs="Times New Roman"/>
        </w:rPr>
        <w:t xml:space="preserve">, </w:t>
      </w:r>
      <w:r w:rsidRPr="00973502">
        <w:rPr>
          <w:rFonts w:cs="Times New Roman"/>
        </w:rPr>
        <w:t>Dennis Kätzel, D.Phil</w:t>
      </w:r>
      <w:r w:rsidRPr="00973502">
        <w:rPr>
          <w:rFonts w:cs="Times New Roman"/>
          <w:vertAlign w:val="superscript"/>
        </w:rPr>
        <w:t>1</w:t>
      </w:r>
      <w:r w:rsidR="003E4195">
        <w:rPr>
          <w:rFonts w:cs="Times New Roman"/>
          <w:vertAlign w:val="superscript"/>
        </w:rPr>
        <w:t>,</w:t>
      </w:r>
      <w:r w:rsidRPr="00973502">
        <w:rPr>
          <w:rFonts w:cs="Times New Roman"/>
        </w:rPr>
        <w:t>*</w:t>
      </w:r>
    </w:p>
    <w:p w:rsidR="00A06659" w:rsidRDefault="003E4195" w:rsidP="00A06659">
      <w:pPr>
        <w:spacing w:line="360" w:lineRule="auto"/>
        <w:rPr>
          <w:rFonts w:cs="Times New Roman"/>
          <w:lang w:val="en-GB"/>
        </w:rPr>
      </w:pPr>
      <w:r>
        <w:rPr>
          <w:rFonts w:cs="Times New Roman"/>
          <w:vertAlign w:val="superscript"/>
          <w:lang w:val="en-GB"/>
        </w:rPr>
        <w:t>1</w:t>
      </w:r>
      <w:r w:rsidR="00A06659" w:rsidRPr="00A06659">
        <w:rPr>
          <w:rFonts w:cs="Times New Roman"/>
          <w:lang w:val="en-GB"/>
        </w:rPr>
        <w:t xml:space="preserve"> Institute of Applied Physiology, Ulm University, Ulm, Germany</w:t>
      </w:r>
    </w:p>
    <w:p w:rsidR="003E4195" w:rsidRPr="003E4195" w:rsidRDefault="003E4195" w:rsidP="003E4195">
      <w:pPr>
        <w:spacing w:line="360" w:lineRule="auto"/>
        <w:rPr>
          <w:rFonts w:cs="Times New Roman"/>
        </w:rPr>
      </w:pPr>
      <w:r w:rsidRPr="003E4195">
        <w:rPr>
          <w:rFonts w:cs="Times New Roman"/>
          <w:vertAlign w:val="superscript"/>
        </w:rPr>
        <w:t>2</w:t>
      </w:r>
      <w:r w:rsidRPr="003E4195">
        <w:rPr>
          <w:rFonts w:cs="Times New Roman"/>
        </w:rPr>
        <w:t xml:space="preserve"> </w:t>
      </w:r>
      <w:r w:rsidRPr="003E4195">
        <w:rPr>
          <w:rFonts w:cs="Times New Roman"/>
          <w:i/>
        </w:rPr>
        <w:t>Present address:</w:t>
      </w:r>
      <w:r w:rsidRPr="003E4195">
        <w:rPr>
          <w:rFonts w:cs="Times New Roman"/>
        </w:rPr>
        <w:t xml:space="preserve"> ETH Zürich, Zürich, Switzerland</w:t>
      </w:r>
    </w:p>
    <w:p w:rsidR="00A06659" w:rsidRPr="00A06659" w:rsidRDefault="00A06659" w:rsidP="00A06659">
      <w:pPr>
        <w:spacing w:line="360" w:lineRule="auto"/>
        <w:rPr>
          <w:rFonts w:cs="Times New Roman"/>
          <w:b/>
          <w:lang w:val="en-GB"/>
        </w:rPr>
      </w:pPr>
      <w:r w:rsidRPr="00A06659">
        <w:rPr>
          <w:rFonts w:cs="Times New Roman"/>
          <w:b/>
          <w:lang w:val="en-GB"/>
        </w:rPr>
        <w:t xml:space="preserve">* Correspondence: </w:t>
      </w:r>
    </w:p>
    <w:p w:rsidR="00A06659" w:rsidRPr="00A06659" w:rsidRDefault="00A06659" w:rsidP="00A06659">
      <w:pPr>
        <w:spacing w:line="360" w:lineRule="auto"/>
        <w:rPr>
          <w:rFonts w:cs="Times New Roman"/>
          <w:lang w:val="en-GB"/>
        </w:rPr>
      </w:pPr>
      <w:r w:rsidRPr="00A06659">
        <w:rPr>
          <w:rFonts w:cs="Times New Roman"/>
          <w:lang w:val="en-GB"/>
        </w:rPr>
        <w:t>Dennis Kätzel, Institute of Applied Physiology, Ulm University, 89081 Ulm, Germany; dennis.kaetzel@uni-ulm.de</w:t>
      </w:r>
    </w:p>
    <w:p w:rsidR="00A06659" w:rsidRDefault="00A06659" w:rsidP="00A06659">
      <w:pPr>
        <w:spacing w:line="360" w:lineRule="auto"/>
        <w:rPr>
          <w:rFonts w:cs="Times New Roman"/>
          <w:lang w:val="en-GB"/>
        </w:rPr>
      </w:pPr>
    </w:p>
    <w:p w:rsidR="002918DB" w:rsidRDefault="002918DB" w:rsidP="00A06659">
      <w:pPr>
        <w:spacing w:line="360" w:lineRule="auto"/>
        <w:rPr>
          <w:rFonts w:cs="Times New Roman"/>
          <w:lang w:val="en-GB"/>
        </w:rPr>
      </w:pPr>
    </w:p>
    <w:p w:rsidR="00345BE4" w:rsidRDefault="005018F8" w:rsidP="00345BE4">
      <w:pPr>
        <w:pStyle w:val="Heading1"/>
        <w:rPr>
          <w:lang w:val="en-GB"/>
        </w:rPr>
      </w:pPr>
      <w:r>
        <w:rPr>
          <w:lang w:val="en-GB"/>
        </w:rPr>
        <w:t>Supplemen</w:t>
      </w:r>
      <w:r w:rsidR="00345BE4">
        <w:rPr>
          <w:lang w:val="en-GB"/>
        </w:rPr>
        <w:t>tary Methods</w:t>
      </w:r>
    </w:p>
    <w:p w:rsidR="001B269E" w:rsidRPr="0083504A" w:rsidRDefault="001B269E" w:rsidP="00345BE4">
      <w:pPr>
        <w:pStyle w:val="Heading2"/>
        <w:rPr>
          <w:lang w:val="en-GB"/>
        </w:rPr>
      </w:pPr>
      <w:r w:rsidRPr="0083504A">
        <w:rPr>
          <w:lang w:val="en-GB"/>
        </w:rPr>
        <w:t>Animal models</w:t>
      </w:r>
    </w:p>
    <w:p w:rsidR="001B269E" w:rsidRDefault="001B269E" w:rsidP="00345BE4">
      <w:pPr>
        <w:rPr>
          <w:lang w:val="en-US"/>
        </w:rPr>
      </w:pPr>
      <w:r w:rsidRPr="0051798F">
        <w:rPr>
          <w:lang w:val="en-US"/>
        </w:rPr>
        <w:t>All experiments were performed in accordance with institutional guidelines</w:t>
      </w:r>
      <w:r>
        <w:rPr>
          <w:lang w:val="en-US"/>
        </w:rPr>
        <w:t>, the German Animal Rights Law (Tierschutzgesetz, 2013)</w:t>
      </w:r>
      <w:r w:rsidRPr="0051798F">
        <w:rPr>
          <w:lang w:val="en-US"/>
        </w:rPr>
        <w:t xml:space="preserve"> and</w:t>
      </w:r>
      <w:r>
        <w:rPr>
          <w:lang w:val="en-US"/>
        </w:rPr>
        <w:t xml:space="preserve"> were </w:t>
      </w:r>
      <w:r w:rsidRPr="0051798F">
        <w:rPr>
          <w:lang w:val="en-US"/>
        </w:rPr>
        <w:t xml:space="preserve">approved by the Regierungspräsidium Tübingen, Germany. </w:t>
      </w:r>
      <w:r>
        <w:rPr>
          <w:lang w:val="en-US"/>
        </w:rPr>
        <w:t xml:space="preserve">All mice were on a C57BL/6J background. </w:t>
      </w:r>
      <w:r>
        <w:rPr>
          <w:lang w:val="en-GB"/>
        </w:rPr>
        <w:t xml:space="preserve">24 and 26 male C57BL/6J (Janvier, F) mice were used for initial establishment of the task and later assessment of training time in the optimized paradigm, respectively. Mice were 2-3 mo old at the beginning of training and maintained under a 13:11 hours light:dark schedule in enriched Typ II IVC cages (Tecniplast, I) </w:t>
      </w:r>
      <w:r w:rsidRPr="0051798F">
        <w:rPr>
          <w:lang w:val="en-US"/>
        </w:rPr>
        <w:t>in a</w:t>
      </w:r>
      <w:r>
        <w:rPr>
          <w:lang w:val="en-US"/>
        </w:rPr>
        <w:t xml:space="preserve"> </w:t>
      </w:r>
      <w:r w:rsidRPr="0051798F">
        <w:rPr>
          <w:lang w:val="en-US"/>
        </w:rPr>
        <w:t>temperature and humidity controlled vivarium</w:t>
      </w:r>
      <w:r>
        <w:rPr>
          <w:lang w:val="en-US"/>
        </w:rPr>
        <w:t xml:space="preserve">. </w:t>
      </w:r>
      <w:r w:rsidRPr="0051798F">
        <w:rPr>
          <w:lang w:val="en-US"/>
        </w:rPr>
        <w:t>IVC cages containing sawdust, sizzle nest and one cardboard house</w:t>
      </w:r>
      <w:r>
        <w:rPr>
          <w:lang w:val="en-US"/>
        </w:rPr>
        <w:t xml:space="preserve"> </w:t>
      </w:r>
      <w:r w:rsidRPr="0051798F">
        <w:rPr>
          <w:lang w:val="en-US"/>
        </w:rPr>
        <w:t xml:space="preserve">as enrichment were used as homecages. </w:t>
      </w:r>
      <w:r>
        <w:rPr>
          <w:lang w:val="en-US"/>
        </w:rPr>
        <w:t>A</w:t>
      </w:r>
      <w:r w:rsidRPr="0051798F">
        <w:rPr>
          <w:lang w:val="en-US"/>
        </w:rPr>
        <w:t>nimals were always group-housed.</w:t>
      </w:r>
      <w:r w:rsidR="00345BE4">
        <w:rPr>
          <w:lang w:val="en-US"/>
        </w:rPr>
        <w:t xml:space="preserve"> </w:t>
      </w:r>
      <w:r w:rsidRPr="0051798F">
        <w:rPr>
          <w:lang w:val="en-US"/>
        </w:rPr>
        <w:t xml:space="preserve">Water was provided </w:t>
      </w:r>
      <w:r w:rsidRPr="00EC4F78">
        <w:rPr>
          <w:i/>
          <w:lang w:val="en-US"/>
        </w:rPr>
        <w:t>ad libitum</w:t>
      </w:r>
      <w:r w:rsidRPr="0051798F">
        <w:rPr>
          <w:lang w:val="en-US"/>
        </w:rPr>
        <w:t xml:space="preserve"> at all times. All experiments were conducted during the light phase. </w:t>
      </w:r>
    </w:p>
    <w:p w:rsidR="001B269E" w:rsidRPr="0051798F" w:rsidRDefault="001B269E" w:rsidP="001B269E">
      <w:pPr>
        <w:spacing w:line="360" w:lineRule="auto"/>
        <w:rPr>
          <w:lang w:val="en-US"/>
        </w:rPr>
      </w:pPr>
    </w:p>
    <w:p w:rsidR="001B269E" w:rsidRPr="0083504A" w:rsidRDefault="005E0EE2" w:rsidP="00345BE4">
      <w:pPr>
        <w:pStyle w:val="Heading2"/>
        <w:rPr>
          <w:lang w:val="en-GB"/>
        </w:rPr>
      </w:pPr>
      <w:r w:rsidRPr="0083504A">
        <w:rPr>
          <w:lang w:val="en-GB"/>
        </w:rPr>
        <w:t>5-CSWM</w:t>
      </w:r>
      <w:r w:rsidR="001B269E" w:rsidRPr="0083504A">
        <w:rPr>
          <w:lang w:val="en-GB"/>
        </w:rPr>
        <w:t xml:space="preserve"> task based operant working memory </w:t>
      </w:r>
      <w:r w:rsidRPr="0083504A">
        <w:rPr>
          <w:lang w:val="en-GB"/>
        </w:rPr>
        <w:t>training</w:t>
      </w:r>
      <w:r w:rsidR="001B269E" w:rsidRPr="0083504A">
        <w:rPr>
          <w:lang w:val="en-GB"/>
        </w:rPr>
        <w:t xml:space="preserve"> for mice</w:t>
      </w:r>
    </w:p>
    <w:p w:rsidR="005E0EE2" w:rsidRDefault="005E0EE2" w:rsidP="005E0EE2">
      <w:pPr>
        <w:pStyle w:val="Heading3"/>
        <w:rPr>
          <w:lang w:val="en-US"/>
        </w:rPr>
      </w:pPr>
      <w:r>
        <w:rPr>
          <w:lang w:val="en-US"/>
        </w:rPr>
        <w:t>Habituation stages</w:t>
      </w:r>
    </w:p>
    <w:p w:rsidR="00255568" w:rsidRDefault="005E0EE2" w:rsidP="005E0EE2">
      <w:pPr>
        <w:spacing w:line="360" w:lineRule="auto"/>
        <w:rPr>
          <w:sz w:val="24"/>
          <w:lang w:val="en-US"/>
        </w:rPr>
      </w:pPr>
      <w:r w:rsidRPr="005E0EE2">
        <w:rPr>
          <w:sz w:val="24"/>
          <w:lang w:val="en-US"/>
        </w:rPr>
        <w:t xml:space="preserve">Before starting </w:t>
      </w:r>
      <w:r>
        <w:rPr>
          <w:sz w:val="24"/>
          <w:lang w:val="en-US"/>
        </w:rPr>
        <w:t>training</w:t>
      </w:r>
      <w:r w:rsidRPr="005E0EE2">
        <w:rPr>
          <w:sz w:val="24"/>
          <w:lang w:val="en-US"/>
        </w:rPr>
        <w:t xml:space="preserve">, animals were removed from </w:t>
      </w:r>
      <w:r w:rsidRPr="00EC4F78">
        <w:rPr>
          <w:i/>
          <w:sz w:val="24"/>
          <w:lang w:val="en-US"/>
        </w:rPr>
        <w:t>ad libitum</w:t>
      </w:r>
      <w:r w:rsidRPr="005E0EE2">
        <w:rPr>
          <w:sz w:val="24"/>
          <w:lang w:val="en-US"/>
        </w:rPr>
        <w:t xml:space="preserve"> feeding and put on a food deprivation schedule. Weight was kept at 85-95% of individually determined average free feeding weights</w:t>
      </w:r>
      <w:r>
        <w:rPr>
          <w:sz w:val="24"/>
          <w:lang w:val="en-US"/>
        </w:rPr>
        <w:t xml:space="preserve"> (average weight across 3 d before food-scheduling started)</w:t>
      </w:r>
      <w:r w:rsidRPr="005E0EE2">
        <w:rPr>
          <w:sz w:val="24"/>
          <w:lang w:val="en-US"/>
        </w:rPr>
        <w:t>.</w:t>
      </w:r>
      <w:r>
        <w:rPr>
          <w:sz w:val="24"/>
          <w:lang w:val="en-US"/>
        </w:rPr>
        <w:t xml:space="preserve"> Animals were accustomed to the future strawberry milk reward (Müller®, G</w:t>
      </w:r>
      <w:r w:rsidR="00697C9B">
        <w:rPr>
          <w:sz w:val="24"/>
          <w:lang w:val="en-US"/>
        </w:rPr>
        <w:t xml:space="preserve">; nutritional values closely matching </w:t>
      </w:r>
      <w:r w:rsidR="00697C9B">
        <w:rPr>
          <w:sz w:val="24"/>
          <w:szCs w:val="24"/>
          <w:lang w:val="en-US"/>
        </w:rPr>
        <w:t>Yazoo® strawberry milk</w:t>
      </w:r>
      <w:r w:rsidR="00697C9B" w:rsidRPr="001A65CF">
        <w:rPr>
          <w:sz w:val="24"/>
          <w:szCs w:val="24"/>
          <w:lang w:val="en-US"/>
        </w:rPr>
        <w:t>shake</w:t>
      </w:r>
      <w:r w:rsidR="00697C9B">
        <w:rPr>
          <w:sz w:val="24"/>
          <w:szCs w:val="24"/>
          <w:lang w:val="en-US"/>
        </w:rPr>
        <w:t xml:space="preserve"> often used for the 5-CSRTT</w:t>
      </w:r>
      <w:r>
        <w:rPr>
          <w:sz w:val="24"/>
          <w:lang w:val="en-US"/>
        </w:rPr>
        <w:t xml:space="preserve">) by providing it 2-3 times in their home cages before food-removal. </w:t>
      </w:r>
    </w:p>
    <w:p w:rsidR="005E0EE2" w:rsidRPr="005E0EE2" w:rsidRDefault="005E0EE2" w:rsidP="005E0EE2">
      <w:pPr>
        <w:spacing w:line="360" w:lineRule="auto"/>
        <w:rPr>
          <w:sz w:val="24"/>
          <w:lang w:val="en-US"/>
        </w:rPr>
      </w:pPr>
      <w:r>
        <w:rPr>
          <w:sz w:val="24"/>
          <w:lang w:val="en-US"/>
        </w:rPr>
        <w:t>On the first 1-2 d after food-removal, animals were put in the operant boxes to accustom them to this new environment</w:t>
      </w:r>
      <w:r w:rsidR="00255568">
        <w:rPr>
          <w:sz w:val="24"/>
          <w:lang w:val="en-US"/>
        </w:rPr>
        <w:t xml:space="preserve"> (Med Associates Inc., US; </w:t>
      </w:r>
      <w:r w:rsidR="00255568">
        <w:rPr>
          <w:lang w:val="en-GB"/>
        </w:rPr>
        <w:t>ENV-307A-CT chambers incl. ENV-307A-GF stainless steel grid floor, with ENV-115C 5-choice wall on one side and ENV-303RMW dual pellet/liquid receptacle with 18ga pipe, ENV-303HDW Head entry detector and EN</w:t>
      </w:r>
      <w:r w:rsidR="00EC4F78">
        <w:rPr>
          <w:lang w:val="en-GB"/>
        </w:rPr>
        <w:t>V-302RL-1 receptacle light cent</w:t>
      </w:r>
      <w:r w:rsidR="00255568">
        <w:rPr>
          <w:lang w:val="en-GB"/>
        </w:rPr>
        <w:t>red on the opposite wall; the reward was provided by a PHM-100A syringe pump).</w:t>
      </w:r>
      <w:r>
        <w:rPr>
          <w:sz w:val="24"/>
          <w:lang w:val="en-US"/>
        </w:rPr>
        <w:t xml:space="preserve"> </w:t>
      </w:r>
      <w:r w:rsidRPr="001A65CF">
        <w:rPr>
          <w:sz w:val="24"/>
          <w:szCs w:val="24"/>
          <w:lang w:val="en-US"/>
        </w:rPr>
        <w:t>Doors were closed,</w:t>
      </w:r>
      <w:r>
        <w:rPr>
          <w:sz w:val="24"/>
          <w:szCs w:val="24"/>
          <w:lang w:val="en-US"/>
        </w:rPr>
        <w:t xml:space="preserve"> the</w:t>
      </w:r>
      <w:r w:rsidRPr="001A65CF">
        <w:rPr>
          <w:sz w:val="24"/>
          <w:szCs w:val="24"/>
          <w:lang w:val="en-US"/>
        </w:rPr>
        <w:t xml:space="preserve"> fan and receptacle light turned on, the house light was set into the state which </w:t>
      </w:r>
      <w:r>
        <w:rPr>
          <w:sz w:val="24"/>
          <w:szCs w:val="24"/>
          <w:lang w:val="en-US"/>
        </w:rPr>
        <w:t>was to be</w:t>
      </w:r>
      <w:r w:rsidRPr="001A65CF">
        <w:rPr>
          <w:sz w:val="24"/>
          <w:szCs w:val="24"/>
          <w:lang w:val="en-US"/>
        </w:rPr>
        <w:t xml:space="preserve"> used during later training</w:t>
      </w:r>
      <w:r>
        <w:rPr>
          <w:sz w:val="24"/>
          <w:szCs w:val="24"/>
          <w:lang w:val="en-US"/>
        </w:rPr>
        <w:t xml:space="preserve"> stages</w:t>
      </w:r>
      <w:r w:rsidR="00345BE4">
        <w:rPr>
          <w:sz w:val="24"/>
          <w:szCs w:val="24"/>
          <w:lang w:val="en-US"/>
        </w:rPr>
        <w:t xml:space="preserve"> (</w:t>
      </w:r>
      <w:r w:rsidR="00345BE4" w:rsidRPr="00345BE4">
        <w:rPr>
          <w:i/>
          <w:sz w:val="24"/>
          <w:szCs w:val="24"/>
          <w:lang w:val="en-US"/>
        </w:rPr>
        <w:t>dark</w:t>
      </w:r>
      <w:r w:rsidR="00345BE4">
        <w:rPr>
          <w:sz w:val="24"/>
          <w:szCs w:val="24"/>
          <w:lang w:val="en-US"/>
        </w:rPr>
        <w:t xml:space="preserve"> or </w:t>
      </w:r>
      <w:r w:rsidR="00345BE4" w:rsidRPr="00345BE4">
        <w:rPr>
          <w:i/>
          <w:sz w:val="24"/>
          <w:szCs w:val="24"/>
          <w:lang w:val="en-US"/>
        </w:rPr>
        <w:t>light</w:t>
      </w:r>
      <w:r w:rsidR="00345BE4">
        <w:rPr>
          <w:sz w:val="24"/>
          <w:szCs w:val="24"/>
          <w:lang w:val="en-US"/>
        </w:rPr>
        <w:t xml:space="preserve"> protocol)</w:t>
      </w:r>
      <w:r>
        <w:rPr>
          <w:sz w:val="24"/>
          <w:szCs w:val="24"/>
          <w:lang w:val="en-US"/>
        </w:rPr>
        <w:t>,</w:t>
      </w:r>
      <w:r w:rsidRPr="001A65CF">
        <w:rPr>
          <w:sz w:val="24"/>
          <w:szCs w:val="24"/>
          <w:lang w:val="en-US"/>
        </w:rPr>
        <w:t xml:space="preserve"> and the </w:t>
      </w:r>
      <w:r>
        <w:rPr>
          <w:sz w:val="24"/>
          <w:szCs w:val="24"/>
          <w:lang w:val="en-US"/>
        </w:rPr>
        <w:t>reward</w:t>
      </w:r>
      <w:r w:rsidRPr="001A65CF">
        <w:rPr>
          <w:sz w:val="24"/>
          <w:szCs w:val="24"/>
          <w:lang w:val="en-US"/>
        </w:rPr>
        <w:t xml:space="preserve"> receptacle was </w:t>
      </w:r>
      <w:r w:rsidR="00EC4F78">
        <w:rPr>
          <w:sz w:val="24"/>
          <w:szCs w:val="24"/>
          <w:lang w:val="en-US"/>
        </w:rPr>
        <w:t xml:space="preserve">illuminated and </w:t>
      </w:r>
      <w:r w:rsidRPr="001A65CF">
        <w:rPr>
          <w:sz w:val="24"/>
          <w:szCs w:val="24"/>
          <w:lang w:val="en-US"/>
        </w:rPr>
        <w:t>filled with strawber</w:t>
      </w:r>
      <w:r>
        <w:rPr>
          <w:sz w:val="24"/>
          <w:szCs w:val="24"/>
          <w:lang w:val="en-US"/>
        </w:rPr>
        <w:t>ry milk. The mice were allowed 10 </w:t>
      </w:r>
      <w:r w:rsidRPr="001A65CF">
        <w:rPr>
          <w:sz w:val="24"/>
          <w:szCs w:val="24"/>
          <w:lang w:val="en-US"/>
        </w:rPr>
        <w:t xml:space="preserve">min to drink the milk. The receptacle was refilled, if emptied within </w:t>
      </w:r>
      <w:r w:rsidR="00345BE4">
        <w:rPr>
          <w:sz w:val="24"/>
          <w:szCs w:val="24"/>
          <w:lang w:val="en-US"/>
        </w:rPr>
        <w:t>this time</w:t>
      </w:r>
      <w:r w:rsidRPr="001A65CF">
        <w:rPr>
          <w:sz w:val="24"/>
          <w:szCs w:val="24"/>
          <w:lang w:val="en-US"/>
        </w:rPr>
        <w:t>. If mice did not drink in the first session, this procedure was repeated once on the same day. If mice did not drink on the first day at all, the described procedure was repeated on the following day.</w:t>
      </w:r>
      <w:r w:rsidR="00345BE4">
        <w:rPr>
          <w:sz w:val="24"/>
          <w:szCs w:val="24"/>
          <w:lang w:val="en-US"/>
        </w:rPr>
        <w:t xml:space="preserve"> Mice were only advanced to the next stage, if they consumed the milk reward inside the box.</w:t>
      </w:r>
      <w:r w:rsidRPr="001A65CF">
        <w:rPr>
          <w:sz w:val="24"/>
          <w:szCs w:val="24"/>
          <w:lang w:val="en-US"/>
        </w:rPr>
        <w:t xml:space="preserve"> </w:t>
      </w:r>
    </w:p>
    <w:p w:rsidR="005E0EE2" w:rsidRDefault="00345BE4" w:rsidP="005E0EE2">
      <w:pPr>
        <w:spacing w:line="360" w:lineRule="auto"/>
        <w:rPr>
          <w:sz w:val="24"/>
          <w:szCs w:val="24"/>
          <w:lang w:val="en-US"/>
        </w:rPr>
      </w:pPr>
      <w:r>
        <w:rPr>
          <w:sz w:val="24"/>
          <w:szCs w:val="24"/>
          <w:lang w:val="en-US"/>
        </w:rPr>
        <w:t>Next</w:t>
      </w:r>
      <w:r w:rsidR="00EC4F78">
        <w:rPr>
          <w:sz w:val="24"/>
          <w:szCs w:val="24"/>
          <w:lang w:val="en-US"/>
        </w:rPr>
        <w:t>,</w:t>
      </w:r>
      <w:r>
        <w:rPr>
          <w:sz w:val="24"/>
          <w:szCs w:val="24"/>
          <w:lang w:val="en-US"/>
        </w:rPr>
        <w:t xml:space="preserve"> mice were trained in the basic operant cycle of poking holes in the 5-choice wall in order to obtain a milk reward. T</w:t>
      </w:r>
      <w:r w:rsidR="005E0EE2" w:rsidRPr="001A65CF">
        <w:rPr>
          <w:sz w:val="24"/>
          <w:szCs w:val="24"/>
          <w:lang w:val="en-US"/>
        </w:rPr>
        <w:t>he fan was turned on</w:t>
      </w:r>
      <w:r>
        <w:rPr>
          <w:sz w:val="24"/>
          <w:szCs w:val="24"/>
          <w:lang w:val="en-US"/>
        </w:rPr>
        <w:t xml:space="preserve"> throughout,</w:t>
      </w:r>
      <w:r w:rsidR="005E0EE2" w:rsidRPr="001A65CF">
        <w:rPr>
          <w:sz w:val="24"/>
          <w:szCs w:val="24"/>
          <w:lang w:val="en-US"/>
        </w:rPr>
        <w:t xml:space="preserve"> the house light was set into the state which </w:t>
      </w:r>
      <w:r w:rsidR="005E0EE2">
        <w:rPr>
          <w:sz w:val="24"/>
          <w:szCs w:val="24"/>
          <w:lang w:val="en-US"/>
        </w:rPr>
        <w:t>was to be</w:t>
      </w:r>
      <w:r w:rsidR="005E0EE2" w:rsidRPr="001A65CF">
        <w:rPr>
          <w:sz w:val="24"/>
          <w:szCs w:val="24"/>
          <w:lang w:val="en-US"/>
        </w:rPr>
        <w:t xml:space="preserve"> used during later training</w:t>
      </w:r>
      <w:r w:rsidR="005E0EE2">
        <w:rPr>
          <w:sz w:val="24"/>
          <w:szCs w:val="24"/>
          <w:lang w:val="en-US"/>
        </w:rPr>
        <w:t xml:space="preserve"> stages</w:t>
      </w:r>
      <w:r>
        <w:rPr>
          <w:sz w:val="24"/>
          <w:szCs w:val="24"/>
          <w:lang w:val="en-US"/>
        </w:rPr>
        <w:t xml:space="preserve"> (</w:t>
      </w:r>
      <w:r w:rsidRPr="00345BE4">
        <w:rPr>
          <w:i/>
          <w:sz w:val="24"/>
          <w:szCs w:val="24"/>
          <w:lang w:val="en-US"/>
        </w:rPr>
        <w:t>dark</w:t>
      </w:r>
      <w:r>
        <w:rPr>
          <w:sz w:val="24"/>
          <w:szCs w:val="24"/>
          <w:lang w:val="en-US"/>
        </w:rPr>
        <w:t xml:space="preserve"> or </w:t>
      </w:r>
      <w:r w:rsidRPr="00345BE4">
        <w:rPr>
          <w:i/>
          <w:sz w:val="24"/>
          <w:szCs w:val="24"/>
          <w:lang w:val="en-US"/>
        </w:rPr>
        <w:t>light</w:t>
      </w:r>
      <w:r>
        <w:rPr>
          <w:sz w:val="24"/>
          <w:szCs w:val="24"/>
          <w:lang w:val="en-US"/>
        </w:rPr>
        <w:t xml:space="preserve"> protocol) and</w:t>
      </w:r>
      <w:r w:rsidR="005E0EE2" w:rsidRPr="001A65CF">
        <w:rPr>
          <w:sz w:val="24"/>
          <w:szCs w:val="24"/>
          <w:lang w:val="en-US"/>
        </w:rPr>
        <w:t xml:space="preserve"> all five holes were illuminated</w:t>
      </w:r>
      <w:r>
        <w:rPr>
          <w:sz w:val="24"/>
          <w:szCs w:val="24"/>
          <w:lang w:val="en-US"/>
        </w:rPr>
        <w:t xml:space="preserve"> initially</w:t>
      </w:r>
      <w:r w:rsidR="005E0EE2" w:rsidRPr="001A65CF">
        <w:rPr>
          <w:sz w:val="24"/>
          <w:szCs w:val="24"/>
          <w:lang w:val="en-US"/>
        </w:rPr>
        <w:t>. When a poke into one of the holes</w:t>
      </w:r>
      <w:r>
        <w:rPr>
          <w:sz w:val="24"/>
          <w:szCs w:val="24"/>
          <w:lang w:val="en-US"/>
        </w:rPr>
        <w:t xml:space="preserve"> on the 5-choice wall</w:t>
      </w:r>
      <w:r w:rsidR="005E0EE2" w:rsidRPr="001A65CF">
        <w:rPr>
          <w:sz w:val="24"/>
          <w:szCs w:val="24"/>
          <w:lang w:val="en-US"/>
        </w:rPr>
        <w:t xml:space="preserve"> </w:t>
      </w:r>
      <w:r w:rsidR="005E0EE2">
        <w:rPr>
          <w:sz w:val="24"/>
          <w:szCs w:val="24"/>
          <w:lang w:val="en-US"/>
        </w:rPr>
        <w:t>was</w:t>
      </w:r>
      <w:r w:rsidR="005E0EE2" w:rsidRPr="001A65CF">
        <w:rPr>
          <w:sz w:val="24"/>
          <w:szCs w:val="24"/>
          <w:lang w:val="en-US"/>
        </w:rPr>
        <w:t xml:space="preserve"> registered, hole lights turn</w:t>
      </w:r>
      <w:r w:rsidR="005E0EE2">
        <w:rPr>
          <w:sz w:val="24"/>
          <w:szCs w:val="24"/>
          <w:lang w:val="en-US"/>
        </w:rPr>
        <w:t>ed</w:t>
      </w:r>
      <w:r w:rsidR="005E0EE2" w:rsidRPr="001A65CF">
        <w:rPr>
          <w:sz w:val="24"/>
          <w:szCs w:val="24"/>
          <w:lang w:val="en-US"/>
        </w:rPr>
        <w:t xml:space="preserve"> off, a 20</w:t>
      </w:r>
      <w:r>
        <w:rPr>
          <w:sz w:val="24"/>
          <w:szCs w:val="24"/>
          <w:lang w:val="en-US"/>
        </w:rPr>
        <w:t> </w:t>
      </w:r>
      <w:r w:rsidR="005E0EE2" w:rsidRPr="001A65CF">
        <w:rPr>
          <w:sz w:val="24"/>
          <w:szCs w:val="24"/>
          <w:lang w:val="en-US"/>
        </w:rPr>
        <w:t>µl reward was provided in the receptacle and the receptacle light was turned on</w:t>
      </w:r>
      <w:r>
        <w:rPr>
          <w:sz w:val="24"/>
          <w:szCs w:val="24"/>
          <w:lang w:val="en-US"/>
        </w:rPr>
        <w:t>, simultaneously</w:t>
      </w:r>
      <w:r w:rsidR="005E0EE2" w:rsidRPr="001A65CF">
        <w:rPr>
          <w:sz w:val="24"/>
          <w:szCs w:val="24"/>
          <w:lang w:val="en-US"/>
        </w:rPr>
        <w:t xml:space="preserve">. </w:t>
      </w:r>
      <w:r w:rsidR="00EC4F78">
        <w:rPr>
          <w:sz w:val="24"/>
          <w:szCs w:val="24"/>
          <w:lang w:val="en-US"/>
        </w:rPr>
        <w:t>2 s</w:t>
      </w:r>
      <w:r w:rsidR="005E0EE2" w:rsidRPr="001A65CF">
        <w:rPr>
          <w:sz w:val="24"/>
          <w:szCs w:val="24"/>
          <w:lang w:val="en-US"/>
        </w:rPr>
        <w:t xml:space="preserve"> after the mouse entered the receptacle to </w:t>
      </w:r>
      <w:r>
        <w:rPr>
          <w:sz w:val="24"/>
          <w:szCs w:val="24"/>
          <w:lang w:val="en-US"/>
        </w:rPr>
        <w:t>obtain</w:t>
      </w:r>
      <w:r w:rsidR="005E0EE2" w:rsidRPr="001A65CF">
        <w:rPr>
          <w:sz w:val="24"/>
          <w:szCs w:val="24"/>
          <w:lang w:val="en-US"/>
        </w:rPr>
        <w:t xml:space="preserve"> </w:t>
      </w:r>
      <w:r>
        <w:rPr>
          <w:sz w:val="24"/>
          <w:szCs w:val="24"/>
          <w:lang w:val="en-US"/>
        </w:rPr>
        <w:t>the</w:t>
      </w:r>
      <w:r w:rsidR="005E0EE2" w:rsidRPr="001A65CF">
        <w:rPr>
          <w:sz w:val="24"/>
          <w:szCs w:val="24"/>
          <w:lang w:val="en-US"/>
        </w:rPr>
        <w:t xml:space="preserve"> reward, the receptacle light was turned off again, signaling the mouse that the time to drink is over and a new trial starts</w:t>
      </w:r>
      <w:r>
        <w:rPr>
          <w:sz w:val="24"/>
          <w:szCs w:val="24"/>
          <w:lang w:val="en-US"/>
        </w:rPr>
        <w:t>, i.e. all lights of the 5-choice wall were illuminated again</w:t>
      </w:r>
      <w:r w:rsidR="005E0EE2" w:rsidRPr="001A65CF">
        <w:rPr>
          <w:sz w:val="24"/>
          <w:szCs w:val="24"/>
          <w:lang w:val="en-US"/>
        </w:rPr>
        <w:t xml:space="preserve">. </w:t>
      </w:r>
      <w:r>
        <w:rPr>
          <w:sz w:val="24"/>
          <w:szCs w:val="24"/>
          <w:lang w:val="en-US"/>
        </w:rPr>
        <w:t>The time period for which the 5-choice-wal</w:t>
      </w:r>
      <w:r w:rsidR="00EC4F78">
        <w:rPr>
          <w:sz w:val="24"/>
          <w:szCs w:val="24"/>
          <w:lang w:val="en-US"/>
        </w:rPr>
        <w:t>l lights remained illuminated (</w:t>
      </w:r>
      <w:r>
        <w:rPr>
          <w:sz w:val="24"/>
          <w:szCs w:val="24"/>
          <w:lang w:val="en-US"/>
        </w:rPr>
        <w:t>stimulus duration, SD) was unlimited. The number of pokes into illuminated holes (equal to the number of earned rewards)</w:t>
      </w:r>
      <w:r w:rsidR="00255568">
        <w:rPr>
          <w:sz w:val="24"/>
          <w:szCs w:val="24"/>
          <w:lang w:val="en-US"/>
        </w:rPr>
        <w:t xml:space="preserve"> was recorded and needed </w:t>
      </w:r>
      <w:r w:rsidR="00EC4F78">
        <w:rPr>
          <w:sz w:val="24"/>
          <w:szCs w:val="24"/>
          <w:lang w:val="en-US"/>
        </w:rPr>
        <w:t xml:space="preserve">to </w:t>
      </w:r>
      <w:r w:rsidR="00255568">
        <w:rPr>
          <w:sz w:val="24"/>
          <w:szCs w:val="24"/>
          <w:lang w:val="en-US"/>
        </w:rPr>
        <w:t>be</w:t>
      </w:r>
      <w:r w:rsidR="005E0EE2" w:rsidRPr="001A65CF">
        <w:rPr>
          <w:sz w:val="24"/>
          <w:szCs w:val="24"/>
          <w:lang w:val="en-US"/>
        </w:rPr>
        <w:t xml:space="preserve"> at least 40 on three consecutive days</w:t>
      </w:r>
      <w:r w:rsidR="00255568">
        <w:rPr>
          <w:sz w:val="24"/>
          <w:szCs w:val="24"/>
          <w:lang w:val="en-US"/>
        </w:rPr>
        <w:t xml:space="preserve"> before</w:t>
      </w:r>
      <w:r w:rsidR="005E0EE2" w:rsidRPr="001A65CF">
        <w:rPr>
          <w:sz w:val="24"/>
          <w:szCs w:val="24"/>
          <w:lang w:val="en-US"/>
        </w:rPr>
        <w:t xml:space="preserve"> the actual working memory training was started in </w:t>
      </w:r>
      <w:r w:rsidR="00EC4F78">
        <w:rPr>
          <w:sz w:val="24"/>
          <w:szCs w:val="24"/>
          <w:lang w:val="en-US"/>
        </w:rPr>
        <w:t>s</w:t>
      </w:r>
      <w:r w:rsidR="005E0EE2" w:rsidRPr="001A65CF">
        <w:rPr>
          <w:sz w:val="24"/>
          <w:szCs w:val="24"/>
          <w:lang w:val="en-US"/>
        </w:rPr>
        <w:t>tage 1on the next day</w:t>
      </w:r>
      <w:r w:rsidR="00255568">
        <w:rPr>
          <w:sz w:val="24"/>
          <w:szCs w:val="24"/>
          <w:lang w:val="en-US"/>
        </w:rPr>
        <w:t xml:space="preserve"> (see Figure 1D for the stages of the task)</w:t>
      </w:r>
      <w:r w:rsidR="005E0EE2">
        <w:rPr>
          <w:sz w:val="24"/>
          <w:szCs w:val="24"/>
          <w:lang w:val="en-US"/>
        </w:rPr>
        <w:t>.</w:t>
      </w:r>
      <w:r w:rsidR="005E0EE2" w:rsidRPr="001A65CF">
        <w:rPr>
          <w:sz w:val="24"/>
          <w:szCs w:val="24"/>
          <w:lang w:val="en-US"/>
        </w:rPr>
        <w:t xml:space="preserve"> </w:t>
      </w:r>
    </w:p>
    <w:p w:rsidR="005E0EE2" w:rsidRPr="005E0EE2" w:rsidRDefault="005E0EE2" w:rsidP="001B269E">
      <w:pPr>
        <w:spacing w:line="360" w:lineRule="auto"/>
        <w:rPr>
          <w:sz w:val="28"/>
          <w:szCs w:val="24"/>
          <w:lang w:val="en-US"/>
        </w:rPr>
      </w:pPr>
    </w:p>
    <w:p w:rsidR="001B269E" w:rsidRPr="00255568" w:rsidRDefault="002A5D7F" w:rsidP="00255568">
      <w:pPr>
        <w:pStyle w:val="Heading3"/>
        <w:rPr>
          <w:lang w:val="en-GB"/>
        </w:rPr>
      </w:pPr>
      <w:r>
        <w:rPr>
          <w:lang w:val="en-GB"/>
        </w:rPr>
        <w:t>5-CSWM</w:t>
      </w:r>
      <w:r w:rsidR="00255568" w:rsidRPr="00255568">
        <w:rPr>
          <w:lang w:val="en-GB"/>
        </w:rPr>
        <w:t xml:space="preserve"> task design</w:t>
      </w:r>
    </w:p>
    <w:p w:rsidR="00697C9B" w:rsidRDefault="001B269E" w:rsidP="00697C9B">
      <w:pPr>
        <w:spacing w:line="360" w:lineRule="auto"/>
        <w:rPr>
          <w:sz w:val="24"/>
          <w:szCs w:val="24"/>
          <w:lang w:val="en-US"/>
        </w:rPr>
      </w:pPr>
      <w:r w:rsidRPr="001A65CF">
        <w:rPr>
          <w:sz w:val="24"/>
          <w:szCs w:val="24"/>
          <w:lang w:val="en-US"/>
        </w:rPr>
        <w:t xml:space="preserve">One complete trial </w:t>
      </w:r>
      <w:r w:rsidR="002A5D7F">
        <w:rPr>
          <w:sz w:val="24"/>
          <w:szCs w:val="24"/>
          <w:lang w:val="en-US"/>
        </w:rPr>
        <w:t>of the 5-choice</w:t>
      </w:r>
      <w:r w:rsidR="00EC4F78">
        <w:rPr>
          <w:sz w:val="24"/>
          <w:szCs w:val="24"/>
          <w:lang w:val="en-US"/>
        </w:rPr>
        <w:t>-</w:t>
      </w:r>
      <w:r w:rsidR="002A5D7F">
        <w:rPr>
          <w:sz w:val="24"/>
          <w:szCs w:val="24"/>
          <w:lang w:val="en-US"/>
        </w:rPr>
        <w:t xml:space="preserve">based operant spatial working memory task (5-CSWM) </w:t>
      </w:r>
      <w:r w:rsidRPr="001A65CF">
        <w:rPr>
          <w:sz w:val="24"/>
          <w:szCs w:val="24"/>
          <w:lang w:val="en-US"/>
        </w:rPr>
        <w:t>consist</w:t>
      </w:r>
      <w:r>
        <w:rPr>
          <w:sz w:val="24"/>
          <w:szCs w:val="24"/>
          <w:lang w:val="en-US"/>
        </w:rPr>
        <w:t>ed</w:t>
      </w:r>
      <w:r w:rsidRPr="001A65CF">
        <w:rPr>
          <w:sz w:val="24"/>
          <w:szCs w:val="24"/>
          <w:lang w:val="en-US"/>
        </w:rPr>
        <w:t xml:space="preserve"> of two phases</w:t>
      </w:r>
      <w:r w:rsidR="00255568">
        <w:rPr>
          <w:sz w:val="24"/>
          <w:szCs w:val="24"/>
          <w:lang w:val="en-US"/>
        </w:rPr>
        <w:t xml:space="preserve"> (see Figure 1C):</w:t>
      </w:r>
      <w:r w:rsidRPr="001A65CF">
        <w:rPr>
          <w:sz w:val="24"/>
          <w:szCs w:val="24"/>
          <w:lang w:val="en-US"/>
        </w:rPr>
        <w:t xml:space="preserve"> In the </w:t>
      </w:r>
      <w:r w:rsidRPr="00AB475A">
        <w:rPr>
          <w:b/>
          <w:sz w:val="24"/>
          <w:szCs w:val="24"/>
          <w:lang w:val="en-US"/>
        </w:rPr>
        <w:t>sample phase</w:t>
      </w:r>
      <w:r w:rsidR="00255568">
        <w:rPr>
          <w:sz w:val="24"/>
          <w:szCs w:val="24"/>
          <w:lang w:val="en-US"/>
        </w:rPr>
        <w:t xml:space="preserve"> (SP)</w:t>
      </w:r>
      <w:r w:rsidRPr="001A65CF">
        <w:rPr>
          <w:sz w:val="24"/>
          <w:szCs w:val="24"/>
          <w:lang w:val="en-US"/>
        </w:rPr>
        <w:t xml:space="preserve"> one random hole </w:t>
      </w:r>
      <w:r w:rsidR="00255568">
        <w:rPr>
          <w:sz w:val="24"/>
          <w:szCs w:val="24"/>
          <w:lang w:val="en-US"/>
        </w:rPr>
        <w:t>of</w:t>
      </w:r>
      <w:r w:rsidRPr="001A65CF">
        <w:rPr>
          <w:sz w:val="24"/>
          <w:szCs w:val="24"/>
          <w:lang w:val="en-US"/>
        </w:rPr>
        <w:t xml:space="preserve"> the 5-choice wall </w:t>
      </w:r>
      <w:r>
        <w:rPr>
          <w:sz w:val="24"/>
          <w:szCs w:val="24"/>
          <w:lang w:val="en-US"/>
        </w:rPr>
        <w:t>was</w:t>
      </w:r>
      <w:r w:rsidRPr="001A65CF">
        <w:rPr>
          <w:sz w:val="24"/>
          <w:szCs w:val="24"/>
          <w:lang w:val="en-US"/>
        </w:rPr>
        <w:t xml:space="preserve"> illuminated for a given amount of time (stimulus duration, SD</w:t>
      </w:r>
      <w:r w:rsidR="004F39DD">
        <w:rPr>
          <w:sz w:val="24"/>
          <w:szCs w:val="24"/>
          <w:lang w:val="en-US"/>
        </w:rPr>
        <w:t>; see below</w:t>
      </w:r>
      <w:r w:rsidRPr="001A65CF">
        <w:rPr>
          <w:sz w:val="24"/>
          <w:szCs w:val="24"/>
          <w:lang w:val="en-US"/>
        </w:rPr>
        <w:t>). To complete the sample trial, the mouse ha</w:t>
      </w:r>
      <w:r>
        <w:rPr>
          <w:sz w:val="24"/>
          <w:szCs w:val="24"/>
          <w:lang w:val="en-US"/>
        </w:rPr>
        <w:t>d</w:t>
      </w:r>
      <w:r w:rsidRPr="001A65CF">
        <w:rPr>
          <w:sz w:val="24"/>
          <w:szCs w:val="24"/>
          <w:lang w:val="en-US"/>
        </w:rPr>
        <w:t xml:space="preserve"> to poke into this sample hole</w:t>
      </w:r>
      <w:r>
        <w:rPr>
          <w:sz w:val="24"/>
          <w:szCs w:val="24"/>
          <w:lang w:val="en-US"/>
        </w:rPr>
        <w:t xml:space="preserve"> within a given time period (limited hold, LH) which included the SD but exceeded it by 2 s</w:t>
      </w:r>
      <w:r w:rsidRPr="001A65CF">
        <w:rPr>
          <w:sz w:val="24"/>
          <w:szCs w:val="24"/>
          <w:lang w:val="en-US"/>
        </w:rPr>
        <w:t>. If</w:t>
      </w:r>
      <w:r w:rsidR="00CC04D3">
        <w:rPr>
          <w:sz w:val="24"/>
          <w:szCs w:val="24"/>
          <w:lang w:val="en-US"/>
        </w:rPr>
        <w:t>,</w:t>
      </w:r>
      <w:r w:rsidRPr="001A65CF">
        <w:rPr>
          <w:sz w:val="24"/>
          <w:szCs w:val="24"/>
          <w:lang w:val="en-US"/>
        </w:rPr>
        <w:t xml:space="preserve"> in a given time period</w:t>
      </w:r>
      <w:r w:rsidR="00CC04D3">
        <w:rPr>
          <w:sz w:val="24"/>
          <w:szCs w:val="24"/>
          <w:lang w:val="en-US"/>
        </w:rPr>
        <w:t>,</w:t>
      </w:r>
      <w:r w:rsidRPr="001A65CF">
        <w:rPr>
          <w:sz w:val="24"/>
          <w:szCs w:val="24"/>
          <w:lang w:val="en-US"/>
        </w:rPr>
        <w:t xml:space="preserve"> no</w:t>
      </w:r>
      <w:r>
        <w:rPr>
          <w:sz w:val="24"/>
          <w:szCs w:val="24"/>
          <w:lang w:val="en-US"/>
        </w:rPr>
        <w:t xml:space="preserve"> poke</w:t>
      </w:r>
      <w:r w:rsidR="00CC04D3">
        <w:rPr>
          <w:sz w:val="24"/>
          <w:szCs w:val="24"/>
          <w:lang w:val="en-US"/>
        </w:rPr>
        <w:t xml:space="preserve"> (omission)</w:t>
      </w:r>
      <w:r w:rsidRPr="001A65CF">
        <w:rPr>
          <w:sz w:val="24"/>
          <w:szCs w:val="24"/>
          <w:lang w:val="en-US"/>
        </w:rPr>
        <w:t xml:space="preserve"> or a</w:t>
      </w:r>
      <w:r>
        <w:rPr>
          <w:sz w:val="24"/>
          <w:szCs w:val="24"/>
          <w:lang w:val="en-US"/>
        </w:rPr>
        <w:t>n incorrect</w:t>
      </w:r>
      <w:r w:rsidRPr="001A65CF">
        <w:rPr>
          <w:sz w:val="24"/>
          <w:szCs w:val="24"/>
          <w:lang w:val="en-US"/>
        </w:rPr>
        <w:t xml:space="preserve"> poke</w:t>
      </w:r>
      <w:r>
        <w:rPr>
          <w:sz w:val="24"/>
          <w:szCs w:val="24"/>
          <w:lang w:val="en-US"/>
        </w:rPr>
        <w:t xml:space="preserve"> (into a non-illuminated hole)</w:t>
      </w:r>
      <w:r w:rsidRPr="001A65CF">
        <w:rPr>
          <w:sz w:val="24"/>
          <w:szCs w:val="24"/>
          <w:lang w:val="en-US"/>
        </w:rPr>
        <w:t xml:space="preserve"> </w:t>
      </w:r>
      <w:r>
        <w:rPr>
          <w:sz w:val="24"/>
          <w:szCs w:val="24"/>
          <w:lang w:val="en-US"/>
        </w:rPr>
        <w:t>was</w:t>
      </w:r>
      <w:r w:rsidRPr="001A65CF">
        <w:rPr>
          <w:sz w:val="24"/>
          <w:szCs w:val="24"/>
          <w:lang w:val="en-US"/>
        </w:rPr>
        <w:t xml:space="preserve"> registered, the current trial </w:t>
      </w:r>
      <w:r>
        <w:rPr>
          <w:sz w:val="24"/>
          <w:szCs w:val="24"/>
          <w:lang w:val="en-US"/>
        </w:rPr>
        <w:t>was</w:t>
      </w:r>
      <w:r w:rsidRPr="001A65CF">
        <w:rPr>
          <w:sz w:val="24"/>
          <w:szCs w:val="24"/>
          <w:lang w:val="en-US"/>
        </w:rPr>
        <w:t xml:space="preserve"> stopped,</w:t>
      </w:r>
      <w:r w:rsidR="00CC04D3">
        <w:rPr>
          <w:sz w:val="24"/>
          <w:szCs w:val="24"/>
          <w:lang w:val="en-US"/>
        </w:rPr>
        <w:t xml:space="preserve"> </w:t>
      </w:r>
      <w:r w:rsidR="00CC04D3" w:rsidRPr="001A65CF">
        <w:rPr>
          <w:sz w:val="24"/>
          <w:szCs w:val="24"/>
          <w:lang w:val="en-US"/>
        </w:rPr>
        <w:t>a 5</w:t>
      </w:r>
      <w:r w:rsidR="00CC04D3">
        <w:rPr>
          <w:sz w:val="24"/>
          <w:szCs w:val="24"/>
          <w:lang w:val="en-US"/>
        </w:rPr>
        <w:t> s</w:t>
      </w:r>
      <w:r w:rsidR="00CC04D3" w:rsidRPr="001A65CF">
        <w:rPr>
          <w:sz w:val="24"/>
          <w:szCs w:val="24"/>
          <w:lang w:val="en-US"/>
        </w:rPr>
        <w:t xml:space="preserve"> time-out (“punishment”) period (alteration of regular house light state), </w:t>
      </w:r>
      <w:r w:rsidR="00CC04D3">
        <w:rPr>
          <w:sz w:val="24"/>
          <w:szCs w:val="24"/>
          <w:lang w:val="en-US"/>
        </w:rPr>
        <w:t xml:space="preserve">and the </w:t>
      </w:r>
      <w:r w:rsidR="00CC04D3" w:rsidRPr="001A65CF">
        <w:rPr>
          <w:sz w:val="24"/>
          <w:szCs w:val="24"/>
          <w:lang w:val="en-US"/>
        </w:rPr>
        <w:t>regular 15</w:t>
      </w:r>
      <w:r w:rsidR="00CC04D3">
        <w:rPr>
          <w:sz w:val="24"/>
          <w:szCs w:val="24"/>
          <w:lang w:val="en-US"/>
        </w:rPr>
        <w:t> s</w:t>
      </w:r>
      <w:r w:rsidR="00CC04D3" w:rsidRPr="001A65CF">
        <w:rPr>
          <w:sz w:val="24"/>
          <w:szCs w:val="24"/>
          <w:lang w:val="en-US"/>
        </w:rPr>
        <w:t xml:space="preserve"> inter-trial interval (ITI)</w:t>
      </w:r>
      <w:r w:rsidR="00CC04D3">
        <w:rPr>
          <w:sz w:val="24"/>
          <w:szCs w:val="24"/>
          <w:lang w:val="en-US"/>
        </w:rPr>
        <w:t xml:space="preserve"> followed,</w:t>
      </w:r>
      <w:r w:rsidR="00CC04D3" w:rsidRPr="001A65CF">
        <w:rPr>
          <w:sz w:val="24"/>
          <w:szCs w:val="24"/>
          <w:lang w:val="en-US"/>
        </w:rPr>
        <w:t xml:space="preserve"> </w:t>
      </w:r>
      <w:r w:rsidRPr="001A65CF">
        <w:rPr>
          <w:sz w:val="24"/>
          <w:szCs w:val="24"/>
          <w:lang w:val="en-US"/>
        </w:rPr>
        <w:t>and</w:t>
      </w:r>
      <w:r w:rsidR="00CC04D3">
        <w:rPr>
          <w:sz w:val="24"/>
          <w:szCs w:val="24"/>
          <w:lang w:val="en-US"/>
        </w:rPr>
        <w:t xml:space="preserve"> then</w:t>
      </w:r>
      <w:r w:rsidRPr="001A65CF">
        <w:rPr>
          <w:sz w:val="24"/>
          <w:szCs w:val="24"/>
          <w:lang w:val="en-US"/>
        </w:rPr>
        <w:t xml:space="preserve"> a new trial </w:t>
      </w:r>
      <w:r>
        <w:rPr>
          <w:sz w:val="24"/>
          <w:szCs w:val="24"/>
          <w:lang w:val="en-US"/>
        </w:rPr>
        <w:t>was</w:t>
      </w:r>
      <w:r w:rsidRPr="001A65CF">
        <w:rPr>
          <w:sz w:val="24"/>
          <w:szCs w:val="24"/>
          <w:lang w:val="en-US"/>
        </w:rPr>
        <w:t xml:space="preserve"> initiated.</w:t>
      </w:r>
      <w:r>
        <w:rPr>
          <w:sz w:val="24"/>
          <w:szCs w:val="24"/>
          <w:lang w:val="en-US"/>
        </w:rPr>
        <w:t xml:space="preserve"> </w:t>
      </w:r>
      <w:r w:rsidRPr="001A65CF">
        <w:rPr>
          <w:sz w:val="24"/>
          <w:szCs w:val="24"/>
          <w:lang w:val="en-US"/>
        </w:rPr>
        <w:t>After a correct poke, however, the</w:t>
      </w:r>
      <w:r w:rsidR="00CC04D3">
        <w:rPr>
          <w:sz w:val="24"/>
          <w:szCs w:val="24"/>
          <w:lang w:val="en-US"/>
        </w:rPr>
        <w:t xml:space="preserve"> receptacle light on the opposite wall was switched on to signal that the mouse had to approach that wall and poke into t</w:t>
      </w:r>
      <w:r w:rsidRPr="001A65CF">
        <w:rPr>
          <w:sz w:val="24"/>
          <w:szCs w:val="24"/>
          <w:lang w:val="en-US"/>
        </w:rPr>
        <w:t>he receptacle.</w:t>
      </w:r>
      <w:r w:rsidR="00CC04D3">
        <w:rPr>
          <w:sz w:val="24"/>
          <w:szCs w:val="24"/>
          <w:lang w:val="en-US"/>
        </w:rPr>
        <w:t xml:space="preserve"> In the initial stages (see Figure 1C), this response was incentivized by simultaneous delivery of a small milk reward (20 </w:t>
      </w:r>
      <w:r w:rsidR="00CC04D3">
        <w:rPr>
          <w:rFonts w:ascii="Symbol" w:hAnsi="Symbol"/>
          <w:sz w:val="24"/>
          <w:szCs w:val="24"/>
          <w:lang w:val="en-US"/>
        </w:rPr>
        <w:t></w:t>
      </w:r>
      <w:r w:rsidR="00CC04D3">
        <w:rPr>
          <w:sz w:val="24"/>
          <w:szCs w:val="24"/>
          <w:lang w:val="en-US"/>
        </w:rPr>
        <w:t>l or 10 </w:t>
      </w:r>
      <w:r w:rsidR="00CC04D3">
        <w:rPr>
          <w:rFonts w:ascii="Symbol" w:hAnsi="Symbol"/>
          <w:sz w:val="24"/>
          <w:szCs w:val="24"/>
          <w:lang w:val="en-US"/>
        </w:rPr>
        <w:t></w:t>
      </w:r>
      <w:r w:rsidR="00CC04D3">
        <w:rPr>
          <w:sz w:val="24"/>
          <w:szCs w:val="24"/>
          <w:lang w:val="en-US"/>
        </w:rPr>
        <w:t>l)</w:t>
      </w:r>
      <w:r w:rsidRPr="001A65CF">
        <w:rPr>
          <w:sz w:val="24"/>
          <w:szCs w:val="24"/>
          <w:lang w:val="en-US"/>
        </w:rPr>
        <w:t>. After activation of the receptacle break beam, the</w:t>
      </w:r>
      <w:r w:rsidR="003D68FF">
        <w:rPr>
          <w:sz w:val="24"/>
          <w:szCs w:val="24"/>
          <w:lang w:val="en-US"/>
        </w:rPr>
        <w:t xml:space="preserve"> </w:t>
      </w:r>
      <w:r w:rsidR="003D68FF" w:rsidRPr="003D68FF">
        <w:rPr>
          <w:b/>
          <w:sz w:val="24"/>
          <w:szCs w:val="24"/>
          <w:lang w:val="en-US"/>
        </w:rPr>
        <w:t>delay phase</w:t>
      </w:r>
      <w:r w:rsidR="003D68FF">
        <w:rPr>
          <w:sz w:val="24"/>
          <w:szCs w:val="24"/>
          <w:lang w:val="en-US"/>
        </w:rPr>
        <w:t xml:space="preserve"> was initiated (2 s during training; 12 or 22 s for delay challenges), which was immediately followed by the</w:t>
      </w:r>
      <w:r w:rsidRPr="001A65CF">
        <w:rPr>
          <w:sz w:val="24"/>
          <w:szCs w:val="24"/>
          <w:lang w:val="en-US"/>
        </w:rPr>
        <w:t xml:space="preserve"> choice phase</w:t>
      </w:r>
      <w:r w:rsidR="003D68FF">
        <w:rPr>
          <w:sz w:val="24"/>
          <w:szCs w:val="24"/>
          <w:lang w:val="en-US"/>
        </w:rPr>
        <w:t xml:space="preserve">. In the </w:t>
      </w:r>
      <w:r w:rsidR="003D68FF" w:rsidRPr="003D68FF">
        <w:rPr>
          <w:b/>
          <w:sz w:val="24"/>
          <w:szCs w:val="24"/>
          <w:lang w:val="en-US"/>
        </w:rPr>
        <w:t>choice phase</w:t>
      </w:r>
      <w:r w:rsidR="003D68FF">
        <w:rPr>
          <w:sz w:val="24"/>
          <w:szCs w:val="24"/>
          <w:lang w:val="en-US"/>
        </w:rPr>
        <w:t xml:space="preserve"> (CP)</w:t>
      </w:r>
      <w:r w:rsidRPr="001A65CF">
        <w:rPr>
          <w:sz w:val="24"/>
          <w:szCs w:val="24"/>
          <w:lang w:val="en-US"/>
        </w:rPr>
        <w:t xml:space="preserve"> the mouse is presented with two illuminated holes, one of them being the same as the one presented in the sample trial. To successfully complete the </w:t>
      </w:r>
      <w:r w:rsidRPr="00AB475A">
        <w:rPr>
          <w:b/>
          <w:sz w:val="24"/>
          <w:szCs w:val="24"/>
          <w:lang w:val="en-US"/>
        </w:rPr>
        <w:t>choice phase</w:t>
      </w:r>
      <w:r w:rsidRPr="001A65CF">
        <w:rPr>
          <w:sz w:val="24"/>
          <w:szCs w:val="24"/>
          <w:lang w:val="en-US"/>
        </w:rPr>
        <w:t>, the mouse ha</w:t>
      </w:r>
      <w:r>
        <w:rPr>
          <w:sz w:val="24"/>
          <w:szCs w:val="24"/>
          <w:lang w:val="en-US"/>
        </w:rPr>
        <w:t>d</w:t>
      </w:r>
      <w:r w:rsidRPr="001A65CF">
        <w:rPr>
          <w:sz w:val="24"/>
          <w:szCs w:val="24"/>
          <w:lang w:val="en-US"/>
        </w:rPr>
        <w:t xml:space="preserve"> to poke either into the </w:t>
      </w:r>
      <w:r w:rsidR="00DC06D4">
        <w:rPr>
          <w:sz w:val="24"/>
          <w:szCs w:val="24"/>
          <w:lang w:val="en-US"/>
        </w:rPr>
        <w:t>hole that was</w:t>
      </w:r>
      <w:r w:rsidRPr="001A65CF">
        <w:rPr>
          <w:sz w:val="24"/>
          <w:szCs w:val="24"/>
          <w:lang w:val="en-US"/>
        </w:rPr>
        <w:t xml:space="preserve"> already illuminated in the sample trial (DMTP paradigm) or into the other one (DNMTP). When choosi</w:t>
      </w:r>
      <w:r w:rsidR="003D68FF">
        <w:rPr>
          <w:sz w:val="24"/>
          <w:szCs w:val="24"/>
          <w:lang w:val="en-US"/>
        </w:rPr>
        <w:t xml:space="preserve">ng the correct hole, </w:t>
      </w:r>
      <w:r w:rsidR="007548E7">
        <w:rPr>
          <w:sz w:val="24"/>
          <w:szCs w:val="24"/>
          <w:lang w:val="en-US"/>
        </w:rPr>
        <w:t xml:space="preserve">the lights on the 5-choice wall were switched off, </w:t>
      </w:r>
      <w:r w:rsidR="003D68FF">
        <w:rPr>
          <w:sz w:val="24"/>
          <w:szCs w:val="24"/>
          <w:lang w:val="en-US"/>
        </w:rPr>
        <w:t>the receptacle light was illuminated</w:t>
      </w:r>
      <w:r w:rsidR="007548E7">
        <w:rPr>
          <w:sz w:val="24"/>
          <w:szCs w:val="24"/>
          <w:lang w:val="en-US"/>
        </w:rPr>
        <w:t>,</w:t>
      </w:r>
      <w:r w:rsidR="003D68FF">
        <w:rPr>
          <w:sz w:val="24"/>
          <w:szCs w:val="24"/>
          <w:lang w:val="en-US"/>
        </w:rPr>
        <w:t xml:space="preserve"> and a milk reward </w:t>
      </w:r>
      <w:r w:rsidRPr="001A65CF">
        <w:rPr>
          <w:sz w:val="24"/>
          <w:szCs w:val="24"/>
          <w:lang w:val="en-US"/>
        </w:rPr>
        <w:t>(</w:t>
      </w:r>
      <w:r w:rsidR="003D68FF">
        <w:rPr>
          <w:sz w:val="24"/>
          <w:szCs w:val="24"/>
          <w:lang w:val="en-US"/>
        </w:rPr>
        <w:t>60 </w:t>
      </w:r>
      <w:r w:rsidR="003D68FF">
        <w:rPr>
          <w:rFonts w:ascii="Symbol" w:hAnsi="Symbol"/>
          <w:sz w:val="24"/>
          <w:szCs w:val="24"/>
          <w:lang w:val="en-US"/>
        </w:rPr>
        <w:t></w:t>
      </w:r>
      <w:r w:rsidR="003D68FF">
        <w:rPr>
          <w:sz w:val="24"/>
          <w:szCs w:val="24"/>
          <w:lang w:val="en-US"/>
        </w:rPr>
        <w:t>l</w:t>
      </w:r>
      <w:r w:rsidRPr="001A65CF">
        <w:rPr>
          <w:sz w:val="24"/>
          <w:szCs w:val="24"/>
          <w:lang w:val="en-US"/>
        </w:rPr>
        <w:t>)</w:t>
      </w:r>
      <w:r w:rsidR="003D68FF">
        <w:rPr>
          <w:sz w:val="24"/>
          <w:szCs w:val="24"/>
          <w:lang w:val="en-US"/>
        </w:rPr>
        <w:t xml:space="preserve"> delivered. A</w:t>
      </w:r>
      <w:r w:rsidRPr="001A65CF">
        <w:rPr>
          <w:sz w:val="24"/>
          <w:szCs w:val="24"/>
          <w:lang w:val="en-US"/>
        </w:rPr>
        <w:t xml:space="preserve">fter an </w:t>
      </w:r>
      <w:r w:rsidR="007548E7">
        <w:rPr>
          <w:sz w:val="24"/>
          <w:szCs w:val="24"/>
          <w:lang w:val="en-US"/>
        </w:rPr>
        <w:t>ITI of 15 </w:t>
      </w:r>
      <w:r w:rsidR="003D68FF">
        <w:rPr>
          <w:sz w:val="24"/>
          <w:szCs w:val="24"/>
          <w:lang w:val="en-US"/>
        </w:rPr>
        <w:t>s a new trial wa</w:t>
      </w:r>
      <w:r w:rsidRPr="001A65CF">
        <w:rPr>
          <w:sz w:val="24"/>
          <w:szCs w:val="24"/>
          <w:lang w:val="en-US"/>
        </w:rPr>
        <w:t xml:space="preserve">s initiated. If in a given time period the mouse </w:t>
      </w:r>
      <w:r>
        <w:rPr>
          <w:sz w:val="24"/>
          <w:szCs w:val="24"/>
          <w:lang w:val="en-US"/>
        </w:rPr>
        <w:t>gave</w:t>
      </w:r>
      <w:r w:rsidRPr="001A65CF">
        <w:rPr>
          <w:sz w:val="24"/>
          <w:szCs w:val="24"/>
          <w:lang w:val="en-US"/>
        </w:rPr>
        <w:t xml:space="preserve"> </w:t>
      </w:r>
      <w:r w:rsidR="007548E7">
        <w:rPr>
          <w:sz w:val="24"/>
          <w:szCs w:val="24"/>
          <w:lang w:val="en-US"/>
        </w:rPr>
        <w:t>an incorrect</w:t>
      </w:r>
      <w:r w:rsidRPr="001A65CF">
        <w:rPr>
          <w:sz w:val="24"/>
          <w:szCs w:val="24"/>
          <w:lang w:val="en-US"/>
        </w:rPr>
        <w:t xml:space="preserve"> or no response at all</w:t>
      </w:r>
      <w:r w:rsidR="007548E7">
        <w:rPr>
          <w:sz w:val="24"/>
          <w:szCs w:val="24"/>
          <w:lang w:val="en-US"/>
        </w:rPr>
        <w:t xml:space="preserve"> (omission), the current trial wa</w:t>
      </w:r>
      <w:r w:rsidRPr="001A65CF">
        <w:rPr>
          <w:sz w:val="24"/>
          <w:szCs w:val="24"/>
          <w:lang w:val="en-US"/>
        </w:rPr>
        <w:t>s stopped</w:t>
      </w:r>
      <w:r w:rsidR="007548E7">
        <w:rPr>
          <w:sz w:val="24"/>
          <w:szCs w:val="24"/>
          <w:lang w:val="en-US"/>
        </w:rPr>
        <w:t xml:space="preserve"> and a</w:t>
      </w:r>
      <w:r w:rsidRPr="001A65CF">
        <w:rPr>
          <w:sz w:val="24"/>
          <w:szCs w:val="24"/>
          <w:lang w:val="en-US"/>
        </w:rPr>
        <w:t xml:space="preserve"> 5</w:t>
      </w:r>
      <w:r w:rsidR="007548E7">
        <w:rPr>
          <w:sz w:val="24"/>
          <w:szCs w:val="24"/>
          <w:lang w:val="en-US"/>
        </w:rPr>
        <w:t> </w:t>
      </w:r>
      <w:r>
        <w:rPr>
          <w:sz w:val="24"/>
          <w:szCs w:val="24"/>
          <w:lang w:val="en-US"/>
        </w:rPr>
        <w:t>s</w:t>
      </w:r>
      <w:r w:rsidRPr="001A65CF">
        <w:rPr>
          <w:sz w:val="24"/>
          <w:szCs w:val="24"/>
          <w:lang w:val="en-US"/>
        </w:rPr>
        <w:t xml:space="preserve"> </w:t>
      </w:r>
      <w:r w:rsidR="007548E7">
        <w:rPr>
          <w:sz w:val="24"/>
          <w:szCs w:val="24"/>
          <w:lang w:val="en-US"/>
        </w:rPr>
        <w:t>time-out</w:t>
      </w:r>
      <w:r w:rsidRPr="001A65CF">
        <w:rPr>
          <w:sz w:val="24"/>
          <w:szCs w:val="24"/>
          <w:lang w:val="en-US"/>
        </w:rPr>
        <w:t xml:space="preserve"> period (</w:t>
      </w:r>
      <w:r w:rsidR="007548E7">
        <w:rPr>
          <w:sz w:val="24"/>
          <w:szCs w:val="24"/>
          <w:lang w:val="en-US"/>
        </w:rPr>
        <w:t>no reward given</w:t>
      </w:r>
      <w:r w:rsidRPr="001A65CF">
        <w:rPr>
          <w:sz w:val="24"/>
          <w:szCs w:val="24"/>
          <w:lang w:val="en-US"/>
        </w:rPr>
        <w:t>)</w:t>
      </w:r>
      <w:r w:rsidR="00DC06D4">
        <w:rPr>
          <w:sz w:val="24"/>
          <w:szCs w:val="24"/>
          <w:lang w:val="en-US"/>
        </w:rPr>
        <w:t xml:space="preserve"> was applied</w:t>
      </w:r>
      <w:r w:rsidR="007548E7">
        <w:rPr>
          <w:sz w:val="24"/>
          <w:szCs w:val="24"/>
          <w:lang w:val="en-US"/>
        </w:rPr>
        <w:t>, followed by</w:t>
      </w:r>
      <w:r w:rsidRPr="001A65CF">
        <w:rPr>
          <w:sz w:val="24"/>
          <w:szCs w:val="24"/>
          <w:lang w:val="en-US"/>
        </w:rPr>
        <w:t xml:space="preserve"> </w:t>
      </w:r>
      <w:r w:rsidR="007548E7">
        <w:rPr>
          <w:sz w:val="24"/>
          <w:szCs w:val="24"/>
          <w:lang w:val="en-US"/>
        </w:rPr>
        <w:t>a 15 s ITI</w:t>
      </w:r>
      <w:r w:rsidRPr="001A65CF">
        <w:rPr>
          <w:sz w:val="24"/>
          <w:szCs w:val="24"/>
          <w:lang w:val="en-US"/>
        </w:rPr>
        <w:t xml:space="preserve">, before a new </w:t>
      </w:r>
      <w:r w:rsidR="007548E7">
        <w:rPr>
          <w:sz w:val="24"/>
          <w:szCs w:val="24"/>
          <w:lang w:val="en-US"/>
        </w:rPr>
        <w:t>trial (SP) wa</w:t>
      </w:r>
      <w:r w:rsidRPr="001A65CF">
        <w:rPr>
          <w:sz w:val="24"/>
          <w:szCs w:val="24"/>
          <w:lang w:val="en-US"/>
        </w:rPr>
        <w:t>s i</w:t>
      </w:r>
      <w:r w:rsidR="007548E7">
        <w:rPr>
          <w:sz w:val="24"/>
          <w:szCs w:val="24"/>
          <w:lang w:val="en-US"/>
        </w:rPr>
        <w:t>nitiated. One training session lasted at least 30 min, but would continue slightly beyond that, if the ongoing trial still had to be completed</w:t>
      </w:r>
      <w:r w:rsidRPr="001A65CF">
        <w:rPr>
          <w:sz w:val="24"/>
          <w:szCs w:val="24"/>
          <w:lang w:val="en-US"/>
        </w:rPr>
        <w:t xml:space="preserve">. </w:t>
      </w:r>
      <w:r w:rsidR="00697C9B">
        <w:rPr>
          <w:sz w:val="24"/>
          <w:szCs w:val="24"/>
          <w:lang w:val="en-US"/>
        </w:rPr>
        <w:t xml:space="preserve">The choice of the holes was determined randomly, so that all SP and CP configurations were presented with equal probability. Note that – </w:t>
      </w:r>
      <w:r w:rsidR="00A630C9">
        <w:rPr>
          <w:sz w:val="24"/>
          <w:szCs w:val="24"/>
          <w:lang w:val="en-US"/>
        </w:rPr>
        <w:t>similarly</w:t>
      </w:r>
      <w:r w:rsidR="00697C9B">
        <w:rPr>
          <w:sz w:val="24"/>
          <w:szCs w:val="24"/>
          <w:lang w:val="en-US"/>
        </w:rPr>
        <w:t xml:space="preserve"> to the rat CAM task</w:t>
      </w:r>
      <w:r w:rsidR="00A630C9">
        <w:rPr>
          <w:sz w:val="24"/>
          <w:szCs w:val="24"/>
          <w:lang w:val="en-US"/>
        </w:rPr>
        <w:t xml:space="preserve"> </w:t>
      </w:r>
      <w:r w:rsidR="004100F7">
        <w:rPr>
          <w:sz w:val="24"/>
          <w:szCs w:val="24"/>
          <w:lang w:val="en-US"/>
        </w:rPr>
        <w:fldChar w:fldCharType="begin"/>
      </w:r>
      <w:r w:rsidR="00A630C9">
        <w:rPr>
          <w:sz w:val="24"/>
          <w:szCs w:val="24"/>
          <w:lang w:val="en-US"/>
        </w:rPr>
        <w:instrText xml:space="preserve"> ADDIN ZOTERO_ITEM CSL_CITATION {"citationID":"22q0u52ot8","properties":{"formattedCitation":"(Chudasama et al., 2005)","plainCitation":"(Chudasama et al., 2005)"},"citationItems":[{"id":15924,"uris":["http://zotero.org/users/local/biVi7xTd/items/V42NRMXD"],"uri":["http://zotero.org/users/local/biVi7xTd/items/V42NRMXD"],"itemData":{"id":15924,"type":"article-journal","title":"d-Amphetamine remediates attentional performance in rats with dorsal prefrontal lesions","container-title":"Behavioural Brain Research","page":"97-107","volume":"158","issue":"1","abstract":"Although amphetamine treatment has been shown to promote recovery of motor function in animals with cortical ablations, the potential therapeutic effect of amphetamine on processes other than motor control, such as attention and working memory, has been relatively unexplored. Accordingly, we investigated the beneficial effect of d-amphetamine treatment in animals with dorsal prefrontal cortex lesions (dPFC) compared with sham controls on a novel combined attention-memory task (CAM) that simultaneously measures attention to a visual stimulus and memory for that stimulus. The dPFC group was impaired in their ability to correctly detect the visual stimulus. Although this deficit occurred together with increased omissions and slow response latencies, these associated deficits largely recovered within the 10 post-operative baseline sessions revealing a selective attentional deficit in this group of animals. Nonetheless, the dPFC lesion did not substantially affect the working memory component of the task. The systemic administration of d-amphetamine served to ameliorate the attentional deficit in the dPFC group at the low dose only (0.2 mg/kg). By contrast, the dPFC group were less sensitive to the detrimental effects of the high dose (0.8 mg/kg) on any aspect of task performance. However, despite improving attention to the visual stimulus, d-amphetamine did not improve memory for that stimulus which instead appeared to deteriorate. The results provide apparently the first demonstration that low doses of d-amphetamine can ameliorate an attentional deficit in animals with selective dPFC lesions and may be a useful model of cognitive deficit in ADHD, schizophrenia or frontal brain injury.","ISSN":"0166-4328","author":[{"family":"Chudasama","given":"Y."},{"family":"Nathwani","given":"F."},{"family":"Robbins","given":"T. W."}],"issued":{"date-parts":[["2005"]]}}}],"schema":"https://github.com/citation-style-language/schema/raw/master/csl-citation.json"} </w:instrText>
      </w:r>
      <w:r w:rsidR="004100F7">
        <w:rPr>
          <w:sz w:val="24"/>
          <w:szCs w:val="24"/>
          <w:lang w:val="en-US"/>
        </w:rPr>
        <w:fldChar w:fldCharType="separate"/>
      </w:r>
      <w:r w:rsidR="00A630C9" w:rsidRPr="00A630C9">
        <w:rPr>
          <w:rFonts w:cs="Times New Roman"/>
          <w:sz w:val="24"/>
          <w:lang w:val="en-GB"/>
        </w:rPr>
        <w:t>(Chudasama et al., 2005)</w:t>
      </w:r>
      <w:r w:rsidR="004100F7">
        <w:rPr>
          <w:sz w:val="24"/>
          <w:szCs w:val="24"/>
          <w:lang w:val="en-US"/>
        </w:rPr>
        <w:fldChar w:fldCharType="end"/>
      </w:r>
      <w:r w:rsidR="00697C9B">
        <w:rPr>
          <w:sz w:val="24"/>
          <w:szCs w:val="24"/>
          <w:lang w:val="en-US"/>
        </w:rPr>
        <w:t xml:space="preserve"> - premature responses were never punished and did not result in an interruption of the trial.</w:t>
      </w:r>
    </w:p>
    <w:p w:rsidR="001B269E" w:rsidRPr="001A65CF" w:rsidRDefault="00DC06D4" w:rsidP="001B269E">
      <w:pPr>
        <w:spacing w:line="360" w:lineRule="auto"/>
        <w:rPr>
          <w:sz w:val="24"/>
          <w:szCs w:val="24"/>
          <w:lang w:val="en-US"/>
        </w:rPr>
      </w:pPr>
      <w:r>
        <w:rPr>
          <w:sz w:val="24"/>
          <w:szCs w:val="24"/>
          <w:lang w:val="en-US"/>
        </w:rPr>
        <w:t>Assessed o</w:t>
      </w:r>
      <w:r w:rsidR="001B269E" w:rsidRPr="001A65CF">
        <w:rPr>
          <w:sz w:val="24"/>
          <w:szCs w:val="24"/>
          <w:lang w:val="en-US"/>
        </w:rPr>
        <w:t xml:space="preserve">utput measures </w:t>
      </w:r>
      <w:r w:rsidR="002A5D7F">
        <w:rPr>
          <w:sz w:val="24"/>
          <w:szCs w:val="24"/>
          <w:lang w:val="en-US"/>
        </w:rPr>
        <w:t>were</w:t>
      </w:r>
      <w:r w:rsidR="007548E7">
        <w:rPr>
          <w:sz w:val="24"/>
          <w:szCs w:val="24"/>
          <w:lang w:val="en-US"/>
        </w:rPr>
        <w:t>:</w:t>
      </w:r>
      <w:r w:rsidR="001B269E" w:rsidRPr="001A65CF">
        <w:rPr>
          <w:sz w:val="24"/>
          <w:szCs w:val="24"/>
          <w:lang w:val="en-US"/>
        </w:rPr>
        <w:t xml:space="preserve"> </w:t>
      </w:r>
    </w:p>
    <w:tbl>
      <w:tblPr>
        <w:tblStyle w:val="LightList1"/>
        <w:tblW w:w="0" w:type="auto"/>
        <w:tblLook w:val="04A0"/>
      </w:tblPr>
      <w:tblGrid>
        <w:gridCol w:w="1271"/>
        <w:gridCol w:w="2268"/>
        <w:gridCol w:w="5523"/>
      </w:tblGrid>
      <w:tr w:rsidR="001B269E" w:rsidRPr="001A65CF" w:rsidTr="007548E7">
        <w:trPr>
          <w:cnfStyle w:val="100000000000"/>
        </w:trPr>
        <w:tc>
          <w:tcPr>
            <w:cnfStyle w:val="001000000000"/>
            <w:tcW w:w="1271" w:type="dxa"/>
          </w:tcPr>
          <w:p w:rsidR="001B269E" w:rsidRPr="001A65CF" w:rsidRDefault="001B269E" w:rsidP="007548E7">
            <w:pPr>
              <w:spacing w:after="100" w:afterAutospacing="1" w:line="240" w:lineRule="auto"/>
              <w:jc w:val="center"/>
              <w:rPr>
                <w:szCs w:val="24"/>
                <w:lang w:val="en-US"/>
              </w:rPr>
            </w:pPr>
            <w:r w:rsidRPr="001A65CF">
              <w:rPr>
                <w:szCs w:val="24"/>
                <w:lang w:val="en-US"/>
              </w:rPr>
              <w:t>Phase</w:t>
            </w:r>
          </w:p>
        </w:tc>
        <w:tc>
          <w:tcPr>
            <w:tcW w:w="2268" w:type="dxa"/>
          </w:tcPr>
          <w:p w:rsidR="001B269E" w:rsidRPr="001A65CF" w:rsidRDefault="001B269E" w:rsidP="007548E7">
            <w:pPr>
              <w:spacing w:after="100" w:afterAutospacing="1" w:line="240" w:lineRule="auto"/>
              <w:jc w:val="center"/>
              <w:cnfStyle w:val="100000000000"/>
              <w:rPr>
                <w:szCs w:val="24"/>
                <w:lang w:val="en-US"/>
              </w:rPr>
            </w:pPr>
            <w:r w:rsidRPr="001A65CF">
              <w:rPr>
                <w:szCs w:val="24"/>
                <w:lang w:val="en-US"/>
              </w:rPr>
              <w:t>Parameter</w:t>
            </w:r>
          </w:p>
        </w:tc>
        <w:tc>
          <w:tcPr>
            <w:tcW w:w="5523" w:type="dxa"/>
          </w:tcPr>
          <w:p w:rsidR="001B269E" w:rsidRPr="001A65CF" w:rsidRDefault="001B269E" w:rsidP="007548E7">
            <w:pPr>
              <w:spacing w:after="100" w:afterAutospacing="1" w:line="240" w:lineRule="auto"/>
              <w:jc w:val="center"/>
              <w:cnfStyle w:val="100000000000"/>
              <w:rPr>
                <w:szCs w:val="24"/>
                <w:lang w:val="en-US"/>
              </w:rPr>
            </w:pPr>
            <w:r w:rsidRPr="001A65CF">
              <w:rPr>
                <w:szCs w:val="24"/>
                <w:lang w:val="en-US"/>
              </w:rPr>
              <w:t>Definition</w:t>
            </w:r>
          </w:p>
        </w:tc>
      </w:tr>
      <w:tr w:rsidR="001B269E" w:rsidRPr="00362BB8" w:rsidTr="007548E7">
        <w:trPr>
          <w:cnfStyle w:val="000000100000"/>
        </w:trPr>
        <w:tc>
          <w:tcPr>
            <w:cnfStyle w:val="001000000000"/>
            <w:tcW w:w="1271" w:type="dxa"/>
            <w:vMerge w:val="restart"/>
          </w:tcPr>
          <w:p w:rsidR="001B269E" w:rsidRPr="001A65CF" w:rsidRDefault="001B269E" w:rsidP="007548E7">
            <w:pPr>
              <w:spacing w:after="100" w:afterAutospacing="1" w:line="240" w:lineRule="auto"/>
              <w:jc w:val="center"/>
              <w:rPr>
                <w:szCs w:val="24"/>
                <w:lang w:val="en-US"/>
              </w:rPr>
            </w:pPr>
            <w:r w:rsidRPr="001A65CF">
              <w:rPr>
                <w:szCs w:val="24"/>
                <w:lang w:val="en-US"/>
              </w:rPr>
              <w:t>Sample</w:t>
            </w:r>
          </w:p>
        </w:tc>
        <w:tc>
          <w:tcPr>
            <w:tcW w:w="2268" w:type="dxa"/>
          </w:tcPr>
          <w:p w:rsidR="001B269E" w:rsidRPr="001A65CF" w:rsidRDefault="001B269E" w:rsidP="00DC06D4">
            <w:pPr>
              <w:spacing w:after="100" w:afterAutospacing="1" w:line="240" w:lineRule="auto"/>
              <w:jc w:val="center"/>
              <w:cnfStyle w:val="000000100000"/>
              <w:rPr>
                <w:szCs w:val="24"/>
                <w:lang w:val="en-US"/>
              </w:rPr>
            </w:pPr>
            <w:r w:rsidRPr="001A65CF">
              <w:rPr>
                <w:szCs w:val="24"/>
                <w:lang w:val="en-US"/>
              </w:rPr>
              <w:t xml:space="preserve">#correct </w:t>
            </w:r>
          </w:p>
        </w:tc>
        <w:tc>
          <w:tcPr>
            <w:tcW w:w="5523" w:type="dxa"/>
          </w:tcPr>
          <w:p w:rsidR="001B269E" w:rsidRPr="001A65CF" w:rsidRDefault="001B269E" w:rsidP="007548E7">
            <w:pPr>
              <w:spacing w:after="100" w:afterAutospacing="1" w:line="240" w:lineRule="auto"/>
              <w:jc w:val="center"/>
              <w:cnfStyle w:val="000000100000"/>
              <w:rPr>
                <w:szCs w:val="24"/>
                <w:lang w:val="en-US"/>
              </w:rPr>
            </w:pPr>
            <w:r w:rsidRPr="001A65CF">
              <w:rPr>
                <w:szCs w:val="24"/>
                <w:lang w:val="en-US"/>
              </w:rPr>
              <w:t># of pokes into the lit hole</w:t>
            </w:r>
          </w:p>
        </w:tc>
      </w:tr>
      <w:tr w:rsidR="001B269E" w:rsidRPr="00362BB8" w:rsidTr="007548E7">
        <w:tc>
          <w:tcPr>
            <w:cnfStyle w:val="001000000000"/>
            <w:tcW w:w="1271" w:type="dxa"/>
            <w:vMerge/>
          </w:tcPr>
          <w:p w:rsidR="001B269E" w:rsidRPr="001A65CF" w:rsidRDefault="001B269E" w:rsidP="007548E7">
            <w:pPr>
              <w:spacing w:after="100" w:afterAutospacing="1" w:line="240" w:lineRule="auto"/>
              <w:jc w:val="center"/>
              <w:rPr>
                <w:szCs w:val="24"/>
                <w:lang w:val="en-US"/>
              </w:rPr>
            </w:pPr>
          </w:p>
        </w:tc>
        <w:tc>
          <w:tcPr>
            <w:tcW w:w="2268" w:type="dxa"/>
          </w:tcPr>
          <w:p w:rsidR="001B269E" w:rsidRPr="001A65CF" w:rsidRDefault="001B269E" w:rsidP="00DC06D4">
            <w:pPr>
              <w:spacing w:after="100" w:afterAutospacing="1" w:line="240" w:lineRule="auto"/>
              <w:jc w:val="center"/>
              <w:cnfStyle w:val="000000000000"/>
              <w:rPr>
                <w:szCs w:val="24"/>
                <w:lang w:val="en-US"/>
              </w:rPr>
            </w:pPr>
            <w:r w:rsidRPr="001A65CF">
              <w:rPr>
                <w:szCs w:val="24"/>
                <w:lang w:val="en-US"/>
              </w:rPr>
              <w:t xml:space="preserve">Response </w:t>
            </w:r>
            <w:r w:rsidR="00DC06D4">
              <w:rPr>
                <w:szCs w:val="24"/>
                <w:lang w:val="en-US"/>
              </w:rPr>
              <w:t>l</w:t>
            </w:r>
            <w:r w:rsidRPr="001A65CF">
              <w:rPr>
                <w:szCs w:val="24"/>
                <w:lang w:val="en-US"/>
              </w:rPr>
              <w:t>atency (correct or incorrect)</w:t>
            </w:r>
          </w:p>
        </w:tc>
        <w:tc>
          <w:tcPr>
            <w:tcW w:w="5523" w:type="dxa"/>
          </w:tcPr>
          <w:p w:rsidR="001B269E" w:rsidRPr="001A65CF" w:rsidRDefault="001B269E" w:rsidP="007548E7">
            <w:pPr>
              <w:spacing w:after="100" w:afterAutospacing="1" w:line="240" w:lineRule="auto"/>
              <w:jc w:val="center"/>
              <w:cnfStyle w:val="000000000000"/>
              <w:rPr>
                <w:szCs w:val="24"/>
                <w:lang w:val="en-US"/>
              </w:rPr>
            </w:pPr>
            <w:r w:rsidRPr="001A65CF">
              <w:rPr>
                <w:szCs w:val="24"/>
                <w:lang w:val="en-US"/>
              </w:rPr>
              <w:t xml:space="preserve">Time span between start of stimulus and first poke </w:t>
            </w:r>
          </w:p>
        </w:tc>
      </w:tr>
      <w:tr w:rsidR="007548E7" w:rsidRPr="00362BB8" w:rsidTr="007548E7">
        <w:trPr>
          <w:cnfStyle w:val="000000100000"/>
        </w:trPr>
        <w:tc>
          <w:tcPr>
            <w:cnfStyle w:val="001000000000"/>
            <w:tcW w:w="1271" w:type="dxa"/>
            <w:vMerge/>
          </w:tcPr>
          <w:p w:rsidR="007548E7" w:rsidRPr="001A65CF" w:rsidRDefault="007548E7" w:rsidP="007548E7">
            <w:pPr>
              <w:spacing w:after="100" w:afterAutospacing="1" w:line="240" w:lineRule="auto"/>
              <w:jc w:val="center"/>
              <w:rPr>
                <w:szCs w:val="24"/>
                <w:lang w:val="en-US"/>
              </w:rPr>
            </w:pPr>
          </w:p>
        </w:tc>
        <w:tc>
          <w:tcPr>
            <w:tcW w:w="2268" w:type="dxa"/>
          </w:tcPr>
          <w:p w:rsidR="007548E7" w:rsidRPr="001A65CF" w:rsidRDefault="007548E7" w:rsidP="007548E7">
            <w:pPr>
              <w:spacing w:after="100" w:afterAutospacing="1" w:line="240" w:lineRule="auto"/>
              <w:jc w:val="center"/>
              <w:cnfStyle w:val="000000100000"/>
              <w:rPr>
                <w:szCs w:val="24"/>
                <w:lang w:val="en-US"/>
              </w:rPr>
            </w:pPr>
            <w:r w:rsidRPr="001A65CF">
              <w:rPr>
                <w:szCs w:val="24"/>
                <w:lang w:val="en-US"/>
              </w:rPr>
              <w:t xml:space="preserve">Accuracy </w:t>
            </w:r>
          </w:p>
        </w:tc>
        <w:tc>
          <w:tcPr>
            <w:tcW w:w="5523" w:type="dxa"/>
          </w:tcPr>
          <w:p w:rsidR="007548E7" w:rsidRPr="001A65CF" w:rsidRDefault="007548E7" w:rsidP="007548E7">
            <w:pPr>
              <w:spacing w:after="100" w:afterAutospacing="1" w:line="240" w:lineRule="auto"/>
              <w:jc w:val="center"/>
              <w:cnfStyle w:val="000000100000"/>
              <w:rPr>
                <w:szCs w:val="24"/>
                <w:lang w:val="en-US"/>
              </w:rPr>
            </w:pPr>
            <w:r w:rsidRPr="001A65CF">
              <w:rPr>
                <w:szCs w:val="24"/>
                <w:lang w:val="en-US"/>
              </w:rPr>
              <w:t>Choice frequency of the sample hole against all other (non-illuminated) holes</w:t>
            </w:r>
          </w:p>
        </w:tc>
      </w:tr>
      <w:tr w:rsidR="007548E7" w:rsidRPr="00362BB8" w:rsidTr="007548E7">
        <w:tc>
          <w:tcPr>
            <w:cnfStyle w:val="001000000000"/>
            <w:tcW w:w="1271" w:type="dxa"/>
            <w:vMerge/>
          </w:tcPr>
          <w:p w:rsidR="007548E7" w:rsidRPr="001A65CF" w:rsidRDefault="007548E7" w:rsidP="007548E7">
            <w:pPr>
              <w:spacing w:after="100" w:afterAutospacing="1" w:line="240" w:lineRule="auto"/>
              <w:jc w:val="center"/>
              <w:rPr>
                <w:szCs w:val="24"/>
                <w:lang w:val="en-US"/>
              </w:rPr>
            </w:pPr>
          </w:p>
        </w:tc>
        <w:tc>
          <w:tcPr>
            <w:tcW w:w="2268" w:type="dxa"/>
          </w:tcPr>
          <w:p w:rsidR="007548E7" w:rsidRPr="001A65CF" w:rsidRDefault="007548E7" w:rsidP="007548E7">
            <w:pPr>
              <w:spacing w:after="100" w:afterAutospacing="1" w:line="240" w:lineRule="auto"/>
              <w:jc w:val="center"/>
              <w:cnfStyle w:val="000000000000"/>
              <w:rPr>
                <w:szCs w:val="24"/>
                <w:lang w:val="en-US"/>
              </w:rPr>
            </w:pPr>
            <w:r w:rsidRPr="001A65CF">
              <w:rPr>
                <w:szCs w:val="24"/>
                <w:lang w:val="en-US"/>
              </w:rPr>
              <w:t>%correct</w:t>
            </w:r>
          </w:p>
        </w:tc>
        <w:tc>
          <w:tcPr>
            <w:tcW w:w="5523" w:type="dxa"/>
          </w:tcPr>
          <w:p w:rsidR="007548E7" w:rsidRPr="001A65CF" w:rsidRDefault="007548E7" w:rsidP="007548E7">
            <w:pPr>
              <w:spacing w:after="100" w:afterAutospacing="1" w:line="240" w:lineRule="auto"/>
              <w:jc w:val="center"/>
              <w:cnfStyle w:val="000000000000"/>
              <w:rPr>
                <w:szCs w:val="24"/>
                <w:lang w:val="en-US"/>
              </w:rPr>
            </w:pPr>
            <w:r w:rsidRPr="001A65CF">
              <w:rPr>
                <w:szCs w:val="24"/>
                <w:lang w:val="en-US"/>
              </w:rPr>
              <w:t>Choice frequency of the</w:t>
            </w:r>
            <w:r>
              <w:rPr>
                <w:szCs w:val="24"/>
                <w:lang w:val="en-US"/>
              </w:rPr>
              <w:t xml:space="preserve"> correct</w:t>
            </w:r>
            <w:r w:rsidRPr="001A65CF">
              <w:rPr>
                <w:szCs w:val="24"/>
                <w:lang w:val="en-US"/>
              </w:rPr>
              <w:t xml:space="preserve"> sample hole against the total amount of trials </w:t>
            </w:r>
          </w:p>
        </w:tc>
      </w:tr>
      <w:tr w:rsidR="007548E7" w:rsidRPr="00362BB8" w:rsidTr="007548E7">
        <w:trPr>
          <w:cnfStyle w:val="000000100000"/>
        </w:trPr>
        <w:tc>
          <w:tcPr>
            <w:cnfStyle w:val="001000000000"/>
            <w:tcW w:w="1271" w:type="dxa"/>
            <w:vMerge/>
          </w:tcPr>
          <w:p w:rsidR="007548E7" w:rsidRPr="001A65CF" w:rsidRDefault="007548E7" w:rsidP="007548E7">
            <w:pPr>
              <w:spacing w:after="100" w:afterAutospacing="1" w:line="240" w:lineRule="auto"/>
              <w:jc w:val="center"/>
              <w:rPr>
                <w:szCs w:val="24"/>
                <w:lang w:val="en-US"/>
              </w:rPr>
            </w:pPr>
          </w:p>
        </w:tc>
        <w:tc>
          <w:tcPr>
            <w:tcW w:w="2268" w:type="dxa"/>
          </w:tcPr>
          <w:p w:rsidR="007548E7" w:rsidRPr="001A65CF" w:rsidRDefault="007548E7" w:rsidP="007548E7">
            <w:pPr>
              <w:spacing w:after="100" w:afterAutospacing="1" w:line="240" w:lineRule="auto"/>
              <w:jc w:val="center"/>
              <w:cnfStyle w:val="000000100000"/>
              <w:rPr>
                <w:szCs w:val="24"/>
                <w:lang w:val="en-US"/>
              </w:rPr>
            </w:pPr>
            <w:r w:rsidRPr="001A65CF">
              <w:rPr>
                <w:szCs w:val="24"/>
                <w:lang w:val="en-US"/>
              </w:rPr>
              <w:t>%omissions</w:t>
            </w:r>
          </w:p>
        </w:tc>
        <w:tc>
          <w:tcPr>
            <w:tcW w:w="5523" w:type="dxa"/>
          </w:tcPr>
          <w:p w:rsidR="007548E7" w:rsidRPr="001A65CF" w:rsidRDefault="007548E7" w:rsidP="007548E7">
            <w:pPr>
              <w:spacing w:after="100" w:afterAutospacing="1" w:line="240" w:lineRule="auto"/>
              <w:jc w:val="center"/>
              <w:cnfStyle w:val="000000100000"/>
              <w:rPr>
                <w:szCs w:val="24"/>
                <w:lang w:val="en-US"/>
              </w:rPr>
            </w:pPr>
            <w:r w:rsidRPr="001A65CF">
              <w:rPr>
                <w:szCs w:val="24"/>
                <w:lang w:val="en-US"/>
              </w:rPr>
              <w:t>Percentage of trials without a decision in the provided time relative to the total amount of trials</w:t>
            </w:r>
          </w:p>
        </w:tc>
      </w:tr>
      <w:tr w:rsidR="007548E7" w:rsidRPr="00362BB8" w:rsidTr="007548E7">
        <w:tc>
          <w:tcPr>
            <w:cnfStyle w:val="001000000000"/>
            <w:tcW w:w="1271" w:type="dxa"/>
            <w:vMerge w:val="restart"/>
          </w:tcPr>
          <w:p w:rsidR="007548E7" w:rsidRPr="001A65CF" w:rsidRDefault="007548E7" w:rsidP="007548E7">
            <w:pPr>
              <w:spacing w:after="100" w:afterAutospacing="1" w:line="240" w:lineRule="auto"/>
              <w:jc w:val="center"/>
              <w:rPr>
                <w:szCs w:val="24"/>
                <w:lang w:val="en-US"/>
              </w:rPr>
            </w:pPr>
            <w:r w:rsidRPr="001A65CF">
              <w:rPr>
                <w:szCs w:val="24"/>
                <w:lang w:val="en-US"/>
              </w:rPr>
              <w:t>Choice</w:t>
            </w:r>
          </w:p>
        </w:tc>
        <w:tc>
          <w:tcPr>
            <w:tcW w:w="2268" w:type="dxa"/>
          </w:tcPr>
          <w:p w:rsidR="007548E7" w:rsidRPr="001A65CF" w:rsidRDefault="00DC06D4" w:rsidP="007548E7">
            <w:pPr>
              <w:spacing w:after="100" w:afterAutospacing="1" w:line="240" w:lineRule="auto"/>
              <w:jc w:val="center"/>
              <w:cnfStyle w:val="000000000000"/>
              <w:rPr>
                <w:szCs w:val="24"/>
                <w:lang w:val="en-US"/>
              </w:rPr>
            </w:pPr>
            <w:r>
              <w:rPr>
                <w:szCs w:val="24"/>
                <w:lang w:val="en-US"/>
              </w:rPr>
              <w:t>Response l</w:t>
            </w:r>
            <w:r w:rsidR="007548E7" w:rsidRPr="001A65CF">
              <w:rPr>
                <w:szCs w:val="24"/>
                <w:lang w:val="en-US"/>
              </w:rPr>
              <w:t>atency (correct or incorrect)</w:t>
            </w:r>
          </w:p>
        </w:tc>
        <w:tc>
          <w:tcPr>
            <w:tcW w:w="5523" w:type="dxa"/>
          </w:tcPr>
          <w:p w:rsidR="007548E7" w:rsidRPr="001A65CF" w:rsidRDefault="007548E7" w:rsidP="007548E7">
            <w:pPr>
              <w:spacing w:after="100" w:afterAutospacing="1" w:line="240" w:lineRule="auto"/>
              <w:jc w:val="center"/>
              <w:cnfStyle w:val="000000000000"/>
              <w:rPr>
                <w:szCs w:val="24"/>
                <w:lang w:val="en-US"/>
              </w:rPr>
            </w:pPr>
            <w:r w:rsidRPr="001A65CF">
              <w:rPr>
                <w:szCs w:val="24"/>
                <w:lang w:val="en-US"/>
              </w:rPr>
              <w:t xml:space="preserve">Time span between start of stimulus and first poke </w:t>
            </w:r>
          </w:p>
        </w:tc>
      </w:tr>
      <w:tr w:rsidR="007548E7" w:rsidRPr="00362BB8" w:rsidTr="007548E7">
        <w:trPr>
          <w:cnfStyle w:val="000000100000"/>
        </w:trPr>
        <w:tc>
          <w:tcPr>
            <w:cnfStyle w:val="001000000000"/>
            <w:tcW w:w="1271" w:type="dxa"/>
            <w:vMerge/>
          </w:tcPr>
          <w:p w:rsidR="007548E7" w:rsidRPr="001A65CF" w:rsidRDefault="007548E7" w:rsidP="007548E7">
            <w:pPr>
              <w:spacing w:after="100" w:afterAutospacing="1" w:line="240" w:lineRule="auto"/>
              <w:jc w:val="center"/>
              <w:rPr>
                <w:szCs w:val="24"/>
                <w:lang w:val="en-US"/>
              </w:rPr>
            </w:pPr>
          </w:p>
        </w:tc>
        <w:tc>
          <w:tcPr>
            <w:tcW w:w="2268" w:type="dxa"/>
          </w:tcPr>
          <w:p w:rsidR="007548E7" w:rsidRPr="001A65CF" w:rsidRDefault="00DC06D4" w:rsidP="007548E7">
            <w:pPr>
              <w:spacing w:after="100" w:afterAutospacing="1" w:line="240" w:lineRule="auto"/>
              <w:jc w:val="center"/>
              <w:cnfStyle w:val="000000100000"/>
              <w:rPr>
                <w:szCs w:val="24"/>
                <w:lang w:val="en-US"/>
              </w:rPr>
            </w:pPr>
            <w:r>
              <w:rPr>
                <w:szCs w:val="24"/>
                <w:lang w:val="en-US"/>
              </w:rPr>
              <w:t>Reward l</w:t>
            </w:r>
            <w:r w:rsidR="007548E7" w:rsidRPr="001A65CF">
              <w:rPr>
                <w:szCs w:val="24"/>
                <w:lang w:val="en-US"/>
              </w:rPr>
              <w:t>atency</w:t>
            </w:r>
          </w:p>
        </w:tc>
        <w:tc>
          <w:tcPr>
            <w:tcW w:w="5523" w:type="dxa"/>
          </w:tcPr>
          <w:p w:rsidR="007548E7" w:rsidRPr="001A65CF" w:rsidRDefault="007548E7" w:rsidP="007548E7">
            <w:pPr>
              <w:spacing w:after="100" w:afterAutospacing="1" w:line="240" w:lineRule="auto"/>
              <w:jc w:val="center"/>
              <w:cnfStyle w:val="000000100000"/>
              <w:rPr>
                <w:szCs w:val="24"/>
                <w:lang w:val="en-US"/>
              </w:rPr>
            </w:pPr>
            <w:r w:rsidRPr="001A65CF">
              <w:rPr>
                <w:szCs w:val="24"/>
                <w:lang w:val="en-US"/>
              </w:rPr>
              <w:t>Time span between first poke and first receptacle beam break</w:t>
            </w:r>
          </w:p>
        </w:tc>
      </w:tr>
      <w:tr w:rsidR="007548E7" w:rsidRPr="00362BB8" w:rsidTr="007548E7">
        <w:tc>
          <w:tcPr>
            <w:cnfStyle w:val="001000000000"/>
            <w:tcW w:w="1271" w:type="dxa"/>
            <w:vMerge/>
          </w:tcPr>
          <w:p w:rsidR="007548E7" w:rsidRPr="001A65CF" w:rsidRDefault="007548E7" w:rsidP="007548E7">
            <w:pPr>
              <w:spacing w:after="100" w:afterAutospacing="1" w:line="240" w:lineRule="auto"/>
              <w:jc w:val="center"/>
              <w:rPr>
                <w:szCs w:val="24"/>
                <w:lang w:val="en-US"/>
              </w:rPr>
            </w:pPr>
          </w:p>
        </w:tc>
        <w:tc>
          <w:tcPr>
            <w:tcW w:w="2268" w:type="dxa"/>
          </w:tcPr>
          <w:p w:rsidR="007548E7" w:rsidRPr="001A65CF" w:rsidRDefault="007548E7" w:rsidP="007548E7">
            <w:pPr>
              <w:spacing w:after="100" w:afterAutospacing="1" w:line="240" w:lineRule="auto"/>
              <w:jc w:val="center"/>
              <w:cnfStyle w:val="000000000000"/>
              <w:rPr>
                <w:szCs w:val="24"/>
                <w:lang w:val="en-US"/>
              </w:rPr>
            </w:pPr>
            <w:r w:rsidRPr="001A65CF">
              <w:rPr>
                <w:szCs w:val="24"/>
                <w:lang w:val="en-US"/>
              </w:rPr>
              <w:t>Accuracy</w:t>
            </w:r>
            <w:r w:rsidRPr="007548E7">
              <w:rPr>
                <w:szCs w:val="24"/>
                <w:vertAlign w:val="subscript"/>
                <w:lang w:val="en-US"/>
              </w:rPr>
              <w:t>lit</w:t>
            </w:r>
            <w:r>
              <w:rPr>
                <w:szCs w:val="24"/>
                <w:lang w:val="en-US"/>
              </w:rPr>
              <w:t xml:space="preserve"> </w:t>
            </w:r>
          </w:p>
        </w:tc>
        <w:tc>
          <w:tcPr>
            <w:tcW w:w="5523" w:type="dxa"/>
          </w:tcPr>
          <w:p w:rsidR="007548E7" w:rsidRPr="001A65CF" w:rsidRDefault="007548E7" w:rsidP="007548E7">
            <w:pPr>
              <w:spacing w:after="100" w:afterAutospacing="1" w:line="240" w:lineRule="auto"/>
              <w:jc w:val="center"/>
              <w:cnfStyle w:val="000000000000"/>
              <w:rPr>
                <w:szCs w:val="24"/>
                <w:lang w:val="en-US"/>
              </w:rPr>
            </w:pPr>
            <w:r w:rsidRPr="001A65CF">
              <w:rPr>
                <w:szCs w:val="24"/>
                <w:lang w:val="en-US"/>
              </w:rPr>
              <w:t>Choice frequency of the sample hole against the additionally lit hole</w:t>
            </w:r>
          </w:p>
        </w:tc>
      </w:tr>
      <w:tr w:rsidR="007548E7" w:rsidRPr="00362BB8" w:rsidTr="007548E7">
        <w:trPr>
          <w:cnfStyle w:val="000000100000"/>
        </w:trPr>
        <w:tc>
          <w:tcPr>
            <w:cnfStyle w:val="001000000000"/>
            <w:tcW w:w="1271" w:type="dxa"/>
            <w:vMerge/>
          </w:tcPr>
          <w:p w:rsidR="007548E7" w:rsidRPr="001A65CF" w:rsidRDefault="007548E7" w:rsidP="007548E7">
            <w:pPr>
              <w:spacing w:after="100" w:afterAutospacing="1" w:line="240" w:lineRule="auto"/>
              <w:jc w:val="center"/>
              <w:rPr>
                <w:szCs w:val="24"/>
                <w:lang w:val="en-US"/>
              </w:rPr>
            </w:pPr>
          </w:p>
        </w:tc>
        <w:tc>
          <w:tcPr>
            <w:tcW w:w="2268" w:type="dxa"/>
          </w:tcPr>
          <w:p w:rsidR="007548E7" w:rsidRPr="001A65CF" w:rsidRDefault="007548E7" w:rsidP="007548E7">
            <w:pPr>
              <w:spacing w:after="100" w:afterAutospacing="1" w:line="240" w:lineRule="auto"/>
              <w:jc w:val="center"/>
              <w:cnfStyle w:val="000000100000"/>
              <w:rPr>
                <w:szCs w:val="24"/>
                <w:lang w:val="en-US"/>
              </w:rPr>
            </w:pPr>
            <w:r w:rsidRPr="001A65CF">
              <w:rPr>
                <w:szCs w:val="24"/>
                <w:lang w:val="en-US"/>
              </w:rPr>
              <w:t>Accuracy</w:t>
            </w:r>
            <w:r w:rsidRPr="007548E7">
              <w:rPr>
                <w:szCs w:val="24"/>
                <w:vertAlign w:val="subscript"/>
                <w:lang w:val="en-US"/>
              </w:rPr>
              <w:t>all</w:t>
            </w:r>
            <w:r>
              <w:rPr>
                <w:szCs w:val="24"/>
                <w:lang w:val="en-US"/>
              </w:rPr>
              <w:t xml:space="preserve"> </w:t>
            </w:r>
          </w:p>
        </w:tc>
        <w:tc>
          <w:tcPr>
            <w:tcW w:w="5523" w:type="dxa"/>
          </w:tcPr>
          <w:p w:rsidR="007548E7" w:rsidRPr="001A65CF" w:rsidRDefault="007548E7" w:rsidP="007548E7">
            <w:pPr>
              <w:spacing w:after="100" w:afterAutospacing="1" w:line="240" w:lineRule="auto"/>
              <w:jc w:val="center"/>
              <w:cnfStyle w:val="000000100000"/>
              <w:rPr>
                <w:szCs w:val="24"/>
                <w:lang w:val="en-US"/>
              </w:rPr>
            </w:pPr>
            <w:r w:rsidRPr="001A65CF">
              <w:rPr>
                <w:szCs w:val="24"/>
                <w:lang w:val="en-US"/>
              </w:rPr>
              <w:t>Choice frequency of the sample hole against all other (illuminated and non-illuminated) holes</w:t>
            </w:r>
          </w:p>
        </w:tc>
      </w:tr>
      <w:tr w:rsidR="007548E7" w:rsidRPr="00362BB8" w:rsidTr="007548E7">
        <w:tc>
          <w:tcPr>
            <w:cnfStyle w:val="001000000000"/>
            <w:tcW w:w="1271" w:type="dxa"/>
            <w:vMerge/>
          </w:tcPr>
          <w:p w:rsidR="007548E7" w:rsidRPr="001A65CF" w:rsidRDefault="007548E7" w:rsidP="007548E7">
            <w:pPr>
              <w:spacing w:after="100" w:afterAutospacing="1" w:line="240" w:lineRule="auto"/>
              <w:jc w:val="center"/>
              <w:rPr>
                <w:szCs w:val="24"/>
                <w:lang w:val="en-US"/>
              </w:rPr>
            </w:pPr>
          </w:p>
        </w:tc>
        <w:tc>
          <w:tcPr>
            <w:tcW w:w="2268" w:type="dxa"/>
          </w:tcPr>
          <w:p w:rsidR="007548E7" w:rsidRPr="001A65CF" w:rsidRDefault="007548E7" w:rsidP="007548E7">
            <w:pPr>
              <w:spacing w:after="100" w:afterAutospacing="1" w:line="240" w:lineRule="auto"/>
              <w:jc w:val="center"/>
              <w:cnfStyle w:val="000000000000"/>
              <w:rPr>
                <w:szCs w:val="24"/>
                <w:lang w:val="en-US"/>
              </w:rPr>
            </w:pPr>
            <w:r>
              <w:rPr>
                <w:szCs w:val="24"/>
                <w:lang w:val="en-US"/>
              </w:rPr>
              <w:t>#correct</w:t>
            </w:r>
          </w:p>
        </w:tc>
        <w:tc>
          <w:tcPr>
            <w:tcW w:w="5523" w:type="dxa"/>
          </w:tcPr>
          <w:p w:rsidR="007548E7" w:rsidRPr="001A65CF" w:rsidRDefault="007548E7" w:rsidP="007548E7">
            <w:pPr>
              <w:spacing w:after="100" w:afterAutospacing="1" w:line="240" w:lineRule="auto"/>
              <w:jc w:val="center"/>
              <w:cnfStyle w:val="000000000000"/>
              <w:rPr>
                <w:szCs w:val="24"/>
                <w:lang w:val="en-US"/>
              </w:rPr>
            </w:pPr>
            <w:r>
              <w:rPr>
                <w:szCs w:val="24"/>
                <w:lang w:val="en-US"/>
              </w:rPr>
              <w:t># of pokes into the correct</w:t>
            </w:r>
            <w:r w:rsidRPr="001A65CF">
              <w:rPr>
                <w:szCs w:val="24"/>
                <w:lang w:val="en-US"/>
              </w:rPr>
              <w:t xml:space="preserve"> hole</w:t>
            </w:r>
          </w:p>
        </w:tc>
      </w:tr>
      <w:tr w:rsidR="007548E7" w:rsidRPr="00362BB8" w:rsidTr="007548E7">
        <w:trPr>
          <w:cnfStyle w:val="000000100000"/>
        </w:trPr>
        <w:tc>
          <w:tcPr>
            <w:cnfStyle w:val="001000000000"/>
            <w:tcW w:w="1271" w:type="dxa"/>
            <w:vMerge/>
          </w:tcPr>
          <w:p w:rsidR="007548E7" w:rsidRPr="001A65CF" w:rsidRDefault="007548E7" w:rsidP="007548E7">
            <w:pPr>
              <w:spacing w:after="100" w:afterAutospacing="1" w:line="240" w:lineRule="auto"/>
              <w:jc w:val="center"/>
              <w:rPr>
                <w:szCs w:val="24"/>
                <w:lang w:val="en-US"/>
              </w:rPr>
            </w:pPr>
          </w:p>
        </w:tc>
        <w:tc>
          <w:tcPr>
            <w:tcW w:w="2268" w:type="dxa"/>
          </w:tcPr>
          <w:p w:rsidR="007548E7" w:rsidRPr="001A65CF" w:rsidRDefault="007548E7" w:rsidP="007548E7">
            <w:pPr>
              <w:spacing w:after="100" w:afterAutospacing="1" w:line="240" w:lineRule="auto"/>
              <w:jc w:val="center"/>
              <w:cnfStyle w:val="000000100000"/>
              <w:rPr>
                <w:szCs w:val="24"/>
                <w:lang w:val="en-US"/>
              </w:rPr>
            </w:pPr>
            <w:r w:rsidRPr="001A65CF">
              <w:rPr>
                <w:szCs w:val="24"/>
                <w:lang w:val="en-US"/>
              </w:rPr>
              <w:t>%correct</w:t>
            </w:r>
          </w:p>
        </w:tc>
        <w:tc>
          <w:tcPr>
            <w:tcW w:w="5523" w:type="dxa"/>
          </w:tcPr>
          <w:p w:rsidR="007548E7" w:rsidRPr="001A65CF" w:rsidRDefault="007548E7" w:rsidP="007548E7">
            <w:pPr>
              <w:spacing w:after="100" w:afterAutospacing="1" w:line="240" w:lineRule="auto"/>
              <w:jc w:val="center"/>
              <w:cnfStyle w:val="000000100000"/>
              <w:rPr>
                <w:szCs w:val="24"/>
                <w:lang w:val="en-US"/>
              </w:rPr>
            </w:pPr>
            <w:r w:rsidRPr="001A65CF">
              <w:rPr>
                <w:szCs w:val="24"/>
                <w:lang w:val="en-US"/>
              </w:rPr>
              <w:t xml:space="preserve">Choice frequency of the </w:t>
            </w:r>
            <w:r>
              <w:rPr>
                <w:szCs w:val="24"/>
                <w:lang w:val="en-US"/>
              </w:rPr>
              <w:t>correct</w:t>
            </w:r>
            <w:r w:rsidRPr="001A65CF">
              <w:rPr>
                <w:szCs w:val="24"/>
                <w:lang w:val="en-US"/>
              </w:rPr>
              <w:t xml:space="preserve"> hole against the total amount of trials </w:t>
            </w:r>
          </w:p>
        </w:tc>
      </w:tr>
      <w:tr w:rsidR="007548E7" w:rsidRPr="00362BB8" w:rsidTr="007548E7">
        <w:tc>
          <w:tcPr>
            <w:cnfStyle w:val="001000000000"/>
            <w:tcW w:w="1271" w:type="dxa"/>
            <w:vMerge/>
          </w:tcPr>
          <w:p w:rsidR="007548E7" w:rsidRPr="001A65CF" w:rsidRDefault="007548E7" w:rsidP="007548E7">
            <w:pPr>
              <w:spacing w:after="100" w:afterAutospacing="1" w:line="240" w:lineRule="auto"/>
              <w:jc w:val="center"/>
              <w:rPr>
                <w:szCs w:val="24"/>
                <w:lang w:val="en-US"/>
              </w:rPr>
            </w:pPr>
          </w:p>
        </w:tc>
        <w:tc>
          <w:tcPr>
            <w:tcW w:w="2268" w:type="dxa"/>
          </w:tcPr>
          <w:p w:rsidR="007548E7" w:rsidRPr="001A65CF" w:rsidRDefault="007548E7" w:rsidP="007548E7">
            <w:pPr>
              <w:spacing w:after="100" w:afterAutospacing="1" w:line="240" w:lineRule="auto"/>
              <w:jc w:val="center"/>
              <w:cnfStyle w:val="000000000000"/>
              <w:rPr>
                <w:szCs w:val="24"/>
                <w:lang w:val="en-US"/>
              </w:rPr>
            </w:pPr>
            <w:r w:rsidRPr="001A65CF">
              <w:rPr>
                <w:szCs w:val="24"/>
                <w:lang w:val="en-US"/>
              </w:rPr>
              <w:t>%omissions</w:t>
            </w:r>
          </w:p>
        </w:tc>
        <w:tc>
          <w:tcPr>
            <w:tcW w:w="5523" w:type="dxa"/>
          </w:tcPr>
          <w:p w:rsidR="007548E7" w:rsidRPr="001A65CF" w:rsidRDefault="007548E7" w:rsidP="007548E7">
            <w:pPr>
              <w:spacing w:after="100" w:afterAutospacing="1" w:line="240" w:lineRule="auto"/>
              <w:jc w:val="center"/>
              <w:cnfStyle w:val="000000000000"/>
              <w:rPr>
                <w:szCs w:val="24"/>
                <w:lang w:val="en-US"/>
              </w:rPr>
            </w:pPr>
            <w:r w:rsidRPr="001A65CF">
              <w:rPr>
                <w:szCs w:val="24"/>
                <w:lang w:val="en-US"/>
              </w:rPr>
              <w:t>Percentage of trials without a decision in the provided time relative to the total amount of trials</w:t>
            </w:r>
          </w:p>
        </w:tc>
      </w:tr>
    </w:tbl>
    <w:p w:rsidR="007548E7" w:rsidRDefault="007548E7" w:rsidP="001B269E">
      <w:pPr>
        <w:spacing w:line="360" w:lineRule="auto"/>
        <w:rPr>
          <w:sz w:val="24"/>
          <w:szCs w:val="24"/>
          <w:lang w:val="en-US"/>
        </w:rPr>
      </w:pPr>
    </w:p>
    <w:p w:rsidR="002A5D7F" w:rsidRPr="002A5D7F" w:rsidRDefault="002A5D7F" w:rsidP="002A5D7F">
      <w:pPr>
        <w:pStyle w:val="Heading3"/>
        <w:rPr>
          <w:lang w:val="en-US"/>
        </w:rPr>
      </w:pPr>
      <w:r w:rsidRPr="002A5D7F">
        <w:rPr>
          <w:lang w:val="en-US"/>
        </w:rPr>
        <w:t>5-CSWM task training</w:t>
      </w:r>
    </w:p>
    <w:p w:rsidR="004B092D" w:rsidRDefault="00697C9B" w:rsidP="001B269E">
      <w:pPr>
        <w:spacing w:line="360" w:lineRule="auto"/>
        <w:rPr>
          <w:sz w:val="24"/>
          <w:szCs w:val="24"/>
          <w:lang w:val="en-US"/>
        </w:rPr>
      </w:pPr>
      <w:r>
        <w:rPr>
          <w:sz w:val="24"/>
          <w:szCs w:val="24"/>
          <w:lang w:val="en-US"/>
        </w:rPr>
        <w:t xml:space="preserve">The </w:t>
      </w:r>
      <w:r w:rsidRPr="00697C9B">
        <w:rPr>
          <w:b/>
          <w:sz w:val="24"/>
          <w:szCs w:val="24"/>
          <w:lang w:val="en-US"/>
        </w:rPr>
        <w:t>three</w:t>
      </w:r>
      <w:r w:rsidR="001B269E" w:rsidRPr="00697C9B">
        <w:rPr>
          <w:b/>
          <w:sz w:val="24"/>
          <w:szCs w:val="24"/>
          <w:lang w:val="en-US"/>
        </w:rPr>
        <w:t xml:space="preserve"> main stages</w:t>
      </w:r>
      <w:r w:rsidR="004B092D" w:rsidRPr="00697C9B">
        <w:rPr>
          <w:b/>
          <w:sz w:val="24"/>
          <w:szCs w:val="24"/>
          <w:lang w:val="en-US"/>
        </w:rPr>
        <w:t xml:space="preserve"> of the 5-CSWM</w:t>
      </w:r>
      <w:r w:rsidR="004B092D">
        <w:rPr>
          <w:sz w:val="24"/>
          <w:szCs w:val="24"/>
          <w:lang w:val="en-US"/>
        </w:rPr>
        <w:t xml:space="preserve"> task</w:t>
      </w:r>
      <w:r w:rsidR="001B269E" w:rsidRPr="001A65CF">
        <w:rPr>
          <w:sz w:val="24"/>
          <w:szCs w:val="24"/>
          <w:lang w:val="en-US"/>
        </w:rPr>
        <w:t xml:space="preserve"> </w:t>
      </w:r>
      <w:r w:rsidR="00DC06D4">
        <w:rPr>
          <w:sz w:val="24"/>
          <w:szCs w:val="24"/>
          <w:lang w:val="en-US"/>
        </w:rPr>
        <w:t>were</w:t>
      </w:r>
      <w:r w:rsidR="001B269E" w:rsidRPr="001A65CF">
        <w:rPr>
          <w:sz w:val="24"/>
          <w:szCs w:val="24"/>
          <w:lang w:val="en-US"/>
        </w:rPr>
        <w:t xml:space="preserve"> </w:t>
      </w:r>
      <w:r w:rsidR="001B269E">
        <w:rPr>
          <w:sz w:val="24"/>
          <w:szCs w:val="24"/>
          <w:lang w:val="en-US"/>
        </w:rPr>
        <w:t>primarily</w:t>
      </w:r>
      <w:r w:rsidR="001B269E" w:rsidRPr="001A65CF">
        <w:rPr>
          <w:sz w:val="24"/>
          <w:szCs w:val="24"/>
          <w:lang w:val="en-US"/>
        </w:rPr>
        <w:t xml:space="preserve"> characterized by the distance</w:t>
      </w:r>
      <w:r w:rsidR="004B092D">
        <w:rPr>
          <w:sz w:val="24"/>
          <w:szCs w:val="24"/>
          <w:lang w:val="en-US"/>
        </w:rPr>
        <w:t xml:space="preserve"> (number of non-illuminated holes)</w:t>
      </w:r>
      <w:r w:rsidR="001B269E" w:rsidRPr="001A65CF">
        <w:rPr>
          <w:sz w:val="24"/>
          <w:szCs w:val="24"/>
          <w:lang w:val="en-US"/>
        </w:rPr>
        <w:t xml:space="preserve"> between the two holes presented in the choice phase</w:t>
      </w:r>
      <w:r w:rsidR="004B092D">
        <w:rPr>
          <w:sz w:val="24"/>
          <w:szCs w:val="24"/>
          <w:lang w:val="en-US"/>
        </w:rPr>
        <w:t xml:space="preserve"> – 2-hole gap in stage 1, 1-hole gap in stage 2, and either 1- or 2-hole gaps (randomly) in stage 3. For the third challenge protocol (“proximity challenge”) this distance was further reduced to 0, i.e. the two choice holes were immediately neighbouring. The implies that – when taking the identity of the </w:t>
      </w:r>
      <w:r w:rsidR="004B092D" w:rsidRPr="00DC06D4">
        <w:rPr>
          <w:i/>
          <w:sz w:val="24"/>
          <w:szCs w:val="24"/>
          <w:lang w:val="en-US"/>
        </w:rPr>
        <w:t>correct</w:t>
      </w:r>
      <w:r w:rsidR="004B092D">
        <w:rPr>
          <w:sz w:val="24"/>
          <w:szCs w:val="24"/>
          <w:lang w:val="en-US"/>
        </w:rPr>
        <w:t xml:space="preserve"> hole into account - there are 4 possible choice configurations in stage 1, 6 in stage 2, 10 in stage 3 and 8 in the proximity challenge. The assumption is, that the difficulty of the task and the difficulty to solve it by positioning the body in front of the correct hole during the delay increases with the number of expectable choice options as well as with decreasing distance (higher similarity) between the two choice holes. </w:t>
      </w:r>
      <w:r w:rsidR="00D209E1">
        <w:rPr>
          <w:sz w:val="24"/>
          <w:szCs w:val="24"/>
          <w:lang w:val="en-US"/>
        </w:rPr>
        <w:t>H</w:t>
      </w:r>
      <w:r w:rsidR="004B092D">
        <w:rPr>
          <w:sz w:val="24"/>
          <w:szCs w:val="24"/>
          <w:lang w:val="en-US"/>
        </w:rPr>
        <w:t xml:space="preserve">owever, </w:t>
      </w:r>
      <w:r>
        <w:rPr>
          <w:sz w:val="24"/>
          <w:szCs w:val="24"/>
          <w:lang w:val="en-US"/>
        </w:rPr>
        <w:t>task difficulty did not seem to increase with decreasing distance</w:t>
      </w:r>
      <w:r w:rsidR="004B092D">
        <w:rPr>
          <w:sz w:val="24"/>
          <w:szCs w:val="24"/>
          <w:lang w:val="en-US"/>
        </w:rPr>
        <w:t>, as indicated by the results of the proximity challenge (Figure 2A-F).</w:t>
      </w:r>
      <w:r w:rsidR="00A630C9">
        <w:rPr>
          <w:sz w:val="24"/>
          <w:szCs w:val="24"/>
          <w:lang w:val="en-US"/>
        </w:rPr>
        <w:t xml:space="preserve"> </w:t>
      </w:r>
      <w:r w:rsidR="00EF5AEB">
        <w:rPr>
          <w:sz w:val="24"/>
          <w:szCs w:val="24"/>
          <w:lang w:val="en-US"/>
        </w:rPr>
        <w:t>(</w:t>
      </w:r>
      <w:r w:rsidR="00A630C9">
        <w:rPr>
          <w:sz w:val="24"/>
          <w:szCs w:val="24"/>
          <w:lang w:val="en-US"/>
        </w:rPr>
        <w:t>Note that</w:t>
      </w:r>
      <w:r w:rsidR="00EF5AEB">
        <w:rPr>
          <w:sz w:val="24"/>
          <w:szCs w:val="24"/>
          <w:lang w:val="en-US"/>
        </w:rPr>
        <w:t xml:space="preserve"> - based on the result of the proximity challenge -</w:t>
      </w:r>
      <w:r w:rsidR="00A630C9">
        <w:rPr>
          <w:sz w:val="24"/>
          <w:szCs w:val="24"/>
          <w:lang w:val="en-US"/>
        </w:rPr>
        <w:t xml:space="preserve"> a further modification, that could be made in future studies</w:t>
      </w:r>
      <w:r w:rsidR="00A630C9" w:rsidRPr="00A630C9">
        <w:rPr>
          <w:sz w:val="24"/>
          <w:szCs w:val="24"/>
          <w:lang w:val="en-US"/>
        </w:rPr>
        <w:t xml:space="preserve"> </w:t>
      </w:r>
      <w:r w:rsidR="00A630C9">
        <w:rPr>
          <w:sz w:val="24"/>
          <w:szCs w:val="24"/>
          <w:lang w:val="en-US"/>
        </w:rPr>
        <w:t>to achieve the same goal</w:t>
      </w:r>
      <w:r w:rsidR="00EF5AEB">
        <w:rPr>
          <w:sz w:val="24"/>
          <w:szCs w:val="24"/>
          <w:lang w:val="en-US"/>
        </w:rPr>
        <w:t>, w</w:t>
      </w:r>
      <w:r w:rsidR="00A630C9">
        <w:rPr>
          <w:sz w:val="24"/>
          <w:szCs w:val="24"/>
          <w:lang w:val="en-US"/>
        </w:rPr>
        <w:t xml:space="preserve">ould be to illuminate more than 2 holes, so that 2 or more incorrect holes would be </w:t>
      </w:r>
      <w:r w:rsidR="00EF5AEB">
        <w:rPr>
          <w:sz w:val="24"/>
          <w:szCs w:val="24"/>
          <w:lang w:val="en-US"/>
        </w:rPr>
        <w:t xml:space="preserve">presented simultaneously with the correct one in the CP, lowering the probability to pick the correct hole by chance or to encode the correct choice by positioning the body on either side of the box. Also note, that the observation, that mice trained in the </w:t>
      </w:r>
      <w:r w:rsidR="00EF5AEB" w:rsidRPr="00EF5AEB">
        <w:rPr>
          <w:i/>
          <w:sz w:val="24"/>
          <w:szCs w:val="24"/>
          <w:lang w:val="en-US"/>
        </w:rPr>
        <w:t>dark</w:t>
      </w:r>
      <w:r w:rsidR="00EF5AEB">
        <w:rPr>
          <w:sz w:val="24"/>
          <w:szCs w:val="24"/>
          <w:lang w:val="en-US"/>
        </w:rPr>
        <w:t xml:space="preserve"> protocol are – if anything – better than those trained in the </w:t>
      </w:r>
      <w:r w:rsidR="00EF5AEB" w:rsidRPr="00EF5AEB">
        <w:rPr>
          <w:i/>
          <w:sz w:val="24"/>
          <w:szCs w:val="24"/>
          <w:lang w:val="en-US"/>
        </w:rPr>
        <w:t>light</w:t>
      </w:r>
      <w:r w:rsidR="00EF5AEB">
        <w:rPr>
          <w:sz w:val="24"/>
          <w:szCs w:val="24"/>
          <w:lang w:val="en-US"/>
        </w:rPr>
        <w:t xml:space="preserve"> protocol (Figure 2A-F), suggests, that mice do not use orientation and body-placement according to visual landmarks (such as the 5-choice wall itself) in the delay phase (during which the box is dark in the </w:t>
      </w:r>
      <w:r w:rsidR="00EF5AEB" w:rsidRPr="00EF5AEB">
        <w:rPr>
          <w:i/>
          <w:sz w:val="24"/>
          <w:szCs w:val="24"/>
          <w:lang w:val="en-US"/>
        </w:rPr>
        <w:t>dark</w:t>
      </w:r>
      <w:r w:rsidR="00EF5AEB">
        <w:rPr>
          <w:sz w:val="24"/>
          <w:szCs w:val="24"/>
          <w:lang w:val="en-US"/>
        </w:rPr>
        <w:t xml:space="preserve"> protocol) to maintain the information about the correct choice.)</w:t>
      </w:r>
      <w:r w:rsidR="00B0590E">
        <w:rPr>
          <w:sz w:val="24"/>
          <w:szCs w:val="24"/>
          <w:lang w:val="en-US"/>
        </w:rPr>
        <w:t xml:space="preserve"> Additionally, the SD in SP and CP was 30 s in stage 1 and 20 s in stage 2 and at the beginning of stage 3 (see below).</w:t>
      </w:r>
    </w:p>
    <w:p w:rsidR="00F74F57" w:rsidRDefault="001B269E" w:rsidP="001B269E">
      <w:pPr>
        <w:spacing w:line="360" w:lineRule="auto"/>
        <w:rPr>
          <w:sz w:val="24"/>
          <w:szCs w:val="24"/>
          <w:lang w:val="en-US"/>
        </w:rPr>
      </w:pPr>
      <w:r w:rsidRPr="002A5D7F">
        <w:rPr>
          <w:sz w:val="24"/>
          <w:szCs w:val="24"/>
          <w:lang w:val="en-US"/>
        </w:rPr>
        <w:t>There</w:t>
      </w:r>
      <w:r>
        <w:rPr>
          <w:sz w:val="24"/>
          <w:szCs w:val="24"/>
          <w:lang w:val="en-US"/>
        </w:rPr>
        <w:t xml:space="preserve"> </w:t>
      </w:r>
      <w:r w:rsidR="00DC06D4">
        <w:rPr>
          <w:sz w:val="24"/>
          <w:szCs w:val="24"/>
          <w:lang w:val="en-US"/>
        </w:rPr>
        <w:t>were</w:t>
      </w:r>
      <w:r>
        <w:rPr>
          <w:sz w:val="24"/>
          <w:szCs w:val="24"/>
          <w:lang w:val="en-US"/>
        </w:rPr>
        <w:t xml:space="preserve"> further</w:t>
      </w:r>
      <w:r w:rsidRPr="001A65CF">
        <w:rPr>
          <w:sz w:val="24"/>
          <w:szCs w:val="24"/>
          <w:lang w:val="en-US"/>
        </w:rPr>
        <w:t xml:space="preserve"> </w:t>
      </w:r>
      <w:r w:rsidRPr="00697C9B">
        <w:rPr>
          <w:b/>
          <w:sz w:val="24"/>
          <w:szCs w:val="24"/>
          <w:lang w:val="en-US"/>
        </w:rPr>
        <w:t>sub-stages</w:t>
      </w:r>
      <w:r>
        <w:rPr>
          <w:sz w:val="24"/>
          <w:szCs w:val="24"/>
          <w:lang w:val="en-US"/>
        </w:rPr>
        <w:t xml:space="preserve"> within</w:t>
      </w:r>
      <w:r w:rsidRPr="001A65CF">
        <w:rPr>
          <w:sz w:val="24"/>
          <w:szCs w:val="24"/>
          <w:lang w:val="en-US"/>
        </w:rPr>
        <w:t xml:space="preserve"> the main stages 1 and 2</w:t>
      </w:r>
      <w:r w:rsidR="00EA1AB5">
        <w:rPr>
          <w:sz w:val="24"/>
          <w:szCs w:val="24"/>
          <w:lang w:val="en-US"/>
        </w:rPr>
        <w:t xml:space="preserve"> -</w:t>
      </w:r>
      <w:r>
        <w:rPr>
          <w:sz w:val="24"/>
          <w:szCs w:val="24"/>
          <w:lang w:val="en-US"/>
        </w:rPr>
        <w:t xml:space="preserve"> which</w:t>
      </w:r>
      <w:r w:rsidRPr="001A65CF">
        <w:rPr>
          <w:sz w:val="24"/>
          <w:szCs w:val="24"/>
          <w:lang w:val="en-US"/>
        </w:rPr>
        <w:t xml:space="preserve"> </w:t>
      </w:r>
      <w:r w:rsidR="00DC06D4">
        <w:rPr>
          <w:sz w:val="24"/>
          <w:szCs w:val="24"/>
          <w:lang w:val="en-US"/>
        </w:rPr>
        <w:t>were</w:t>
      </w:r>
      <w:r w:rsidRPr="001A65CF">
        <w:rPr>
          <w:sz w:val="24"/>
          <w:szCs w:val="24"/>
          <w:lang w:val="en-US"/>
        </w:rPr>
        <w:t xml:space="preserve"> defined by the </w:t>
      </w:r>
      <w:r w:rsidRPr="00EA1AB5">
        <w:rPr>
          <w:i/>
          <w:sz w:val="24"/>
          <w:szCs w:val="24"/>
          <w:lang w:val="en-US"/>
        </w:rPr>
        <w:t>amount of reward</w:t>
      </w:r>
      <w:r w:rsidRPr="001A65CF">
        <w:rPr>
          <w:sz w:val="24"/>
          <w:szCs w:val="24"/>
          <w:lang w:val="en-US"/>
        </w:rPr>
        <w:t xml:space="preserve"> given in the </w:t>
      </w:r>
      <w:r w:rsidR="00697C9B">
        <w:rPr>
          <w:sz w:val="24"/>
          <w:szCs w:val="24"/>
          <w:lang w:val="en-US"/>
        </w:rPr>
        <w:t>SP</w:t>
      </w:r>
      <w:r w:rsidR="00EA1AB5">
        <w:rPr>
          <w:sz w:val="24"/>
          <w:szCs w:val="24"/>
          <w:lang w:val="en-US"/>
        </w:rPr>
        <w:t xml:space="preserve"> -</w:t>
      </w:r>
      <w:r w:rsidR="00697C9B">
        <w:rPr>
          <w:sz w:val="24"/>
          <w:szCs w:val="24"/>
          <w:lang w:val="en-US"/>
        </w:rPr>
        <w:t xml:space="preserve"> and </w:t>
      </w:r>
      <w:r w:rsidRPr="001A65CF">
        <w:rPr>
          <w:sz w:val="24"/>
          <w:szCs w:val="24"/>
          <w:lang w:val="en-US"/>
        </w:rPr>
        <w:t>in main stage 3</w:t>
      </w:r>
      <w:r w:rsidR="00EA1AB5">
        <w:rPr>
          <w:sz w:val="24"/>
          <w:szCs w:val="24"/>
          <w:lang w:val="en-US"/>
        </w:rPr>
        <w:t xml:space="preserve"> -</w:t>
      </w:r>
      <w:r>
        <w:rPr>
          <w:sz w:val="24"/>
          <w:szCs w:val="24"/>
          <w:lang w:val="en-US"/>
        </w:rPr>
        <w:t xml:space="preserve"> which </w:t>
      </w:r>
      <w:r w:rsidR="00EA1AB5">
        <w:rPr>
          <w:sz w:val="24"/>
          <w:szCs w:val="24"/>
          <w:lang w:val="en-US"/>
        </w:rPr>
        <w:t>were</w:t>
      </w:r>
      <w:r>
        <w:rPr>
          <w:sz w:val="24"/>
          <w:szCs w:val="24"/>
          <w:lang w:val="en-US"/>
        </w:rPr>
        <w:t xml:space="preserve"> defined</w:t>
      </w:r>
      <w:r w:rsidRPr="001A65CF">
        <w:rPr>
          <w:sz w:val="24"/>
          <w:szCs w:val="24"/>
          <w:lang w:val="en-US"/>
        </w:rPr>
        <w:t xml:space="preserve"> by the </w:t>
      </w:r>
      <w:r w:rsidRPr="00EA1AB5">
        <w:rPr>
          <w:i/>
          <w:sz w:val="24"/>
          <w:szCs w:val="24"/>
          <w:lang w:val="en-US"/>
        </w:rPr>
        <w:t>stimulus duration</w:t>
      </w:r>
      <w:r w:rsidRPr="001A65CF">
        <w:rPr>
          <w:sz w:val="24"/>
          <w:szCs w:val="24"/>
          <w:lang w:val="en-US"/>
        </w:rPr>
        <w:t xml:space="preserve"> in the </w:t>
      </w:r>
      <w:r w:rsidR="00697C9B">
        <w:rPr>
          <w:sz w:val="24"/>
          <w:szCs w:val="24"/>
          <w:lang w:val="en-US"/>
        </w:rPr>
        <w:t>SP</w:t>
      </w:r>
      <w:r w:rsidR="00EA1AB5">
        <w:rPr>
          <w:sz w:val="24"/>
          <w:szCs w:val="24"/>
          <w:lang w:val="en-US"/>
        </w:rPr>
        <w:t xml:space="preserve"> (SP-SD)</w:t>
      </w:r>
      <w:r w:rsidRPr="001A65CF">
        <w:rPr>
          <w:sz w:val="24"/>
          <w:szCs w:val="24"/>
          <w:lang w:val="en-US"/>
        </w:rPr>
        <w:t xml:space="preserve">. </w:t>
      </w:r>
      <w:r w:rsidR="009824E8">
        <w:rPr>
          <w:sz w:val="24"/>
          <w:szCs w:val="24"/>
          <w:lang w:val="en-US"/>
        </w:rPr>
        <w:t xml:space="preserve">Starting from a SP reward of </w:t>
      </w:r>
      <w:r w:rsidR="009824E8" w:rsidRPr="001A65CF">
        <w:rPr>
          <w:sz w:val="24"/>
          <w:szCs w:val="24"/>
          <w:lang w:val="en-US"/>
        </w:rPr>
        <w:t>20</w:t>
      </w:r>
      <w:r w:rsidR="00EA1AB5">
        <w:rPr>
          <w:sz w:val="24"/>
          <w:szCs w:val="24"/>
          <w:lang w:val="en-US"/>
        </w:rPr>
        <w:t> </w:t>
      </w:r>
      <w:r w:rsidR="009824E8" w:rsidRPr="001A65CF">
        <w:rPr>
          <w:sz w:val="24"/>
          <w:szCs w:val="24"/>
          <w:lang w:val="en-US"/>
        </w:rPr>
        <w:t xml:space="preserve">µl </w:t>
      </w:r>
      <w:r w:rsidR="009824E8">
        <w:rPr>
          <w:sz w:val="24"/>
          <w:szCs w:val="24"/>
          <w:lang w:val="en-US"/>
        </w:rPr>
        <w:t xml:space="preserve">in stage 1 and </w:t>
      </w:r>
      <w:r w:rsidR="00EA1AB5">
        <w:rPr>
          <w:sz w:val="24"/>
          <w:szCs w:val="24"/>
          <w:lang w:val="en-US"/>
        </w:rPr>
        <w:t>1</w:t>
      </w:r>
      <w:r w:rsidR="009824E8" w:rsidRPr="001A65CF">
        <w:rPr>
          <w:sz w:val="24"/>
          <w:szCs w:val="24"/>
          <w:lang w:val="en-US"/>
        </w:rPr>
        <w:t>0</w:t>
      </w:r>
      <w:r w:rsidR="00EA1AB5">
        <w:rPr>
          <w:sz w:val="24"/>
          <w:szCs w:val="24"/>
          <w:lang w:val="en-US"/>
        </w:rPr>
        <w:t> </w:t>
      </w:r>
      <w:r w:rsidR="009824E8" w:rsidRPr="001A65CF">
        <w:rPr>
          <w:sz w:val="24"/>
          <w:szCs w:val="24"/>
          <w:lang w:val="en-US"/>
        </w:rPr>
        <w:t xml:space="preserve">µl </w:t>
      </w:r>
      <w:r w:rsidR="009824E8">
        <w:rPr>
          <w:sz w:val="24"/>
          <w:szCs w:val="24"/>
          <w:lang w:val="en-US"/>
        </w:rPr>
        <w:t>in stage 2, the amount was reduced at 1</w:t>
      </w:r>
      <w:r w:rsidR="009824E8" w:rsidRPr="001A65CF">
        <w:rPr>
          <w:sz w:val="24"/>
          <w:szCs w:val="24"/>
          <w:lang w:val="en-US"/>
        </w:rPr>
        <w:t>0</w:t>
      </w:r>
      <w:r w:rsidR="00C069FE">
        <w:rPr>
          <w:sz w:val="24"/>
          <w:szCs w:val="24"/>
          <w:lang w:val="en-US"/>
        </w:rPr>
        <w:t> </w:t>
      </w:r>
      <w:r w:rsidR="009824E8" w:rsidRPr="001A65CF">
        <w:rPr>
          <w:sz w:val="24"/>
          <w:szCs w:val="24"/>
          <w:lang w:val="en-US"/>
        </w:rPr>
        <w:t>µl</w:t>
      </w:r>
      <w:r w:rsidR="009824E8">
        <w:rPr>
          <w:sz w:val="24"/>
          <w:szCs w:val="24"/>
          <w:lang w:val="en-US"/>
        </w:rPr>
        <w:t xml:space="preserve"> and then 0 (stage</w:t>
      </w:r>
      <w:r w:rsidR="00EA1AB5">
        <w:rPr>
          <w:sz w:val="24"/>
          <w:szCs w:val="24"/>
          <w:lang w:val="en-US"/>
        </w:rPr>
        <w:t xml:space="preserve"> 1</w:t>
      </w:r>
      <w:r w:rsidR="009824E8">
        <w:rPr>
          <w:sz w:val="24"/>
          <w:szCs w:val="24"/>
          <w:lang w:val="en-US"/>
        </w:rPr>
        <w:t>) or to 0 (stage 2), if the respective criterion was met.</w:t>
      </w:r>
      <w:r w:rsidR="00C069FE">
        <w:rPr>
          <w:sz w:val="24"/>
          <w:szCs w:val="24"/>
          <w:lang w:val="en-US"/>
        </w:rPr>
        <w:t xml:space="preserve"> (</w:t>
      </w:r>
      <w:r w:rsidR="00C069FE">
        <w:rPr>
          <w:lang w:val="en-US"/>
        </w:rPr>
        <w:t xml:space="preserve">Note that the current sub-stage of stage 1, from which the animal departed, determined the sub-stage of stage 2 with which it continued, i.e. animals would receive </w:t>
      </w:r>
      <w:r w:rsidR="00C069FE">
        <w:rPr>
          <w:sz w:val="24"/>
          <w:szCs w:val="24"/>
          <w:lang w:val="en-US"/>
        </w:rPr>
        <w:t>1</w:t>
      </w:r>
      <w:r w:rsidR="00C069FE" w:rsidRPr="001A65CF">
        <w:rPr>
          <w:sz w:val="24"/>
          <w:szCs w:val="24"/>
          <w:lang w:val="en-US"/>
        </w:rPr>
        <w:t>0</w:t>
      </w:r>
      <w:r w:rsidR="00C069FE">
        <w:rPr>
          <w:sz w:val="24"/>
          <w:szCs w:val="24"/>
          <w:lang w:val="en-US"/>
        </w:rPr>
        <w:t> </w:t>
      </w:r>
      <w:r w:rsidR="00C069FE" w:rsidRPr="001A65CF">
        <w:rPr>
          <w:sz w:val="24"/>
          <w:szCs w:val="24"/>
          <w:lang w:val="en-US"/>
        </w:rPr>
        <w:t>µl</w:t>
      </w:r>
      <w:r w:rsidR="00C069FE">
        <w:rPr>
          <w:sz w:val="24"/>
          <w:szCs w:val="24"/>
          <w:lang w:val="en-US"/>
        </w:rPr>
        <w:t xml:space="preserve"> if they had received 20 or 1</w:t>
      </w:r>
      <w:r w:rsidR="00C069FE" w:rsidRPr="001A65CF">
        <w:rPr>
          <w:sz w:val="24"/>
          <w:szCs w:val="24"/>
          <w:lang w:val="en-US"/>
        </w:rPr>
        <w:t>0</w:t>
      </w:r>
      <w:r w:rsidR="00C069FE">
        <w:rPr>
          <w:sz w:val="24"/>
          <w:szCs w:val="24"/>
          <w:lang w:val="en-US"/>
        </w:rPr>
        <w:t> </w:t>
      </w:r>
      <w:r w:rsidR="00C069FE" w:rsidRPr="001A65CF">
        <w:rPr>
          <w:sz w:val="24"/>
          <w:szCs w:val="24"/>
          <w:lang w:val="en-US"/>
        </w:rPr>
        <w:t>µl</w:t>
      </w:r>
      <w:r w:rsidR="00C069FE">
        <w:rPr>
          <w:sz w:val="24"/>
          <w:szCs w:val="24"/>
          <w:lang w:val="en-US"/>
        </w:rPr>
        <w:t xml:space="preserve"> in stage 1 before, but they would receive 0</w:t>
      </w:r>
      <w:r w:rsidR="00EA1AB5">
        <w:rPr>
          <w:sz w:val="24"/>
          <w:szCs w:val="24"/>
          <w:lang w:val="en-US"/>
        </w:rPr>
        <w:t> </w:t>
      </w:r>
      <w:r w:rsidR="00EA1AB5" w:rsidRPr="001A65CF">
        <w:rPr>
          <w:sz w:val="24"/>
          <w:szCs w:val="24"/>
          <w:lang w:val="en-US"/>
        </w:rPr>
        <w:t>µl</w:t>
      </w:r>
      <w:r w:rsidR="00C069FE">
        <w:rPr>
          <w:sz w:val="24"/>
          <w:szCs w:val="24"/>
          <w:lang w:val="en-US"/>
        </w:rPr>
        <w:t>, if they had arrived at 0</w:t>
      </w:r>
      <w:r w:rsidR="00EA1AB5">
        <w:rPr>
          <w:sz w:val="24"/>
          <w:szCs w:val="24"/>
          <w:lang w:val="en-US"/>
        </w:rPr>
        <w:t> </w:t>
      </w:r>
      <w:r w:rsidR="00EA1AB5" w:rsidRPr="001A65CF">
        <w:rPr>
          <w:sz w:val="24"/>
          <w:szCs w:val="24"/>
          <w:lang w:val="en-US"/>
        </w:rPr>
        <w:t>µl</w:t>
      </w:r>
      <w:r w:rsidR="00C069FE">
        <w:rPr>
          <w:sz w:val="24"/>
          <w:szCs w:val="24"/>
          <w:lang w:val="en-US"/>
        </w:rPr>
        <w:t xml:space="preserve"> already in their prior training in stage 1</w:t>
      </w:r>
      <w:r w:rsidR="00B0590E">
        <w:rPr>
          <w:sz w:val="24"/>
          <w:szCs w:val="24"/>
          <w:lang w:val="en-US"/>
        </w:rPr>
        <w:t>.</w:t>
      </w:r>
      <w:r w:rsidR="00C069FE">
        <w:rPr>
          <w:sz w:val="24"/>
          <w:szCs w:val="24"/>
          <w:lang w:val="en-US"/>
        </w:rPr>
        <w:t>)</w:t>
      </w:r>
      <w:r w:rsidR="009824E8">
        <w:rPr>
          <w:sz w:val="24"/>
          <w:szCs w:val="24"/>
          <w:lang w:val="en-US"/>
        </w:rPr>
        <w:t xml:space="preserve"> This measure was done to avoid animals to adapt a strategy of obtaining their reward mainly from performing well in the SPs, while accepting a random (50 %) success rate for the CP</w:t>
      </w:r>
      <w:r w:rsidR="00C069FE">
        <w:rPr>
          <w:sz w:val="24"/>
          <w:szCs w:val="24"/>
          <w:lang w:val="en-US"/>
        </w:rPr>
        <w:t xml:space="preserve">; the same measure was used in the rat CAM-task </w:t>
      </w:r>
      <w:r w:rsidR="004100F7">
        <w:rPr>
          <w:sz w:val="24"/>
          <w:szCs w:val="24"/>
          <w:lang w:val="en-US"/>
        </w:rPr>
        <w:fldChar w:fldCharType="begin"/>
      </w:r>
      <w:r w:rsidR="00C069FE">
        <w:rPr>
          <w:sz w:val="24"/>
          <w:szCs w:val="24"/>
          <w:lang w:val="en-US"/>
        </w:rPr>
        <w:instrText xml:space="preserve"> ADDIN ZOTERO_ITEM CSL_CITATION {"citationID":"2d34non9vt","properties":{"formattedCitation":"(Chudasama et al., 2004, 2005; Chudasama and Robbins, 2004)","plainCitation":"(Chudasama et al., 2004, 2005; Chudasama and Robbins, 2004)"},"citationItems":[{"id":"uMoHERV4/gUrUrzzi","uris":["http://www.mendeley.com/documents/?uuid=e71f129a-75ab-4404-a05d-dce44ac09900"],"uri":["http://www.mendeley.com/documents/?uuid=e71f129a-75ab-4404-a05d-dce44ac09900"],"itemData":{"DOI":"10.1101/lm.70904.such","author":[{"dropping-particle":"","family":"Chudasama","given":"Y","non-dropping-particle":"","parse-names":false,"suffix":""},{"dropping-particle":"","family":"Dalley","given":"J W","non-dropping-particle":"","parse-names":false,"suffix":""},{"dropping-particle":"","family":"Nathwani","given":"F","non-dropping-particle":"","parse-names":false,"suffix":""},{"dropping-particle":"","family":"Bouger","given":"P","non-dropping-particle":"","parse-names":false,"suffix":""},{"dropping-particle":"","family":"Robbins","given":"T W","non-dropping-particle":"","parse-names":false,"suffix":""}],"container-title":"Learning and Memory","id":"uMoHERV4/gUrUrzzi","issued":{"year":2004},"page":"78-86","title":"Cholinergic modulation of visual attention and working memory: dissociable effects of basal forebrain 192 IgG-saporin, lesions and intraprefrontal infusion of scopolamine","type":"article-journal","volume":"11","page-first":"78","container-title-short":"Learn. Mem."}},{"id":15924,"uris":["http://zotero.org/users/local/biVi7xTd/items/V42NRMXD"],"uri":["http://zotero.org/users/local/biVi7xTd/items/V42NRMXD"],"itemData":{"id":15924,"type":"article-journal","title":"d-Amphetamine remediates attentional performance in rats with dorsal prefrontal lesions","container-title":"Behavioural Brain Research","page":"97-107","volume":"158","issue":"1","abstract":"Although amphetamine treatment has been shown to promote recovery of motor function in animals with cortical ablations, the potential therapeutic effect of amphetamine on processes other than motor control, such as attention and working memory, has been relatively unexplored. Accordingly, we investigated the beneficial effect of d-amphetamine treatment in animals with dorsal prefrontal cortex lesions (dPFC) compared with sham controls on a novel combined attention-memory task (CAM) that simultaneously measures attention to a visual stimulus and memory for that stimulus. The dPFC group was impaired in their ability to correctly detect the visual stimulus. Although this deficit occurred together with increased omissions and slow response latencies, these associated deficits largely recovered within the 10 post-operative baseline sessions revealing a selective attentional deficit in this group of animals. Nonetheless, the dPFC lesion did not substantially affect the working memory component of the task. The systemic administration of d-amphetamine served to ameliorate the attentional deficit in the dPFC group at the low dose only (0.2 mg/kg). By contrast, the dPFC group were less sensitive to the detrimental effects of the high dose (0.8 mg/kg) on any aspect of task performance. However, despite improving attention to the visual stimulus, d-amphetamine did not improve memory for that stimulus which instead appeared to deteriorate. The results provide apparently the first demonstration that low doses of d-amphetamine can ameliorate an attentional deficit in animals with selective dPFC lesions and may be a useful model of cognitive deficit in ADHD, schizophrenia or frontal brain injury.","ISSN":"0166-4328","author":[{"family":"Chudasama","given":"Y."},{"family":"Nathwani","given":"F."},{"family":"Robbins","given":"T. W."}],"issued":{"date-parts":[["2005"]]}}},{"id":"uMoHERV4/GeY6MZKY","uris":["http://www.mendeley.com/documents/?uuid=38bf0b75-366c-4a34-b9a1-c6fd221aff61"],"uri":["http://www.mendeley.com/documents/?uuid=38bf0b75-366c-4a34-b9a1-c6fd221aff61"],"itemData":{"DOI":"10.1038/sj.npp.1300490","ISBN":"0893-133X","ISSN":"0893-133X","PMID":"15138446","abstract":"Converging evidence suggests that dopaminergic projections to the prefrontal cortex (PFC) modulate both attention and working memory processes that may be related to either insufficient or excessive dopamine activity specific to a D1 receptor mechanism. We examined the effects of bilateral intraprefrontal cortical infusions of the D1 agonist (SKF 81297) on a novel task specifically designed to assess the animals' ability to attend to a visual target (0.7 or 0.5 s) and then remember the location of that target over a variable delay (0-16 s) within the same test session. Bilateral prefrontal infusions of the low dose of SKF 81297 (0.01 microg) had no effect on visual attention or memory throughout the entire testing schedule. The medium (0.06 microg) dose preferentially increased attention to the stimulus target but only improved memory for that stimulus at a duration of 0.7 s, although in a delay-independent manner. The high dose (0.3 microg) of the D1 agonist also increased attentional accuracy. However, it was only under the more attention challenging condition (0.5 s) that this high dose also produced a baseline delay-dependent modulation of memory for the stimulus target. Specifically, good memory at the short delay was impaired and poor memory at the long delay was improved. These data provide the first demonstration that dopamine D1 receptor stimulation sufficient to improve attentional accuracy, can also disrupt, and facilitate short-term working memory performance in a delay-dependent manner.","author":[{"dropping-particle":"","family":"Chudasama","given":"Yogita","non-dropping-particle":"","parse-names":false,"suffix":""},{"dropping-particle":"","family":"Robbins","given":"Trevor W","non-dropping-particle":"","parse-names":false,"suffix":""}],"container-title":"Neuropsychopharmacology","id":"uMoHERV4/GeY6MZKY","issue":"9","issued":{"year":2004},"page":"1628-1636","title":"Dopaminergic Modulation of Visual Attention and Working Memory in the Rodent Prefrontal Cortex","type":"article-journal","volume":"29","page-first":"1628","container-title-short":"Neuropsychopharmacology"}}],"schema":"https://github.com/citation-style-language/schema/raw/master/csl-citation.json"} </w:instrText>
      </w:r>
      <w:r w:rsidR="004100F7">
        <w:rPr>
          <w:sz w:val="24"/>
          <w:szCs w:val="24"/>
          <w:lang w:val="en-US"/>
        </w:rPr>
        <w:fldChar w:fldCharType="separate"/>
      </w:r>
      <w:r w:rsidR="00C069FE" w:rsidRPr="00C069FE">
        <w:rPr>
          <w:rFonts w:cs="Times New Roman"/>
          <w:sz w:val="24"/>
          <w:lang w:val="en-GB"/>
        </w:rPr>
        <w:t>(Chudasama et al., 2004, 2005; Chudasama and Robbins, 2004)</w:t>
      </w:r>
      <w:r w:rsidR="004100F7">
        <w:rPr>
          <w:sz w:val="24"/>
          <w:szCs w:val="24"/>
          <w:lang w:val="en-US"/>
        </w:rPr>
        <w:fldChar w:fldCharType="end"/>
      </w:r>
      <w:r w:rsidR="009824E8">
        <w:rPr>
          <w:sz w:val="24"/>
          <w:szCs w:val="24"/>
          <w:lang w:val="en-US"/>
        </w:rPr>
        <w:t>. In stage 3 (SP reward = 0</w:t>
      </w:r>
      <w:r w:rsidR="00EA1AB5">
        <w:rPr>
          <w:sz w:val="24"/>
          <w:szCs w:val="24"/>
          <w:lang w:val="en-US"/>
        </w:rPr>
        <w:t> </w:t>
      </w:r>
      <w:r w:rsidR="00EA1AB5" w:rsidRPr="001A65CF">
        <w:rPr>
          <w:sz w:val="24"/>
          <w:szCs w:val="24"/>
          <w:lang w:val="en-US"/>
        </w:rPr>
        <w:t>µl</w:t>
      </w:r>
      <w:r w:rsidR="009824E8">
        <w:rPr>
          <w:sz w:val="24"/>
          <w:szCs w:val="24"/>
          <w:lang w:val="en-US"/>
        </w:rPr>
        <w:t xml:space="preserve"> by default), </w:t>
      </w:r>
      <w:r w:rsidR="009824E8" w:rsidRPr="00C069FE">
        <w:rPr>
          <w:sz w:val="24"/>
          <w:szCs w:val="24"/>
          <w:lang w:val="en-US"/>
        </w:rPr>
        <w:t>the sub-stages involved a shortening of the SP-SD to 8 s and (in the first cohort</w:t>
      </w:r>
      <w:r w:rsidR="00B0590E">
        <w:rPr>
          <w:sz w:val="24"/>
          <w:szCs w:val="24"/>
          <w:lang w:val="en-US"/>
        </w:rPr>
        <w:t>, n = 2*12</w:t>
      </w:r>
      <w:r w:rsidR="009824E8" w:rsidRPr="00C069FE">
        <w:rPr>
          <w:sz w:val="24"/>
          <w:szCs w:val="24"/>
          <w:lang w:val="en-US"/>
        </w:rPr>
        <w:t xml:space="preserve">) to 4 s. </w:t>
      </w:r>
      <w:r w:rsidR="00B0590E">
        <w:rPr>
          <w:sz w:val="24"/>
          <w:szCs w:val="24"/>
          <w:lang w:val="en-US"/>
        </w:rPr>
        <w:t>This has the advantage of better standardizing the allowed amount</w:t>
      </w:r>
      <w:r w:rsidR="002A5D7F">
        <w:rPr>
          <w:sz w:val="24"/>
          <w:szCs w:val="24"/>
          <w:lang w:val="en-US"/>
        </w:rPr>
        <w:t xml:space="preserve"> of time</w:t>
      </w:r>
      <w:r w:rsidR="00B0590E">
        <w:rPr>
          <w:sz w:val="24"/>
          <w:szCs w:val="24"/>
          <w:lang w:val="en-US"/>
        </w:rPr>
        <w:t xml:space="preserve"> to encode what is the correct stimulus location and provides a baseline (with 4 s SD), from which </w:t>
      </w:r>
      <w:r w:rsidR="002A5D7F">
        <w:rPr>
          <w:sz w:val="24"/>
          <w:szCs w:val="24"/>
          <w:lang w:val="en-US"/>
        </w:rPr>
        <w:t xml:space="preserve">sustained </w:t>
      </w:r>
      <w:r w:rsidR="00B0590E">
        <w:rPr>
          <w:sz w:val="24"/>
          <w:szCs w:val="24"/>
          <w:lang w:val="en-US"/>
        </w:rPr>
        <w:t>attention could be challenged by reducing the SP-SD further on individual days,</w:t>
      </w:r>
      <w:r w:rsidR="002A5D7F">
        <w:rPr>
          <w:sz w:val="24"/>
          <w:szCs w:val="24"/>
          <w:lang w:val="en-US"/>
        </w:rPr>
        <w:t xml:space="preserve"> if desired,</w:t>
      </w:r>
      <w:r w:rsidR="00B0590E">
        <w:rPr>
          <w:sz w:val="24"/>
          <w:szCs w:val="24"/>
          <w:lang w:val="en-US"/>
        </w:rPr>
        <w:t xml:space="preserve"> as done in the standard mouse 5-CSRTT </w:t>
      </w:r>
      <w:r w:rsidR="004100F7">
        <w:rPr>
          <w:sz w:val="24"/>
          <w:szCs w:val="24"/>
          <w:lang w:val="en-US"/>
        </w:rPr>
        <w:fldChar w:fldCharType="begin"/>
      </w:r>
      <w:r w:rsidR="00B0590E">
        <w:rPr>
          <w:sz w:val="24"/>
          <w:szCs w:val="24"/>
          <w:lang w:val="en-US"/>
        </w:rPr>
        <w:instrText xml:space="preserve"> ADDIN ZOTERO_ITEM CSL_CITATION {"citationID":"4a01a5oft","properties":{"formattedCitation":"(Bygrave et al., 2016; Grimm et al., 2018)","plainCitation":"(Bygrave et al., 2016; Grimm et al., 2018)"},"citationItems":[{"id":20206,"uris":["http://zotero.org/users/local/biVi7xTd/items/IQS2H36K"],"uri":["http://zotero.org/users/local/biVi7xTd/items/IQS2H36K"],"itemData":{"id":20206,"type":"article-journal","title":"Knockout of NMDA-receptors from parvalbumin interneurons sensitizes to schizophrenia-related deficits induced by MK-801","container-title":"Translational Psychiatry","page":"e778","volume":"6","abstract":"It has been suggested that a functional deficit in NMDA-receptors (NMDARs) on parvalbumin (PV)-positive interneurons (PVNMDARs)\nis central to the pathophysiology of schizophrenia. Supportive evidence come from examination of genetically modified\nmice where the obligatory NMDAR-subunit GluN1 (also known as NR1) has been deleted from PV interneurons by Cre-mediated\nknockout of the corresponding gene Grin1 (Grin1ΔPV mice). Notably, such PV-specific GluN1 ablation has been reported to blunt the\ninduction of hyperlocomotion (a surrogate for psychosis) by pharmacological NMDAR blockade with the non-competitive\nantagonist MK-801. This suggests PV-NMDARs as the site of the psychosis-inducing action of MK-801. In contrast to this hypothesis,\nwe show here that Grin1ΔPV mice are not protected against the effects of MK-801, but are in fact sensitized to many of them.\nCompared with control animals, Grin1ΔPV mice injected with MK-801 show increased stereotypy and pronounced catalepsy, which\nconfound the locomotor readout. Furthermore, in Grin1ΔPV mice, MK-801 induced medial-prefrontal delta (4 Hz) oscillations, and\nimpaired performance on tests of motor coordination, working memory and sucrose preference, even at lower doses than in wildtype\ncontrols. We also found that untreated Grin1ΔPV mice are largely normal across a wide range of cognitive functions, including\nattention, cognitive flexibility and various forms of short-term memory. Taken together these results argue against PV-specific\nNMDAR hypofunction as a key starting point of schizophrenia pathophysiology, but support a model where NMDAR hypofunction\nin multiple cell types contribute to the disease.","author":[{"family":"Bygrave","given":"Alexei M."},{"family":"Masiulis","given":"Simonas"},{"family":"Nicholson","given":"Elizabeth"},{"family":"Berkemann","given":"Michelle"},{"family":"Sprengel","given":"Rolf"},{"family":"Harrison","given":"Paul"},{"family":"Kullmann","given":"Dimitri M"},{"family":"Bannerman","given":"David M."},{"family":"Kätzel","given":"Dennis"}],"issued":{"date-parts":[["2016"]]}}},{"id":21445,"uris":["http://zotero.org/users/local/biVi7xTd/items/24WVQMEQ"],"uri":["http://zotero.org/users/local/biVi7xTd/items/24WVQMEQ"],"itemData":{"id":21445,"type":"article-journal","title":"Schizophrenia-related cognitive dysfunction in the Cyclin-D2 knockout mouse model of ventral hippocampal hyperactivity","container-title":"Translational Psychiatry","page":"212","volume":"8","issue":"1","source":"www.nature.com","abstract":"Elevated activity at the output stage of the anterior hippocampus has been described as a physiological endophenotype of schizophrenia, and its development maps onto the transition from the prodromal to the psychotic state. Interventions that halt the spreading glutamatergic over-activity in this region and thereby the development of overt schizophrenia could be promising therapies. However, animal models with high construct validity to support such pre-clinical development are scarce. The Cyclin-D2 knockout (CD2-KO) mouse model shows a hippocampal parvalbumin-interneuron dysfunction, and its pattern of hippocampal over-activity shares similarities with that seen in prodromal patients. Conducting a comprehensive phenotyping of CD2-KO mice, we found that they displayed novelty-induced hyperlocomotion (a rodent correlate of positive symptoms of schizophrenia), that was largely resistant against D1- and D2-dopamine-receptor antagonism, but responsive to the mGluR2/3-agonist LY379268. In the negative symptom domain, CD2-KO mice showed transiently reduced sucrose-preference (anhedonia), but enhanced interaction with novel mice and objects, as well as normal nest building and incentive motivation. Also, unconditioned anxiety, perseveration, and motor-impulsivity were unaltered. However, in the cognitive domain, CD2-knockouts showed reduced executive function in assays of rule-shift and rule-reversal learning, and also an impairment in working memory, that was resistant against LY379268-treatment. In contrast, sustained attention and forms of spatial and object-related memory that are mediated by short-term habituation of stimulus-specific attention were intact. Our results suggest that CD2-KO mice are a valuable model in translational research targeted at the pharmacoresistant cognitive symptom domain in causal relation to hippocampal over-activity in the prodrome-to-psychosis transition.","DOI":"10.1038/s41398-018-0268-6","ISSN":"2158-3188","language":"en","author":[{"family":"Grimm","given":"Christina M."},{"family":"Aksamaz","given":"Sonat"},{"family":"Schulz","given":"Stefanie"},{"family":"Teutsch","given":"Jasper"},{"family":"Sicinski","given":"Piotr"},{"family":"Liss","given":"Birgit"},{"family":"Kätzel","given":"Dennis"}],"issued":{"date-parts":[["2018",10,9]]}}}],"schema":"https://github.com/citation-style-language/schema/raw/master/csl-citation.json"} </w:instrText>
      </w:r>
      <w:r w:rsidR="004100F7">
        <w:rPr>
          <w:sz w:val="24"/>
          <w:szCs w:val="24"/>
          <w:lang w:val="en-US"/>
        </w:rPr>
        <w:fldChar w:fldCharType="separate"/>
      </w:r>
      <w:r w:rsidR="00B0590E" w:rsidRPr="0083504A">
        <w:rPr>
          <w:rFonts w:cs="Times New Roman"/>
          <w:sz w:val="24"/>
          <w:lang w:val="en-GB"/>
        </w:rPr>
        <w:t>(Bygrave et al., 2016; Grimm et al., 2018)</w:t>
      </w:r>
      <w:r w:rsidR="004100F7">
        <w:rPr>
          <w:sz w:val="24"/>
          <w:szCs w:val="24"/>
          <w:lang w:val="en-US"/>
        </w:rPr>
        <w:fldChar w:fldCharType="end"/>
      </w:r>
      <w:r w:rsidR="00B0590E">
        <w:rPr>
          <w:sz w:val="24"/>
          <w:szCs w:val="24"/>
          <w:lang w:val="en-US"/>
        </w:rPr>
        <w:t xml:space="preserve">. </w:t>
      </w:r>
    </w:p>
    <w:p w:rsidR="001B269E" w:rsidRDefault="00EF5AEB" w:rsidP="001B269E">
      <w:pPr>
        <w:spacing w:line="360" w:lineRule="auto"/>
        <w:rPr>
          <w:sz w:val="24"/>
          <w:szCs w:val="24"/>
          <w:lang w:val="en-US"/>
        </w:rPr>
      </w:pPr>
      <w:r>
        <w:rPr>
          <w:sz w:val="24"/>
          <w:szCs w:val="24"/>
          <w:lang w:val="en-US"/>
        </w:rPr>
        <w:t xml:space="preserve">All </w:t>
      </w:r>
      <w:r w:rsidRPr="00D209E1">
        <w:rPr>
          <w:b/>
          <w:sz w:val="24"/>
          <w:szCs w:val="24"/>
          <w:lang w:val="en-US"/>
        </w:rPr>
        <w:t>shifts between stages</w:t>
      </w:r>
      <w:r>
        <w:rPr>
          <w:sz w:val="24"/>
          <w:szCs w:val="24"/>
          <w:lang w:val="en-US"/>
        </w:rPr>
        <w:t xml:space="preserve"> required that the respective </w:t>
      </w:r>
      <w:r w:rsidRPr="00E11437">
        <w:rPr>
          <w:i/>
          <w:sz w:val="24"/>
          <w:szCs w:val="24"/>
          <w:lang w:val="en-US"/>
        </w:rPr>
        <w:t>performance criterion</w:t>
      </w:r>
      <w:r>
        <w:rPr>
          <w:sz w:val="24"/>
          <w:szCs w:val="24"/>
          <w:lang w:val="en-US"/>
        </w:rPr>
        <w:t xml:space="preserve"> </w:t>
      </w:r>
      <w:r w:rsidR="001B269E" w:rsidRPr="001A65CF">
        <w:rPr>
          <w:sz w:val="24"/>
          <w:szCs w:val="24"/>
          <w:lang w:val="en-US"/>
        </w:rPr>
        <w:t xml:space="preserve">was met </w:t>
      </w:r>
      <w:r w:rsidR="001B269E">
        <w:rPr>
          <w:sz w:val="24"/>
          <w:szCs w:val="24"/>
          <w:lang w:val="en-US"/>
        </w:rPr>
        <w:t xml:space="preserve">in </w:t>
      </w:r>
      <w:r w:rsidR="001B269E" w:rsidRPr="001A65CF">
        <w:rPr>
          <w:sz w:val="24"/>
          <w:szCs w:val="24"/>
          <w:lang w:val="en-US"/>
        </w:rPr>
        <w:t>3 consecutive</w:t>
      </w:r>
      <w:r>
        <w:rPr>
          <w:sz w:val="24"/>
          <w:szCs w:val="24"/>
          <w:lang w:val="en-US"/>
        </w:rPr>
        <w:t xml:space="preserve"> training</w:t>
      </w:r>
      <w:r w:rsidR="001B269E">
        <w:rPr>
          <w:sz w:val="24"/>
          <w:szCs w:val="24"/>
          <w:lang w:val="en-US"/>
        </w:rPr>
        <w:t xml:space="preserve"> sessions</w:t>
      </w:r>
      <w:r w:rsidR="001B269E" w:rsidRPr="001A65CF">
        <w:rPr>
          <w:sz w:val="24"/>
          <w:szCs w:val="24"/>
          <w:lang w:val="en-US"/>
        </w:rPr>
        <w:t>.</w:t>
      </w:r>
      <w:r>
        <w:rPr>
          <w:sz w:val="24"/>
          <w:szCs w:val="24"/>
          <w:lang w:val="en-US"/>
        </w:rPr>
        <w:t xml:space="preserve"> </w:t>
      </w:r>
      <w:r w:rsidR="001B269E">
        <w:rPr>
          <w:sz w:val="24"/>
          <w:szCs w:val="24"/>
          <w:lang w:val="en-US"/>
        </w:rPr>
        <w:t xml:space="preserve">The criterion to </w:t>
      </w:r>
      <w:r w:rsidR="00D209E1">
        <w:rPr>
          <w:sz w:val="24"/>
          <w:szCs w:val="24"/>
          <w:lang w:val="en-US"/>
        </w:rPr>
        <w:t>transition</w:t>
      </w:r>
      <w:r w:rsidR="001B269E">
        <w:rPr>
          <w:sz w:val="24"/>
          <w:szCs w:val="24"/>
          <w:lang w:val="en-US"/>
        </w:rPr>
        <w:t xml:space="preserve"> between main stages was always based on working memory performance, requiring a </w:t>
      </w:r>
      <w:r>
        <w:rPr>
          <w:sz w:val="24"/>
          <w:szCs w:val="24"/>
          <w:lang w:val="en-US"/>
        </w:rPr>
        <w:t>CP</w:t>
      </w:r>
      <w:r w:rsidR="001B269E">
        <w:rPr>
          <w:sz w:val="24"/>
          <w:szCs w:val="24"/>
          <w:lang w:val="en-US"/>
        </w:rPr>
        <w:t xml:space="preserve"> accuracy</w:t>
      </w:r>
      <w:r w:rsidRPr="00EF5AEB">
        <w:rPr>
          <w:sz w:val="24"/>
          <w:szCs w:val="24"/>
          <w:vertAlign w:val="subscript"/>
          <w:lang w:val="en-US"/>
        </w:rPr>
        <w:t>lit</w:t>
      </w:r>
      <w:r>
        <w:rPr>
          <w:sz w:val="24"/>
          <w:szCs w:val="24"/>
          <w:lang w:val="en-US"/>
        </w:rPr>
        <w:t xml:space="preserve"> </w:t>
      </w:r>
      <w:r>
        <w:rPr>
          <w:rFonts w:cs="Times New Roman"/>
          <w:sz w:val="24"/>
          <w:szCs w:val="24"/>
          <w:lang w:val="en-US"/>
        </w:rPr>
        <w:t>≥</w:t>
      </w:r>
      <w:r w:rsidR="001B269E">
        <w:rPr>
          <w:sz w:val="24"/>
          <w:szCs w:val="24"/>
          <w:lang w:val="en-US"/>
        </w:rPr>
        <w:t xml:space="preserve"> 70 % </w:t>
      </w:r>
      <w:r w:rsidR="002A5D7F">
        <w:rPr>
          <w:sz w:val="24"/>
          <w:szCs w:val="24"/>
          <w:lang w:val="en-US"/>
        </w:rPr>
        <w:t xml:space="preserve">(analogous to the rat CAM-task) </w:t>
      </w:r>
      <w:r w:rsidR="001B269E">
        <w:rPr>
          <w:sz w:val="24"/>
          <w:szCs w:val="24"/>
          <w:lang w:val="en-US"/>
        </w:rPr>
        <w:t>and a number of correct choice trials of</w:t>
      </w:r>
      <w:r>
        <w:rPr>
          <w:sz w:val="24"/>
          <w:szCs w:val="24"/>
          <w:lang w:val="en-US"/>
        </w:rPr>
        <w:t xml:space="preserve"> </w:t>
      </w:r>
      <w:r>
        <w:rPr>
          <w:rFonts w:cs="Times New Roman"/>
          <w:sz w:val="24"/>
          <w:szCs w:val="24"/>
          <w:lang w:val="en-US"/>
        </w:rPr>
        <w:t>≥</w:t>
      </w:r>
      <w:r>
        <w:rPr>
          <w:sz w:val="24"/>
          <w:szCs w:val="24"/>
          <w:lang w:val="en-US"/>
        </w:rPr>
        <w:t>10</w:t>
      </w:r>
      <w:r w:rsidR="001B269E">
        <w:rPr>
          <w:sz w:val="24"/>
          <w:szCs w:val="24"/>
          <w:lang w:val="en-US"/>
        </w:rPr>
        <w:t>.</w:t>
      </w:r>
      <w:r w:rsidR="00D209E1">
        <w:rPr>
          <w:sz w:val="24"/>
          <w:szCs w:val="24"/>
          <w:lang w:val="en-US"/>
        </w:rPr>
        <w:t xml:space="preserve"> The criterion to transition between sub-stages was always based on the SP, requiring </w:t>
      </w:r>
      <w:r w:rsidR="00D209E1">
        <w:rPr>
          <w:rFonts w:cs="Times New Roman"/>
          <w:sz w:val="24"/>
          <w:szCs w:val="24"/>
          <w:lang w:val="en-US"/>
        </w:rPr>
        <w:t>≥</w:t>
      </w:r>
      <w:r w:rsidR="00D209E1">
        <w:rPr>
          <w:sz w:val="24"/>
          <w:szCs w:val="24"/>
          <w:lang w:val="en-US"/>
        </w:rPr>
        <w:t xml:space="preserve">25 correct SP responses and – for transitions within stage 3 (shortening of SD) a SP accuracy of </w:t>
      </w:r>
      <w:r w:rsidR="00D209E1">
        <w:rPr>
          <w:rFonts w:cs="Times New Roman"/>
          <w:sz w:val="24"/>
          <w:szCs w:val="24"/>
          <w:lang w:val="en-US"/>
        </w:rPr>
        <w:t>≥</w:t>
      </w:r>
      <w:r w:rsidR="00D209E1">
        <w:rPr>
          <w:sz w:val="24"/>
          <w:szCs w:val="24"/>
          <w:lang w:val="en-US"/>
        </w:rPr>
        <w:t>80 %.</w:t>
      </w:r>
    </w:p>
    <w:p w:rsidR="001B269E" w:rsidRDefault="00F74F57" w:rsidP="001B269E">
      <w:pPr>
        <w:spacing w:line="360" w:lineRule="auto"/>
        <w:rPr>
          <w:sz w:val="24"/>
          <w:szCs w:val="24"/>
          <w:lang w:val="en-US"/>
        </w:rPr>
      </w:pPr>
      <w:r w:rsidRPr="00C069FE">
        <w:rPr>
          <w:sz w:val="24"/>
          <w:szCs w:val="24"/>
          <w:lang w:val="en-US"/>
        </w:rPr>
        <w:t xml:space="preserve">Note that the rat CAM-task uses shorter SDs in both the SP (&lt; 1 s) and the CP (3 s) </w:t>
      </w:r>
      <w:r w:rsidR="004100F7" w:rsidRPr="00C069FE">
        <w:rPr>
          <w:sz w:val="24"/>
          <w:szCs w:val="24"/>
          <w:lang w:val="en-US"/>
        </w:rPr>
        <w:fldChar w:fldCharType="begin"/>
      </w:r>
      <w:r w:rsidRPr="00C069FE">
        <w:rPr>
          <w:sz w:val="24"/>
          <w:szCs w:val="24"/>
          <w:lang w:val="en-US"/>
        </w:rPr>
        <w:instrText xml:space="preserve"> ADDIN ZOTERO_ITEM CSL_CITATION {"citationID":"1mr8i4hk2n","properties":{"formattedCitation":"(Chudasama et al., 2005)","plainCitation":"(Chudasama et al., 2005)"},"citationItems":[{"id":15924,"uris":["http://zotero.org/users/local/biVi7xTd/items/V42NRMXD"],"uri":["http://zotero.org/users/local/biVi7xTd/items/V42NRMXD"],"itemData":{"id":15924,"type":"article-journal","title":"d-Amphetamine remediates attentional performance in rats with dorsal prefrontal lesions","container-title":"Behavioural Brain Research","page":"97-107","volume":"158","issue":"1","abstract":"Although amphetamine treatment has been shown to promote recovery of motor function in animals with cortical ablations, the potential therapeutic effect of amphetamine on processes other than motor control, such as attention and working memory, has been relatively unexplored. Accordingly, we investigated the beneficial effect of d-amphetamine treatment in animals with dorsal prefrontal cortex lesions (dPFC) compared with sham controls on a novel combined attention-memory task (CAM) that simultaneously measures attention to a visual stimulus and memory for that stimulus. The dPFC group was impaired in their ability to correctly detect the visual stimulus. Although this deficit occurred together with increased omissions and slow response latencies, these associated deficits largely recovered within the 10 post-operative baseline sessions revealing a selective attentional deficit in this group of animals. Nonetheless, the dPFC lesion did not substantially affect the working memory component of the task. The systemic administration of d-amphetamine served to ameliorate the attentional deficit in the dPFC group at the low dose only (0.2 mg/kg). By contrast, the dPFC group were less sensitive to the detrimental effects of the high dose (0.8 mg/kg) on any aspect of task performance. However, despite improving attention to the visual stimulus, d-amphetamine did not improve memory for that stimulus which instead appeared to deteriorate. The results provide apparently the first demonstration that low doses of d-amphetamine can ameliorate an attentional deficit in animals with selective dPFC lesions and may be a useful model of cognitive deficit in ADHD, schizophrenia or frontal brain injury.","ISSN":"0166-4328","author":[{"family":"Chudasama","given":"Y."},{"family":"Nathwani","given":"F."},{"family":"Robbins","given":"T. W."}],"issued":{"date-parts":[["2005"]]}}}],"schema":"https://github.com/citation-style-language/schema/raw/master/csl-citation.json"} </w:instrText>
      </w:r>
      <w:r w:rsidR="004100F7" w:rsidRPr="00C069FE">
        <w:rPr>
          <w:sz w:val="24"/>
          <w:szCs w:val="24"/>
          <w:lang w:val="en-US"/>
        </w:rPr>
        <w:fldChar w:fldCharType="separate"/>
      </w:r>
      <w:r w:rsidRPr="00C069FE">
        <w:rPr>
          <w:rFonts w:cs="Times New Roman"/>
          <w:sz w:val="24"/>
          <w:szCs w:val="24"/>
          <w:lang w:val="en-GB"/>
        </w:rPr>
        <w:t>(Chudasama et al., 2005)</w:t>
      </w:r>
      <w:r w:rsidR="004100F7" w:rsidRPr="00C069FE">
        <w:rPr>
          <w:sz w:val="24"/>
          <w:szCs w:val="24"/>
          <w:lang w:val="en-US"/>
        </w:rPr>
        <w:fldChar w:fldCharType="end"/>
      </w:r>
      <w:r w:rsidRPr="00C069FE">
        <w:rPr>
          <w:sz w:val="24"/>
          <w:szCs w:val="24"/>
          <w:lang w:val="en-US"/>
        </w:rPr>
        <w:t>, but – just like in the 5-CSRTT – mice have considerable difficulty with such short SDs, leading to high omission rates and hence slow learning progress.</w:t>
      </w:r>
      <w:r>
        <w:rPr>
          <w:sz w:val="24"/>
          <w:szCs w:val="24"/>
          <w:lang w:val="en-US"/>
        </w:rPr>
        <w:t xml:space="preserve"> In the second cohort, animals were only trained up to the </w:t>
      </w:r>
      <w:r w:rsidR="00EA1AB5">
        <w:rPr>
          <w:sz w:val="24"/>
          <w:szCs w:val="24"/>
          <w:lang w:val="en-US"/>
        </w:rPr>
        <w:t>sub-</w:t>
      </w:r>
      <w:r>
        <w:rPr>
          <w:sz w:val="24"/>
          <w:szCs w:val="24"/>
          <w:lang w:val="en-US"/>
        </w:rPr>
        <w:t xml:space="preserve">stage with an SD of 8 s (Figure </w:t>
      </w:r>
      <w:r w:rsidR="0029051E">
        <w:rPr>
          <w:sz w:val="24"/>
          <w:szCs w:val="24"/>
          <w:lang w:val="en-US"/>
        </w:rPr>
        <w:t>3</w:t>
      </w:r>
      <w:r>
        <w:rPr>
          <w:sz w:val="24"/>
          <w:szCs w:val="24"/>
          <w:lang w:val="en-US"/>
        </w:rPr>
        <w:t>), because mice (in both cohorts) progressed only slowly towards sub-stages with shorter SDs. The major difference to the rat CAM task is that the whole task, consisting of both the SP and the CP, is trained right from the beginning, while the CAM-task started with training the SP only – i.e., the standard 5-CSRTT –until rats could perform with a SP-SD below 1 s, before adding the CP, resulting in a total training time of 6-8 mo</w:t>
      </w:r>
      <w:r w:rsidR="00EA1AB5">
        <w:rPr>
          <w:sz w:val="24"/>
          <w:szCs w:val="24"/>
          <w:lang w:val="en-US"/>
        </w:rPr>
        <w:t xml:space="preserve"> </w:t>
      </w:r>
      <w:r w:rsidR="004100F7">
        <w:rPr>
          <w:sz w:val="24"/>
          <w:szCs w:val="24"/>
          <w:lang w:val="en-US"/>
        </w:rPr>
        <w:fldChar w:fldCharType="begin"/>
      </w:r>
      <w:r w:rsidR="00C55D4E">
        <w:rPr>
          <w:sz w:val="24"/>
          <w:szCs w:val="24"/>
          <w:lang w:val="en-US"/>
        </w:rPr>
        <w:instrText xml:space="preserve"> ADDIN ZOTERO_ITEM CSL_CITATION {"citationID":"19ScHstd","properties":{"formattedCitation":"(Chudasama et al., 2004, 2005; Chudasama and Robbins, 2004)","plainCitation":"(Chudasama et al., 2004, 2005; Chudasama and Robbins, 2004)"},"citationItems":[{"id":"uMoHERV4/gUrUrzzi","uris":["http://www.mendeley.com/documents/?uuid=e71f129a-75ab-4404-a05d-dce44ac09900"],"uri":["http://www.mendeley.com/documents/?uuid=e71f129a-75ab-4404-a05d-dce44ac09900"],"itemData":{"DOI":"10.1101/lm.70904.such","author":[{"dropping-particle":"","family":"Chudasama","given":"Y","non-dropping-particle":"","parse-names":false,"suffix":""},{"dropping-particle":"","family":"Dalley","given":"J W","non-dropping-particle":"","parse-names":false,"suffix":""},{"dropping-particle":"","family":"Nathwani","given":"F","non-dropping-particle":"","parse-names":false,"suffix":""},{"dropping-particle":"","family":"Bouger","given":"P","non-dropping-particle":"","parse-names":false,"suffix":""},{"dropping-particle":"","family":"Robbins","given":"T W","non-dropping-particle":"","parse-names":false,"suffix":""}],"container-title":"Learning and Memory","id":"uMoHERV4/gUrUrzzi","issued":{"year":2004},"page":"78-86","title":"Cholinergic modulation of visual attention and working memory: dissociable effects of basal forebrain 192 IgG-saporin, lesions and intraprefrontal infusion of scopolamine","type":"article-journal","volume":"11","page-first":"78","container-title-short":"Learn. Mem."}},{"id":15924,"uris":["http://zotero.org/users/local/biVi7xTd/items/V42NRMXD"],"uri":["http://zotero.org/users/local/biVi7xTd/items/V42NRMXD"],"itemData":{"id":15924,"type":"article-journal","title":"d-Amphetamine remediates attentional performance in rats with dorsal prefrontal lesions","container-title":"Behavioural Brain Research","page":"97-107","volume":"158","issue":"1","abstract":"Although amphetamine treatment has been shown to promote recovery of motor function in animals with cortical ablations, the potential therapeutic effect of amphetamine on processes other than motor control, such as attention and working memory, has been relatively unexplored. Accordingly, we investigated the beneficial effect of d-amphetamine treatment in animals with dorsal prefrontal cortex lesions (dPFC) compared with sham controls on a novel combined attention-memory task (CAM) that simultaneously measures attention to a visual stimulus and memory for that stimulus. The dPFC group was impaired in their ability to correctly detect the visual stimulus. Although this deficit occurred together with increased omissions and slow response latencies, these associated deficits largely recovered within the 10 post-operative baseline sessions revealing a selective attentional deficit in this group of animals. Nonetheless, the dPFC lesion did not substantially affect the working memory component of the task. The systemic administration of d-amphetamine served to ameliorate the attentional deficit in the dPFC group at the low dose only (0.2 mg/kg). By contrast, the dPFC group were less sensitive to the detrimental effects of the high dose (0.8 mg/kg) on any aspect of task performance. However, despite improving attention to the visual stimulus, d-amphetamine did not improve memory for that stimulus which instead appeared to deteriorate. The results provide apparently the first demonstration that low doses of d-amphetamine can ameliorate an attentional deficit in animals with selective dPFC lesions and may be a useful model of cognitive deficit in ADHD, schizophrenia or frontal brain injury.","ISSN":"0166-4328","author":[{"family":"Chudasama","given":"Y."},{"family":"Nathwani","given":"F."},{"family":"Robbins","given":"T. W."}],"issued":{"date-parts":[["2005"]]}}},{"id":"uMoHERV4/GeY6MZKY","uris":["http://www.mendeley.com/documents/?uuid=38bf0b75-366c-4a34-b9a1-c6fd221aff61"],"uri":["http://www.mendeley.com/documents/?uuid=38bf0b75-366c-4a34-b9a1-c6fd221aff61"],"itemData":{"DOI":"10.1038/sj.npp.1300490","ISBN":"0893-133X","ISSN":"0893-133X","PMID":"15138446","abstract":"Converging evidence suggests that dopaminergic projections to the prefrontal cortex (PFC) modulate both attention and working memory processes that may be related to either insufficient or excessive dopamine activity specific to a D1 receptor mechanism. We examined the effects of bilateral intraprefrontal cortical infusions of the D1 agonist (SKF 81297) on a novel task specifically designed to assess the animals' ability to attend to a visual target (0.7 or 0.5 s) and then remember the location of that target over a variable delay (0-16 s) within the same test session. Bilateral prefrontal infusions of the low dose of SKF 81297 (0.01 microg) had no effect on visual attention or memory throughout the entire testing schedule. The medium (0.06 microg) dose preferentially increased attention to the stimulus target but only improved memory for that stimulus at a duration of 0.7 s, although in a delay-independent manner. The high dose (0.3 microg) of the D1 agonist also increased attentional accuracy. However, it was only under the more attention challenging condition (0.5 s) that this high dose also produced a baseline delay-dependent modulation of memory for the stimulus target. Specifically, good memory at the short delay was impaired and poor memory at the long delay was improved. These data provide the first demonstration that dopamine D1 receptor stimulation sufficient to improve attentional accuracy, can also disrupt, and facilitate short-term working memory performance in a delay-dependent manner.","author":[{"dropping-particle":"","family":"Chudasama","given":"Yogita","non-dropping-particle":"","parse-names":false,"suffix":""},{"dropping-particle":"","family":"Robbins","given":"Trevor W","non-dropping-particle":"","parse-names":false,"suffix":""}],"container-title":"Neuropsychopharmacology","id":"uMoHERV4/GeY6MZKY","issue":"9","issued":{"year":2004},"page":"1628-1636","title":"Dopaminergic Modulation of Visual Attention and Working Memory in the Rodent Prefrontal Cortex","type":"article-journal","volume":"29","page-first":"1628","container-title-short":"Neuropsychopharmacology"}}],"schema":"https://github.com/citation-style-language/schema/raw/master/csl-citation.json"} </w:instrText>
      </w:r>
      <w:r w:rsidR="004100F7">
        <w:rPr>
          <w:sz w:val="24"/>
          <w:szCs w:val="24"/>
          <w:lang w:val="en-US"/>
        </w:rPr>
        <w:fldChar w:fldCharType="separate"/>
      </w:r>
      <w:r w:rsidR="00EA1AB5" w:rsidRPr="00C069FE">
        <w:rPr>
          <w:rFonts w:cs="Times New Roman"/>
          <w:sz w:val="24"/>
          <w:lang w:val="en-GB"/>
        </w:rPr>
        <w:t>(Chudasama et al., 2004, 2005; Chudasama and Robbins, 2004)</w:t>
      </w:r>
      <w:r w:rsidR="004100F7">
        <w:rPr>
          <w:sz w:val="24"/>
          <w:szCs w:val="24"/>
          <w:lang w:val="en-US"/>
        </w:rPr>
        <w:fldChar w:fldCharType="end"/>
      </w:r>
      <w:r>
        <w:rPr>
          <w:sz w:val="24"/>
          <w:szCs w:val="24"/>
          <w:lang w:val="en-US"/>
        </w:rPr>
        <w:t xml:space="preserve">. Given our focus on the WM-component and difficulty of mice to achieve acceptably low omission rates with short SDs in the 5-CSRTT, we relaxed the requirement for a short SD and avoided potential re-learning problems upon altering the task-procedure (adding the CP) by training the full protocol from the beginning. </w:t>
      </w:r>
      <w:r w:rsidR="001B269E">
        <w:rPr>
          <w:sz w:val="24"/>
          <w:szCs w:val="24"/>
          <w:lang w:val="en-US"/>
        </w:rPr>
        <w:t>The fact that</w:t>
      </w:r>
      <w:r>
        <w:rPr>
          <w:sz w:val="24"/>
          <w:szCs w:val="24"/>
          <w:lang w:val="en-US"/>
        </w:rPr>
        <w:t xml:space="preserve"> at least</w:t>
      </w:r>
      <w:r w:rsidR="001B269E">
        <w:rPr>
          <w:sz w:val="24"/>
          <w:szCs w:val="24"/>
          <w:lang w:val="en-US"/>
        </w:rPr>
        <w:t xml:space="preserve"> some animals could learn the full working memory task (successful transitioning to </w:t>
      </w:r>
      <w:r w:rsidR="00EA1AB5">
        <w:rPr>
          <w:sz w:val="24"/>
          <w:szCs w:val="24"/>
          <w:lang w:val="en-US"/>
        </w:rPr>
        <w:t xml:space="preserve">stage </w:t>
      </w:r>
      <w:r w:rsidR="001B269E">
        <w:rPr>
          <w:sz w:val="24"/>
          <w:szCs w:val="24"/>
          <w:lang w:val="en-US"/>
        </w:rPr>
        <w:t>3</w:t>
      </w:r>
      <w:r w:rsidR="00CB1CE3">
        <w:rPr>
          <w:sz w:val="24"/>
          <w:szCs w:val="24"/>
          <w:lang w:val="en-US"/>
        </w:rPr>
        <w:t>, 20 s SD</w:t>
      </w:r>
      <w:r w:rsidR="001B269E">
        <w:rPr>
          <w:sz w:val="24"/>
          <w:szCs w:val="24"/>
          <w:lang w:val="en-US"/>
        </w:rPr>
        <w:t>) within just a few weeks</w:t>
      </w:r>
      <w:r w:rsidR="0029051E">
        <w:rPr>
          <w:sz w:val="24"/>
          <w:szCs w:val="24"/>
          <w:lang w:val="en-US"/>
        </w:rPr>
        <w:t xml:space="preserve"> (Figure 3</w:t>
      </w:r>
      <w:r w:rsidR="00CB1CE3">
        <w:rPr>
          <w:sz w:val="24"/>
          <w:szCs w:val="24"/>
          <w:lang w:val="en-US"/>
        </w:rPr>
        <w:t>)</w:t>
      </w:r>
      <w:r w:rsidR="001B269E">
        <w:rPr>
          <w:sz w:val="24"/>
          <w:szCs w:val="24"/>
          <w:lang w:val="en-US"/>
        </w:rPr>
        <w:t xml:space="preserve">, suggests that this strategy is indeed successful, although it has to be acknowledged that we have no </w:t>
      </w:r>
      <w:r w:rsidR="00CB1CE3">
        <w:rPr>
          <w:sz w:val="24"/>
          <w:szCs w:val="24"/>
          <w:lang w:val="en-US"/>
        </w:rPr>
        <w:t>empirical evidence to confirm the superiority of this strategy</w:t>
      </w:r>
      <w:r w:rsidR="00EA1AB5">
        <w:rPr>
          <w:sz w:val="24"/>
          <w:szCs w:val="24"/>
          <w:lang w:val="en-US"/>
        </w:rPr>
        <w:t xml:space="preserve"> over the two-phase version</w:t>
      </w:r>
      <w:r w:rsidR="001B269E">
        <w:rPr>
          <w:sz w:val="24"/>
          <w:szCs w:val="24"/>
          <w:lang w:val="en-US"/>
        </w:rPr>
        <w:t>.</w:t>
      </w:r>
    </w:p>
    <w:p w:rsidR="00CB1CE3" w:rsidRPr="001A65CF" w:rsidRDefault="004F39DD" w:rsidP="001B269E">
      <w:pPr>
        <w:spacing w:line="360" w:lineRule="auto"/>
        <w:rPr>
          <w:sz w:val="24"/>
          <w:szCs w:val="24"/>
          <w:lang w:val="en-US"/>
        </w:rPr>
      </w:pPr>
      <w:r>
        <w:rPr>
          <w:sz w:val="24"/>
          <w:szCs w:val="24"/>
          <w:lang w:val="en-US"/>
        </w:rPr>
        <w:t xml:space="preserve">Finally it needs to be noted, that one half (n = 12) of our first cohort, deviated from the schedule above, as it was trained in the DNMTP paradigm first, which was terminated after 21 sessions due </w:t>
      </w:r>
      <w:r w:rsidR="00AC2486">
        <w:rPr>
          <w:sz w:val="24"/>
          <w:szCs w:val="24"/>
          <w:lang w:val="en-US"/>
        </w:rPr>
        <w:t>to lack of</w:t>
      </w:r>
      <w:r>
        <w:rPr>
          <w:sz w:val="24"/>
          <w:szCs w:val="24"/>
          <w:lang w:val="en-US"/>
        </w:rPr>
        <w:t xml:space="preserve"> progress, and then entered the training schedule again from the beginning</w:t>
      </w:r>
      <w:r w:rsidR="00AC2486">
        <w:rPr>
          <w:sz w:val="24"/>
          <w:szCs w:val="24"/>
          <w:lang w:val="en-US"/>
        </w:rPr>
        <w:t xml:space="preserve">, albeit in the </w:t>
      </w:r>
      <w:r w:rsidR="00AC2486" w:rsidRPr="00AC2486">
        <w:rPr>
          <w:i/>
          <w:sz w:val="24"/>
          <w:szCs w:val="24"/>
          <w:lang w:val="en-US"/>
        </w:rPr>
        <w:t>dark</w:t>
      </w:r>
      <w:r w:rsidR="00AC2486">
        <w:rPr>
          <w:sz w:val="24"/>
          <w:szCs w:val="24"/>
          <w:lang w:val="en-US"/>
        </w:rPr>
        <w:t xml:space="preserve"> protocol (i.e. the house-light </w:t>
      </w:r>
      <w:r w:rsidR="00EA1AB5">
        <w:rPr>
          <w:sz w:val="24"/>
          <w:szCs w:val="24"/>
          <w:lang w:val="en-US"/>
        </w:rPr>
        <w:t>was</w:t>
      </w:r>
      <w:r w:rsidR="00AC2486">
        <w:rPr>
          <w:sz w:val="24"/>
          <w:szCs w:val="24"/>
          <w:lang w:val="en-US"/>
        </w:rPr>
        <w:t xml:space="preserve"> switched off in the default training state and only illuminated for time-out (punishment) periods) and with the DMTP paradigm. The other half of that cohort was trained in the DMTP-paradigm in the </w:t>
      </w:r>
      <w:r w:rsidR="00AC2486" w:rsidRPr="00AC2486">
        <w:rPr>
          <w:i/>
          <w:sz w:val="24"/>
          <w:szCs w:val="24"/>
          <w:lang w:val="en-US"/>
        </w:rPr>
        <w:t>light</w:t>
      </w:r>
      <w:r w:rsidR="00AC2486">
        <w:rPr>
          <w:sz w:val="24"/>
          <w:szCs w:val="24"/>
          <w:lang w:val="en-US"/>
        </w:rPr>
        <w:t xml:space="preserve"> protocol throughout (i.e. the house-light </w:t>
      </w:r>
      <w:r w:rsidR="00EA1AB5">
        <w:rPr>
          <w:sz w:val="24"/>
          <w:szCs w:val="24"/>
          <w:lang w:val="en-US"/>
        </w:rPr>
        <w:t>wa</w:t>
      </w:r>
      <w:r w:rsidR="00AC2486">
        <w:rPr>
          <w:sz w:val="24"/>
          <w:szCs w:val="24"/>
          <w:lang w:val="en-US"/>
        </w:rPr>
        <w:t>s switched on in the default training state and only switched off for time-out (punishment) periods).</w:t>
      </w:r>
    </w:p>
    <w:p w:rsidR="001B269E" w:rsidRPr="00CB1CE3" w:rsidRDefault="00CB1CE3" w:rsidP="00CB1CE3">
      <w:pPr>
        <w:pStyle w:val="Heading3"/>
        <w:rPr>
          <w:lang w:val="en-GB"/>
        </w:rPr>
      </w:pPr>
      <w:r w:rsidRPr="00CB1CE3">
        <w:rPr>
          <w:lang w:val="en-GB"/>
        </w:rPr>
        <w:t>Challenges in the 5-CSWM</w:t>
      </w:r>
    </w:p>
    <w:p w:rsidR="004F39DD" w:rsidRPr="001A65CF" w:rsidRDefault="00CB1CE3" w:rsidP="004F39DD">
      <w:pPr>
        <w:spacing w:line="360" w:lineRule="auto"/>
        <w:rPr>
          <w:sz w:val="24"/>
          <w:szCs w:val="24"/>
          <w:lang w:val="en-US"/>
        </w:rPr>
      </w:pPr>
      <w:r>
        <w:rPr>
          <w:sz w:val="24"/>
          <w:szCs w:val="24"/>
          <w:lang w:val="en-US"/>
        </w:rPr>
        <w:t>For</w:t>
      </w:r>
      <w:r w:rsidR="001B269E" w:rsidRPr="001A65CF">
        <w:rPr>
          <w:sz w:val="24"/>
          <w:szCs w:val="24"/>
          <w:lang w:val="en-US"/>
        </w:rPr>
        <w:t xml:space="preserve"> working memory </w:t>
      </w:r>
      <w:r w:rsidR="001B269E" w:rsidRPr="001A65CF">
        <w:rPr>
          <w:sz w:val="24"/>
          <w:szCs w:val="24"/>
          <w:lang w:val="en-GB"/>
        </w:rPr>
        <w:t>it is common to see effects of pharmacological</w:t>
      </w:r>
      <w:r w:rsidR="001B269E">
        <w:rPr>
          <w:sz w:val="24"/>
          <w:szCs w:val="24"/>
          <w:lang w:val="en-GB"/>
        </w:rPr>
        <w:t xml:space="preserve"> </w:t>
      </w:r>
      <w:r w:rsidR="004100F7">
        <w:rPr>
          <w:sz w:val="24"/>
          <w:szCs w:val="24"/>
          <w:lang w:val="en-GB"/>
        </w:rPr>
        <w:fldChar w:fldCharType="begin" w:fldLock="1"/>
      </w:r>
      <w:r w:rsidR="00200EE1">
        <w:rPr>
          <w:sz w:val="24"/>
          <w:szCs w:val="24"/>
          <w:lang w:val="en-GB"/>
        </w:rPr>
        <w:instrText xml:space="preserve"> ADDIN ZOTERO_ITEM CSL_CITATION {"citationID":"pairZgwQ","properties":{"formattedCitation":"{\\rtf (B\\uc0\\u233{}racoch\\uc0\\u233{}a et al., 2001; Zhang et al., 2013)}","plainCitation":"(Béracochéa et al., 2001; Zhang et al., 2013)"},"citationItems":[{"id":"ITEM-1","uris":["http://www.mendeley.com/documents/?uuid=7090c2ab-3c81-3686-baa0-ce22f8c4985c"],"uri":["http://www.mendeley.com/documents/?uuid=7090c2ab-3c81-3686-baa0-ce22f8c4985c"],"itemData":{"ISSN":"0959-4965","PMID":"11209953","abstract":"This study investigated the effects of pretest injection of modafinil on delayed spontaneous alternation rates (SA) used to evaluate working memory in C57 Bl/6 mice. In a first experiment, systemic modafinil at 64 mg/kg, but not at 8 mg/kg or 32 mg/kg doses produced a significant increase of alternation scores (intertrial interval (ITI) 60s) when compared with controls. In a second experiment, modafinil (64 mg/kg) enhanced the alternation rates mainly at long (60 s and 180 s) but not at short (5 s) ITIs. Exploratory latencies and activity in a four hole-board apparatus were not modified by modafinil administration. These experiments are the first to demonstrate a delay-dependent working memory-enhancing effect of modafinil.","author":[{"dropping-particle":"","family":"Béracochéa","given":"D","non-dropping-particle":"","parse-names":false,"suffix":""},{"dropping-particle":"","family":"Cagnard","given":"B","non-dropping-particle":"","parse-names":false,"suffix":""},{"dropping-particle":"","family":"Célérier","given":"A","non-dropping-particle":"","parse-names":false,"suffix":""},{"dropping-particle":"","family":"Merrer","given":"J","non-dropping-particle":"le","parse-names":false,"suffix":""},{"dropping-particle":"","family":"Pérès","given":"M","non-dropping-particle":"","parse-names":false,"suffix":""},{"dropping-particle":"","family":"Piérard","given":"C","non-dropping-particle":"","parse-names":false,"suffix":""}],"container-title":"Neuroreport","id":"ITEM-1","issue":"2","issued":{"date-parts":[["2001","2","12"]]},"page":"375-8","title":"First evidence of a delay-dependent working memory-enhancing effect of modafinil in mice.","type":"article-journal","volume":"12"}},{"id":"ITEM-2","uris":["http://www.mendeley.com/documents/?uuid=31c18fc7-81dd-3c80-b67c-7021abe4a14b"],"uri":["http://www.mendeley.com/documents/?uuid=31c18fc7-81dd-3c80-b67c-7021abe4a14b"],"itemData":{"DOI":"10.1186/1756-6606-6-13","ISSN":"1756-6606","PMID":"23497405","abstract":"Hippocampal N-methyl-D-aspartate receptor (NMDAR) is required for spatial working memory. Although evidence from genetic manipulation mice suggests an important role of hippocampal NMDAR NR2B subunits (NR2B-NMDARs) in spatial working memory, it remains unclear whether or not the requirement of hippocampal NR2B-NMDARs for spatial working memory depends on the time of spatial information maintained. Here, we investigate the contribution of hippocampal NR2B-NMDARs to spatial working memory on delayed alternation task in T-maze (DAT task) and delayed matched-to-place task in water maze (DMP task). Our data show that infusions of the NR2B-NMDAR selective antagonists, Ro25-6981 or ifenprodil, directly into the CA1 region, impair spatial working memory in DAT task with 30-s delay (not 5-s delay), but severely impair error-correction capability in both 5-s and 30-s delay task. Furthermore, intra-CA1 inhibition of NR2B-NMDARs impairs spatial working memory in DMP task with 10-min delay (not 30-s delay). Our results suggest that hippocampal NR2B-NMDARs are required for spatial working memory in long-delay task, whereas spare for spatial working memory in short-delay task. We conclude that the requirement of NR2B-NMDARs for spatial working memory is delay-dependent in the CA1 region.","author":[{"dropping-particle":"","family":"Zhang","given":"Xue-Han","non-dropping-particle":"","parse-names":false,"suffix":""},{"dropping-particle":"","family":"Liu","given":"Shu-Su","non-dropping-particle":"","parse-names":false,"suffix":""},{"dropping-particle":"","family":"Yi","given":"Feng","non-dropping-particle":"","parse-names":false,"suffix":""},{"dropping-particle":"","family":"Zhuo","given":"Min","non-dropping-particle":"","parse-names":false,"suffix":""},{"dropping-particle":"","family":"Li","given":"Bao-Ming","non-dropping-particle":"","parse-names":false,"suffix":""}],"container-title":"Molecular brain","id":"ITEM-2","issued":{"date-parts":[["2013","3","13"]]},"page":"13","publisher":"BioMed Central","title":"Delay-dependent impairment of spatial working memory with inhibition of NR2B-containing NMDA receptors in hippocampal CA1 region of rats.","type":"article-journal","volume":"6"}}],"schema":"https://github.com/citation-style-language/schema/raw/master/csl-citation.json"} </w:instrText>
      </w:r>
      <w:r w:rsidR="004100F7">
        <w:rPr>
          <w:sz w:val="24"/>
          <w:szCs w:val="24"/>
          <w:lang w:val="en-GB"/>
        </w:rPr>
        <w:fldChar w:fldCharType="separate"/>
      </w:r>
      <w:r w:rsidR="00200EE1" w:rsidRPr="00200EE1">
        <w:rPr>
          <w:rFonts w:cs="Times New Roman"/>
          <w:sz w:val="24"/>
          <w:szCs w:val="24"/>
        </w:rPr>
        <w:t>(Béracochéa et al., 2001; Zhang et al., 2013)</w:t>
      </w:r>
      <w:r w:rsidR="004100F7">
        <w:rPr>
          <w:sz w:val="24"/>
          <w:szCs w:val="24"/>
          <w:lang w:val="en-GB"/>
        </w:rPr>
        <w:fldChar w:fldCharType="end"/>
      </w:r>
      <w:r w:rsidR="001B269E" w:rsidRPr="001A65CF">
        <w:rPr>
          <w:sz w:val="24"/>
          <w:szCs w:val="24"/>
          <w:lang w:val="en-GB"/>
        </w:rPr>
        <w:t xml:space="preserve"> or other manipulations</w:t>
      </w:r>
      <w:r w:rsidR="001B269E">
        <w:rPr>
          <w:sz w:val="24"/>
          <w:szCs w:val="24"/>
          <w:lang w:val="en-GB"/>
        </w:rPr>
        <w:t xml:space="preserve"> </w:t>
      </w:r>
      <w:r w:rsidR="004100F7">
        <w:rPr>
          <w:sz w:val="24"/>
          <w:szCs w:val="24"/>
          <w:lang w:val="en-GB"/>
        </w:rPr>
        <w:fldChar w:fldCharType="begin" w:fldLock="1"/>
      </w:r>
      <w:r w:rsidR="00A630C9">
        <w:rPr>
          <w:sz w:val="24"/>
          <w:szCs w:val="24"/>
          <w:lang w:val="en-GB"/>
        </w:rPr>
        <w:instrText xml:space="preserve"> ADDIN ZOTERO_ITEM CSL_CITATION {"citationID":"Sx9Ublcx","properties":{"formattedCitation":"(Kellendonk et al., 2009; Wolff et al., 2003)","plainCitation":"(Kellendonk et al., 2009; Wolff et al., 2003)"},"citationItems":[{"id":"ITEM-1","uris":["http://www.mendeley.com/documents/?uuid=7a73e305-891e-3b9b-bc5e-957fc46a8f8d"],"uri":["http://www.mendeley.com/documents/?uuid=7a73e305-891e-3b9b-bc5e-957fc46a8f8d"],"itemData":{"DOI":"10.1016/j.tins.2009.02.003","ISSN":"1878-108X","PMID":"19409625","abstract":"Schizophrenia is a complex mental disorder that is still characterized by its symptoms rather than by biological markers because we have only a limited knowledge of its underlying molecular basis. In the past two decades, however, technical advances in genetics and brain imaging have provided new insights into the biology of the disease. Based on these advances we are now in a position to develop animal models that can be used to test specific hypotheses of the disease and explore mechanisms of pathogenesis. Here, we consider some of the insights that have emerged from studying in mice the relationship between defined genetic and molecular alterations and the cognitive endophenotypes of schizophrenia.","author":[{"dropping-particle":"","family":"Kellendonk","given":"Christoph","non-dropping-particle":"","parse-names":false,"suffix":""},{"dropping-particle":"","family":"Simpson","given":"Eleanor H","non-dropping-particle":"","parse-names":false,"suffix":""},{"dropping-particle":"","family":"Kandel","given":"Eric R","non-dropping-particle":"","parse-names":false,"suffix":""}],"container-title":"Trends in neurosciences","id":"ITEM-1","issue":"6","issued":{"date-parts":[["2009","6"]]},"page":"347-58","publisher":"NIH Public Access","title":"Modeling cognitive endophenotypes of schizophrenia in mice.","type":"article-journal","volume":"32"}},{"id":"ITEM-2","uris":["http://www.mendeley.com/documents/?uuid=952b4fb1-ef96-3e87-9911-3c1cda957d1a"],"uri":["http://www.mendeley.com/documents/?uuid=952b4fb1-ef96-3e87-9911-3c1cda957d1a"],"itemData":{"DOI":"10.1101/lm.60103","ISSN":"1072-0502","PMID":"14557613","abstract":"Serotonin (5-HT) plays a modulatory role in mnemonic functions, especially by interacting with the cholinergic system. The 5-HT1B receptor is a key target of this interaction. The 5-HT1B receptor knockout mice were found previously to exhibit a facilitation in hippocampal-dependent spatial reference memory learning. In the present study, we submitted mice to a delayed spatial working memory task, allowing the introduction of various delays between an exposure trial and a test trial. The 5-HT1BKO and wild-type mice learned the task in a radial-arm water maze (returning to the most recent presented arm containing the escape platform), and exhibited a high level of performance at delays of 0 and 5 min. However, at the delay of 60 min, only 5-HT1BKO mice exhibited an impairment. At a delay of 90 min, all mice were impaired. Treatment by scopolamine (0.8 mg/kg) induced the same pattern of performance in wild type as did the mutation for short (5 min, no impairment) and long (60 min, impairment) delays. The 22-month-old wild-type and knockout mice exhibited an impairment at short delays (5 and 15 min). The effect of the mutation affected both young-adult and aged mice at delays of 15, 30, and 60 min. Neurobiological data show that stimulation of the 5-HT1B receptor inhibits the release of acetylcholine in the hippocampus, but stimulates this in the frontal cortex. This dual function might, at least in part, explain the opposite effect of the mutation on reference memory (facilitation) and delay-dependent working memory (impairment). These results support the idea that cholinergic-serotonergic interactions play an important role in memory processes.","author":[{"dropping-particle":"","family":"Wolff","given":"M.","non-dropping-particle":"","parse-names":false,"suffix":""},{"dropping-particle":"","family":"Benhassine","given":"Narimane","non-dropping-particle":"","parse-names":false,"suffix":""},{"dropping-particle":"","family":"Costet","given":"Pierre","non-dropping-particle":"","parse-names":false,"suffix":""},{"dropping-particle":"","family":"Hen","given":"Rene","non-dropping-particle":"","parse-names":false,"suffix":""},{"dropping-particle":"","family":"Segu","given":"Louis","non-dropping-particle":"","parse-names":false,"suffix":""},{"dropping-particle":"","family":"Buhot","given":"Marie-Christine","non-dropping-particle":"","parse-names":false,"suffix":""}],"container-title":"Learning &amp; Memory","id":"ITEM-2","issue":"5","issued":{"date-parts":[["2003","9","1"]]},"page":"401-409","title":"Delay-Dependent Working Memory Impairment in Young-Adult and Aged 5-HT1BKO Mice as Assessed in a Radial-Arm Water Maze","type":"article-journal","volume":"10"}}],"schema":"https://github.com/citation-style-language/schema/raw/master/csl-citation.json"} </w:instrText>
      </w:r>
      <w:r w:rsidR="004100F7">
        <w:rPr>
          <w:sz w:val="24"/>
          <w:szCs w:val="24"/>
          <w:lang w:val="en-GB"/>
        </w:rPr>
        <w:fldChar w:fldCharType="separate"/>
      </w:r>
      <w:r w:rsidR="00A630C9" w:rsidRPr="00A630C9">
        <w:rPr>
          <w:rFonts w:cs="Times New Roman"/>
          <w:sz w:val="24"/>
          <w:lang w:val="en-GB"/>
        </w:rPr>
        <w:t>(Kellendonk et al., 2009; Wolff et al., 2003)</w:t>
      </w:r>
      <w:r w:rsidR="004100F7">
        <w:rPr>
          <w:sz w:val="24"/>
          <w:szCs w:val="24"/>
          <w:lang w:val="en-GB"/>
        </w:rPr>
        <w:fldChar w:fldCharType="end"/>
      </w:r>
      <w:r w:rsidR="001B269E" w:rsidRPr="001A65CF">
        <w:rPr>
          <w:sz w:val="24"/>
          <w:szCs w:val="24"/>
          <w:lang w:val="en-GB"/>
        </w:rPr>
        <w:t xml:space="preserve"> only with longer </w:t>
      </w:r>
      <w:r w:rsidR="001B269E" w:rsidRPr="001A65CF">
        <w:rPr>
          <w:sz w:val="24"/>
          <w:szCs w:val="24"/>
          <w:lang w:val="en-US"/>
        </w:rPr>
        <w:t xml:space="preserve">delays, which suggests that there needs to be a certain demand for holding specific information actively in memory for some </w:t>
      </w:r>
      <w:r>
        <w:rPr>
          <w:sz w:val="24"/>
          <w:szCs w:val="24"/>
          <w:lang w:val="en-US"/>
        </w:rPr>
        <w:t xml:space="preserve">longer </w:t>
      </w:r>
      <w:r w:rsidR="001B269E" w:rsidRPr="001A65CF">
        <w:rPr>
          <w:sz w:val="24"/>
          <w:szCs w:val="24"/>
          <w:lang w:val="en-US"/>
        </w:rPr>
        <w:t xml:space="preserve">time in order to necessitate high functioning of this cognitive process. Therefore, the first type of challenges used were the ones with an increased </w:t>
      </w:r>
      <w:r>
        <w:rPr>
          <w:sz w:val="24"/>
          <w:szCs w:val="24"/>
          <w:lang w:val="en-US"/>
        </w:rPr>
        <w:t>delay</w:t>
      </w:r>
      <w:r w:rsidR="001B269E" w:rsidRPr="001A65CF">
        <w:rPr>
          <w:sz w:val="24"/>
          <w:szCs w:val="24"/>
          <w:lang w:val="en-US"/>
        </w:rPr>
        <w:t xml:space="preserve"> (</w:t>
      </w:r>
      <w:r w:rsidR="001B269E" w:rsidRPr="00B368E3">
        <w:rPr>
          <w:i/>
          <w:sz w:val="24"/>
          <w:szCs w:val="24"/>
          <w:lang w:val="en-US"/>
        </w:rPr>
        <w:t>delay-challenges</w:t>
      </w:r>
      <w:r w:rsidR="001B269E" w:rsidRPr="001A65CF">
        <w:rPr>
          <w:sz w:val="24"/>
          <w:szCs w:val="24"/>
          <w:lang w:val="en-US"/>
        </w:rPr>
        <w:t>). These challenges differ from the last training stage used (baseline stage), only in the length of the delay</w:t>
      </w:r>
      <w:r>
        <w:rPr>
          <w:sz w:val="24"/>
          <w:szCs w:val="24"/>
          <w:lang w:val="en-US"/>
        </w:rPr>
        <w:t>, adding either 10 or 20 s to the 2 s delay of the baseline protocol</w:t>
      </w:r>
      <w:r w:rsidR="001B269E" w:rsidRPr="001A65CF">
        <w:rPr>
          <w:sz w:val="24"/>
          <w:szCs w:val="24"/>
          <w:lang w:val="en-US"/>
        </w:rPr>
        <w:t xml:space="preserve">. </w:t>
      </w:r>
      <w:r>
        <w:rPr>
          <w:sz w:val="24"/>
          <w:szCs w:val="24"/>
          <w:lang w:val="en-US"/>
        </w:rPr>
        <w:t xml:space="preserve">Note that the effective delay is somewhat longer in each case, because the time that the animal takes to return to the reward receptacle and poke into it (which triggers the delay start) is not taken into account. </w:t>
      </w:r>
      <w:r w:rsidR="004F39DD">
        <w:rPr>
          <w:sz w:val="24"/>
          <w:szCs w:val="24"/>
          <w:lang w:val="en-US"/>
        </w:rPr>
        <w:t>As a third challenge</w:t>
      </w:r>
      <w:r w:rsidR="004F39DD" w:rsidRPr="001A65CF">
        <w:rPr>
          <w:sz w:val="24"/>
          <w:szCs w:val="24"/>
          <w:lang w:val="en-US"/>
        </w:rPr>
        <w:t xml:space="preserve"> the distance between the two illuminated holes in the choice phase was further decreased to zero</w:t>
      </w:r>
      <w:r w:rsidR="004F39DD">
        <w:rPr>
          <w:sz w:val="24"/>
          <w:szCs w:val="24"/>
          <w:lang w:val="en-US"/>
        </w:rPr>
        <w:t xml:space="preserve"> (proximity challenge)</w:t>
      </w:r>
      <w:r w:rsidR="004F39DD" w:rsidRPr="001A65CF">
        <w:rPr>
          <w:sz w:val="24"/>
          <w:szCs w:val="24"/>
          <w:lang w:val="en-US"/>
        </w:rPr>
        <w:t>. This means that the two illuminated holes were direct</w:t>
      </w:r>
      <w:r w:rsidR="004F39DD">
        <w:rPr>
          <w:sz w:val="24"/>
          <w:szCs w:val="24"/>
          <w:lang w:val="en-US"/>
        </w:rPr>
        <w:t>ly</w:t>
      </w:r>
      <w:r w:rsidR="004F39DD" w:rsidRPr="001A65CF">
        <w:rPr>
          <w:sz w:val="24"/>
          <w:szCs w:val="24"/>
          <w:lang w:val="en-US"/>
        </w:rPr>
        <w:t xml:space="preserve"> </w:t>
      </w:r>
      <w:r w:rsidR="004F39DD">
        <w:rPr>
          <w:sz w:val="24"/>
          <w:szCs w:val="24"/>
          <w:lang w:val="en-US"/>
        </w:rPr>
        <w:t>next</w:t>
      </w:r>
      <w:r w:rsidR="004F39DD" w:rsidRPr="001A65CF">
        <w:rPr>
          <w:sz w:val="24"/>
          <w:szCs w:val="24"/>
          <w:lang w:val="en-US"/>
        </w:rPr>
        <w:t xml:space="preserve"> to each other. All other parameters were the same as in the baseline stage protocol</w:t>
      </w:r>
      <w:r w:rsidR="004F39DD">
        <w:rPr>
          <w:sz w:val="24"/>
          <w:szCs w:val="24"/>
          <w:lang w:val="en-US"/>
        </w:rPr>
        <w:t xml:space="preserve"> in each case</w:t>
      </w:r>
      <w:r w:rsidR="004F39DD" w:rsidRPr="001A65CF">
        <w:rPr>
          <w:sz w:val="24"/>
          <w:szCs w:val="24"/>
          <w:lang w:val="en-US"/>
        </w:rPr>
        <w:t xml:space="preserve">. </w:t>
      </w:r>
      <w:r w:rsidR="004F39DD">
        <w:rPr>
          <w:sz w:val="24"/>
          <w:szCs w:val="24"/>
          <w:lang w:val="en-US"/>
        </w:rPr>
        <w:t xml:space="preserve">Furthermore, during </w:t>
      </w:r>
      <w:r w:rsidR="00EA1AB5">
        <w:rPr>
          <w:sz w:val="24"/>
          <w:szCs w:val="24"/>
          <w:lang w:val="en-US"/>
        </w:rPr>
        <w:t>drug</w:t>
      </w:r>
      <w:r w:rsidR="004F39DD">
        <w:rPr>
          <w:sz w:val="24"/>
          <w:szCs w:val="24"/>
          <w:lang w:val="en-US"/>
        </w:rPr>
        <w:t xml:space="preserve"> application</w:t>
      </w:r>
      <w:r w:rsidR="00EA1AB5">
        <w:rPr>
          <w:sz w:val="24"/>
          <w:szCs w:val="24"/>
          <w:lang w:val="en-US"/>
        </w:rPr>
        <w:t>s</w:t>
      </w:r>
      <w:r w:rsidR="004F39DD">
        <w:rPr>
          <w:sz w:val="24"/>
          <w:szCs w:val="24"/>
          <w:lang w:val="en-US"/>
        </w:rPr>
        <w:t xml:space="preserve"> </w:t>
      </w:r>
      <w:r w:rsidR="00EA1AB5">
        <w:rPr>
          <w:sz w:val="24"/>
          <w:szCs w:val="24"/>
          <w:lang w:val="en-US"/>
        </w:rPr>
        <w:t>(see below)</w:t>
      </w:r>
      <w:r w:rsidR="004F39DD">
        <w:rPr>
          <w:sz w:val="24"/>
          <w:szCs w:val="24"/>
          <w:lang w:val="en-US"/>
        </w:rPr>
        <w:t>, in addition to increasing the delay, we also shortened the SP-SD to 2 s to</w:t>
      </w:r>
      <w:r w:rsidR="00EA1AB5">
        <w:rPr>
          <w:sz w:val="24"/>
          <w:szCs w:val="24"/>
          <w:lang w:val="en-US"/>
        </w:rPr>
        <w:t xml:space="preserve"> further standardize the permitted time to encode the future correct hole and to</w:t>
      </w:r>
      <w:r w:rsidR="004F39DD">
        <w:rPr>
          <w:sz w:val="24"/>
          <w:szCs w:val="24"/>
          <w:lang w:val="en-US"/>
        </w:rPr>
        <w:t xml:space="preserve"> mildly challenge sustained attention, in order to evaluate potential modulation of this cognitive function simultaneously.</w:t>
      </w:r>
    </w:p>
    <w:p w:rsidR="001B269E" w:rsidRPr="001A65CF" w:rsidRDefault="001B269E" w:rsidP="001B269E">
      <w:pPr>
        <w:autoSpaceDE w:val="0"/>
        <w:autoSpaceDN w:val="0"/>
        <w:adjustRightInd w:val="0"/>
        <w:spacing w:after="0" w:line="240" w:lineRule="auto"/>
        <w:rPr>
          <w:sz w:val="24"/>
          <w:szCs w:val="24"/>
          <w:lang w:val="en-US"/>
        </w:rPr>
      </w:pPr>
    </w:p>
    <w:p w:rsidR="00345BE4" w:rsidRPr="004B3E80" w:rsidRDefault="004B3E80" w:rsidP="004B3E80">
      <w:pPr>
        <w:pStyle w:val="Heading3"/>
        <w:rPr>
          <w:lang w:val="en-GB"/>
        </w:rPr>
      </w:pPr>
      <w:r w:rsidRPr="004B3E80">
        <w:rPr>
          <w:lang w:val="en-GB"/>
        </w:rPr>
        <w:t>Pharmacological experiments in the 5-CSWM task</w:t>
      </w:r>
    </w:p>
    <w:p w:rsidR="00345BE4" w:rsidRPr="001A65CF" w:rsidRDefault="00345BE4" w:rsidP="00345BE4">
      <w:pPr>
        <w:spacing w:line="360" w:lineRule="auto"/>
        <w:rPr>
          <w:sz w:val="24"/>
          <w:szCs w:val="24"/>
          <w:lang w:val="en-US"/>
        </w:rPr>
      </w:pPr>
      <w:r w:rsidRPr="001A65CF">
        <w:rPr>
          <w:sz w:val="24"/>
          <w:szCs w:val="24"/>
          <w:lang w:val="en-US"/>
        </w:rPr>
        <w:t xml:space="preserve">Following the initial motivation for establishing this task as one that </w:t>
      </w:r>
      <w:r>
        <w:rPr>
          <w:sz w:val="24"/>
          <w:szCs w:val="24"/>
          <w:lang w:val="en-US"/>
        </w:rPr>
        <w:t>has predictive validity with respect to</w:t>
      </w:r>
      <w:r w:rsidRPr="001A65CF">
        <w:rPr>
          <w:sz w:val="24"/>
          <w:szCs w:val="24"/>
          <w:lang w:val="en-US"/>
        </w:rPr>
        <w:t xml:space="preserve"> human or primate spatial working memory tests</w:t>
      </w:r>
      <w:r>
        <w:rPr>
          <w:sz w:val="24"/>
          <w:szCs w:val="24"/>
          <w:lang w:val="en-US"/>
        </w:rPr>
        <w:t>, the</w:t>
      </w:r>
      <w:r w:rsidRPr="001A65CF">
        <w:rPr>
          <w:sz w:val="24"/>
          <w:szCs w:val="24"/>
          <w:lang w:val="en-US"/>
        </w:rPr>
        <w:t xml:space="preserve"> responses to different drugs, </w:t>
      </w:r>
      <w:r w:rsidR="00EA1AB5">
        <w:rPr>
          <w:sz w:val="24"/>
          <w:szCs w:val="24"/>
          <w:lang w:val="en-US"/>
        </w:rPr>
        <w:t>some</w:t>
      </w:r>
      <w:r>
        <w:rPr>
          <w:sz w:val="24"/>
          <w:szCs w:val="24"/>
          <w:lang w:val="en-US"/>
        </w:rPr>
        <w:t xml:space="preserve"> of </w:t>
      </w:r>
      <w:r w:rsidRPr="001A65CF">
        <w:rPr>
          <w:sz w:val="24"/>
          <w:szCs w:val="24"/>
          <w:lang w:val="en-US"/>
        </w:rPr>
        <w:t>which were shown to influence working memory in the latter species</w:t>
      </w:r>
      <w:r w:rsidR="00EA1AB5">
        <w:rPr>
          <w:sz w:val="24"/>
          <w:szCs w:val="24"/>
          <w:lang w:val="en-US"/>
        </w:rPr>
        <w:t xml:space="preserve"> at least under some conditions</w:t>
      </w:r>
      <w:r w:rsidRPr="001A65CF">
        <w:rPr>
          <w:sz w:val="24"/>
          <w:szCs w:val="24"/>
          <w:lang w:val="en-US"/>
        </w:rPr>
        <w:t xml:space="preserve"> were tested. </w:t>
      </w:r>
    </w:p>
    <w:p w:rsidR="00345BE4" w:rsidRDefault="00345BE4" w:rsidP="00345BE4">
      <w:pPr>
        <w:spacing w:line="360" w:lineRule="auto"/>
        <w:rPr>
          <w:sz w:val="24"/>
          <w:szCs w:val="24"/>
          <w:lang w:val="en-US"/>
        </w:rPr>
      </w:pPr>
      <w:r w:rsidRPr="00CA0530">
        <w:rPr>
          <w:sz w:val="24"/>
          <w:szCs w:val="24"/>
          <w:lang w:val="en-US"/>
        </w:rPr>
        <w:t>Modafinil</w:t>
      </w:r>
      <w:r w:rsidR="005018F8">
        <w:rPr>
          <w:sz w:val="24"/>
          <w:szCs w:val="24"/>
          <w:lang w:val="en-US"/>
        </w:rPr>
        <w:t xml:space="preserve">, </w:t>
      </w:r>
      <w:r w:rsidR="005018F8" w:rsidRPr="005018F8">
        <w:rPr>
          <w:sz w:val="24"/>
          <w:szCs w:val="24"/>
          <w:lang w:val="en-US"/>
        </w:rPr>
        <w:t>the mGluR5-positive allosteric modulator (PAM) LSN 2463359</w:t>
      </w:r>
      <w:r w:rsidR="005018F8" w:rsidRPr="00CA0530">
        <w:rPr>
          <w:sz w:val="24"/>
          <w:szCs w:val="24"/>
          <w:lang w:val="en-US"/>
        </w:rPr>
        <w:t xml:space="preserve"> </w:t>
      </w:r>
      <w:r w:rsidR="004B3E80" w:rsidRPr="00CA0530">
        <w:rPr>
          <w:sz w:val="24"/>
          <w:szCs w:val="24"/>
          <w:lang w:val="en-US"/>
        </w:rPr>
        <w:t xml:space="preserve">and the </w:t>
      </w:r>
      <w:r w:rsidR="004B3E80" w:rsidRPr="00CA0530">
        <w:rPr>
          <w:rFonts w:cs="Times New Roman"/>
          <w:sz w:val="24"/>
          <w:szCs w:val="24"/>
          <w:lang w:val="en-US"/>
        </w:rPr>
        <w:t>α</w:t>
      </w:r>
      <w:r w:rsidR="004B3E80" w:rsidRPr="00CA0530">
        <w:rPr>
          <w:sz w:val="24"/>
          <w:szCs w:val="24"/>
          <w:lang w:val="en-US"/>
        </w:rPr>
        <w:t>2A-adrenoreceptor agonist g</w:t>
      </w:r>
      <w:r w:rsidRPr="00CA0530">
        <w:rPr>
          <w:sz w:val="24"/>
          <w:szCs w:val="24"/>
          <w:lang w:val="en-US"/>
        </w:rPr>
        <w:t>uanfacine were tested</w:t>
      </w:r>
      <w:r w:rsidR="00E27DDB" w:rsidRPr="00CA0530">
        <w:rPr>
          <w:sz w:val="24"/>
          <w:szCs w:val="24"/>
          <w:lang w:val="en-US"/>
        </w:rPr>
        <w:t xml:space="preserve"> in a within-subject design</w:t>
      </w:r>
      <w:r w:rsidRPr="00CA0530">
        <w:rPr>
          <w:sz w:val="24"/>
          <w:szCs w:val="24"/>
          <w:lang w:val="en-US"/>
        </w:rPr>
        <w:t>. All drugs were injected according to a latin-square scheme</w:t>
      </w:r>
      <w:r w:rsidR="00E27DDB" w:rsidRPr="00CA0530">
        <w:rPr>
          <w:sz w:val="24"/>
          <w:szCs w:val="24"/>
          <w:lang w:val="en-US"/>
        </w:rPr>
        <w:t xml:space="preserve"> determining dose-assig</w:t>
      </w:r>
      <w:r w:rsidR="00EA1AB5">
        <w:rPr>
          <w:sz w:val="24"/>
          <w:szCs w:val="24"/>
          <w:lang w:val="en-US"/>
        </w:rPr>
        <w:t>n</w:t>
      </w:r>
      <w:r w:rsidR="00E27DDB" w:rsidRPr="00CA0530">
        <w:rPr>
          <w:sz w:val="24"/>
          <w:szCs w:val="24"/>
          <w:lang w:val="en-US"/>
        </w:rPr>
        <w:t>ment on a particular day</w:t>
      </w:r>
      <w:r w:rsidRPr="00CA0530">
        <w:rPr>
          <w:sz w:val="24"/>
          <w:szCs w:val="24"/>
          <w:lang w:val="en-US"/>
        </w:rPr>
        <w:t xml:space="preserve">, counterbalanced within the </w:t>
      </w:r>
      <w:r w:rsidR="004B3E80" w:rsidRPr="00CA0530">
        <w:rPr>
          <w:sz w:val="24"/>
          <w:szCs w:val="24"/>
          <w:lang w:val="en-US"/>
        </w:rPr>
        <w:t xml:space="preserve">subgroups trained in the </w:t>
      </w:r>
      <w:r w:rsidRPr="00CA0530">
        <w:rPr>
          <w:i/>
          <w:sz w:val="24"/>
          <w:szCs w:val="24"/>
          <w:lang w:val="en-US"/>
        </w:rPr>
        <w:t>light</w:t>
      </w:r>
      <w:r w:rsidRPr="00CA0530">
        <w:rPr>
          <w:sz w:val="24"/>
          <w:szCs w:val="24"/>
          <w:lang w:val="en-US"/>
        </w:rPr>
        <w:t xml:space="preserve">- and </w:t>
      </w:r>
      <w:r w:rsidRPr="00CA0530">
        <w:rPr>
          <w:i/>
          <w:sz w:val="24"/>
          <w:szCs w:val="24"/>
          <w:lang w:val="en-US"/>
        </w:rPr>
        <w:t>dark</w:t>
      </w:r>
      <w:r w:rsidRPr="00CA0530">
        <w:rPr>
          <w:sz w:val="24"/>
          <w:szCs w:val="24"/>
          <w:lang w:val="en-US"/>
        </w:rPr>
        <w:t>-</w:t>
      </w:r>
      <w:r w:rsidR="004B3E80" w:rsidRPr="00CA0530">
        <w:rPr>
          <w:sz w:val="24"/>
          <w:szCs w:val="24"/>
          <w:lang w:val="en-US"/>
        </w:rPr>
        <w:t>protocols</w:t>
      </w:r>
      <w:r w:rsidRPr="00CA0530">
        <w:rPr>
          <w:sz w:val="24"/>
          <w:szCs w:val="24"/>
          <w:lang w:val="en-US"/>
        </w:rPr>
        <w:t xml:space="preserve"> by intraperitoneal (i.p.) route at a volume of 10</w:t>
      </w:r>
      <w:r w:rsidR="00300A18">
        <w:rPr>
          <w:sz w:val="24"/>
          <w:szCs w:val="24"/>
          <w:lang w:val="en-US"/>
        </w:rPr>
        <w:t> </w:t>
      </w:r>
      <w:r w:rsidRPr="00CA0530">
        <w:rPr>
          <w:sz w:val="24"/>
          <w:szCs w:val="24"/>
          <w:lang w:val="en-US"/>
        </w:rPr>
        <w:sym w:font="Symbol" w:char="F06D"/>
      </w:r>
      <w:r w:rsidRPr="00CA0530">
        <w:rPr>
          <w:sz w:val="24"/>
          <w:szCs w:val="24"/>
          <w:lang w:val="en-US"/>
        </w:rPr>
        <w:t>l/g mouse (1 % of the bodyweight) and the stated solutions used for dissolving each drug w</w:t>
      </w:r>
      <w:r w:rsidR="004B3E80" w:rsidRPr="00CA0530">
        <w:rPr>
          <w:sz w:val="24"/>
          <w:szCs w:val="24"/>
          <w:lang w:val="en-US"/>
        </w:rPr>
        <w:t xml:space="preserve">ere used as respective vehicle. </w:t>
      </w:r>
      <w:r w:rsidRPr="00CA0530">
        <w:rPr>
          <w:rFonts w:eastAsia="ArialMT" w:cstheme="minorHAnsi"/>
          <w:sz w:val="24"/>
          <w:szCs w:val="24"/>
          <w:lang w:val="en-US"/>
        </w:rPr>
        <w:t>Modafinil</w:t>
      </w:r>
      <w:r w:rsidR="00E27DDB" w:rsidRPr="00CA0530">
        <w:rPr>
          <w:rFonts w:eastAsia="ArialMT" w:cstheme="minorHAnsi"/>
          <w:sz w:val="24"/>
          <w:szCs w:val="24"/>
          <w:lang w:val="en-US"/>
        </w:rPr>
        <w:t xml:space="preserve"> (Sigma, G)</w:t>
      </w:r>
      <w:r w:rsidRPr="00CA0530">
        <w:rPr>
          <w:rFonts w:eastAsia="ArialMT" w:cstheme="minorHAnsi"/>
          <w:sz w:val="24"/>
          <w:szCs w:val="24"/>
          <w:lang w:val="en-US"/>
        </w:rPr>
        <w:t xml:space="preserve"> was dissolved in 20-24 % DMSO/saline and injected at the doses 0 (vehicle),</w:t>
      </w:r>
      <w:r w:rsidR="004B3E80" w:rsidRPr="00CA0530">
        <w:rPr>
          <w:rFonts w:eastAsia="ArialMT" w:cstheme="minorHAnsi"/>
          <w:sz w:val="24"/>
          <w:szCs w:val="24"/>
          <w:lang w:val="en-US"/>
        </w:rPr>
        <w:t xml:space="preserve"> </w:t>
      </w:r>
      <w:r w:rsidRPr="00CA0530">
        <w:rPr>
          <w:rFonts w:eastAsia="ArialMT" w:cstheme="minorHAnsi"/>
          <w:sz w:val="24"/>
          <w:szCs w:val="24"/>
          <w:lang w:val="en-US"/>
        </w:rPr>
        <w:t xml:space="preserve">15, </w:t>
      </w:r>
      <w:r w:rsidR="004B3E80" w:rsidRPr="00CA0530">
        <w:rPr>
          <w:rFonts w:eastAsia="ArialMT" w:cstheme="minorHAnsi"/>
          <w:sz w:val="24"/>
          <w:szCs w:val="24"/>
          <w:lang w:val="en-US"/>
        </w:rPr>
        <w:t xml:space="preserve">and </w:t>
      </w:r>
      <w:r w:rsidRPr="00CA0530">
        <w:rPr>
          <w:rFonts w:eastAsia="ArialMT" w:cstheme="minorHAnsi"/>
          <w:sz w:val="24"/>
          <w:szCs w:val="24"/>
          <w:lang w:val="en-US"/>
        </w:rPr>
        <w:t>30 mg/kg 30</w:t>
      </w:r>
      <w:r w:rsidR="004B3E80" w:rsidRPr="00CA0530">
        <w:rPr>
          <w:rFonts w:eastAsia="ArialMT" w:cstheme="minorHAnsi"/>
          <w:sz w:val="24"/>
          <w:szCs w:val="24"/>
          <w:lang w:val="en-US"/>
        </w:rPr>
        <w:t> </w:t>
      </w:r>
      <w:r w:rsidRPr="00CA0530">
        <w:rPr>
          <w:rFonts w:eastAsia="ArialMT" w:cstheme="minorHAnsi"/>
          <w:sz w:val="24"/>
          <w:szCs w:val="24"/>
          <w:lang w:val="en-US"/>
        </w:rPr>
        <w:t>min before testing started</w:t>
      </w:r>
      <w:r w:rsidR="004D78BB" w:rsidRPr="00CA0530">
        <w:rPr>
          <w:rFonts w:eastAsia="ArialMT" w:cstheme="minorHAnsi"/>
          <w:sz w:val="24"/>
          <w:szCs w:val="24"/>
          <w:lang w:val="en-US"/>
        </w:rPr>
        <w:t xml:space="preserve">, according to </w:t>
      </w:r>
      <w:r w:rsidR="004100F7" w:rsidRPr="00CA0530">
        <w:rPr>
          <w:rFonts w:eastAsia="ArialMT" w:cstheme="minorHAnsi"/>
          <w:sz w:val="24"/>
          <w:szCs w:val="24"/>
          <w:lang w:val="en-US"/>
        </w:rPr>
        <w:fldChar w:fldCharType="begin"/>
      </w:r>
      <w:r w:rsidR="005A4C44" w:rsidRPr="00CA0530">
        <w:rPr>
          <w:rFonts w:eastAsia="ArialMT" w:cstheme="minorHAnsi"/>
          <w:sz w:val="24"/>
          <w:szCs w:val="24"/>
          <w:lang w:val="en-US"/>
        </w:rPr>
        <w:instrText xml:space="preserve"> ADDIN ZOTERO_ITEM CSL_CITATION {"citationID":"98kc5btrt","properties":{"formattedCitation":"{\\rtf (Gonz\\uc0\\u225{}lez et al., 2014; Morgan et al., 2007)}","plainCitation":"(González et al., 2014; Morgan et al., 2007)"},"citationItems":[{"id":3511,"uris":["http://zotero.org/users/local/biVi7xTd/items/MBPKPJ33"],"uri":["http://zotero.org/users/local/biVi7xTd/items/MBPKPJ33"],"itemData":{"id":3511,"type":"article-journal","title":"Modafinil improves methamphetamine-induced object recognition deficits and restores prefrontal cortex ERK signaling in mice","container-title":"Neuropharmacology","source":"ScienceDirect","abstract":"Chronic use of methamphetamine (METH) leads to long-lasting cognitive dysfunction in humans and in animal models. Modafinil is a wake-promoting compound approved for the treatment of sleeping disorders. It is also prescribed off label to treat METH dependence. In the present study, we investigated whether modafinil could improve cognitive deficits induced by sub-chronic METH treatment in mice by measuring visual retention in a Novel Object Recognition (NOR) task. After sub-chronic METH treatment (1 mg/kg, once a day for 7 days), mice performed the NOR task, which consisted of habituation to the object recognition arena (5 min a day, 3 consecutive days), training session (2 equal objects, 10 min, day 4), and a retention session (1 novel object, 5 min, day 5). One hour before the training session, mice were given a single dose of modafinil (30 or 90 mg/kg). METH-treated mice showed impairments in visual memory retention, evidenced by equal preference of familiar and novel objects during the retention session. The lower dose of modafinil (30 mg/kg) had no effect on visual retention scores in METH-treated mice, while the higher dose (90 mg/kg) rescued visual memory retention to control values. We also measured extracellular signal-regulated kinase (ERK) phosphorylation in medial prefrontal cortex (mPFC), hippocampus, and nucleus accumbens (NAc) of METH- and vehicle-treated mice that received modafinil 1 h before exposure to novel objects in the training session, compared to mice placed in the arena without objects. Elevated ERK phosphorylation was found in the mPFC of vehicle-treated mice, but not in METH-treated mice, exposed to objects. The lower dose of modafinil had no effect on ERK phosphorylation in METH-treated mice, while 90 mg/kg modafinil treatment restored the ERK phosphorylation induced by novelty in METH-treated mice to values comparable to controls. We found neither a novelty nor treatment effect on ERK phosphorylation in hippocampus or NAc of vehicle- and METH-treated mice receiving acute 90 mg/kg modafinil treatment. Our results showed a palliative role of modafinil against METH-induced visual cognitive impairments, possibly by normalizing ERK signaling pathways in mPFC. Modafinil may be a valuable pharmacological tool for the treatment of cognitive deficits observed in human METH abusers as well as in other neuropsychiatric conditions.\nThis article is part of a Special Issue entitled ‘CNS Stimulants’.","URL":"http://www.sciencedirect.com/science/article/pii/S0028390814000550","DOI":"10.1016/j.neuropharm.2014.02.002","ISSN":"0028-3908","journalAbbreviation":"Neuropharmacology","author":[{"family":"González","given":"Betina"},{"family":"Raineri","given":"Mariana"},{"family":"Cadet","given":"Jean Lud"},{"family":"García-Rill","given":"Edgar"},{"family":"Urbano","given":"Francisco J."},{"family":"Bisagno","given":"Veronica"}],"issued":{"date-parts":[["2014"]]},"accessed":{"date-parts":[["2014",4,28]]}}},{"id":22298,"uris":["http://zotero.org/users/local/biVi7xTd/items/3EPJM36K"],"uri":["http://zotero.org/users/local/biVi7xTd/items/3EPJM36K"],"itemData":{"id":22298,"type":"article-journal","title":"Modafinil improves attention, inhibitory control, and reaction time in healthy, middle-aged rats","container-title":"Pharmacology Biochemistry and Behavior","page":"531-541","volume":"86","issue":"3","source":"ScienceDirect","abstract":"This study examined the effect of the novel psychostimulant modafinil (Provigil) on a variety of cognitive and behavioral measures including associative learning, sustained attention, inhibitory control, and reaction time. Middle-aged female rats (18–20 months old) were administered oral doses of modafinil (0, 8, 32, and 64 mg/kg) and tested in a 3-choice visual discrimination and sustained attention task. Modafinil produced a dose-dependent pattern of improved response accuracy and impulse control (fewer premature responses) and shorter response latencies, without affecting omission errors, motivation or motor control. Although the biochemical mechanism of modafinil is unknown, these results suggest a profile differing from typical psychostimulants (e.g., amphetamine). The implications of these findings for treatment of narcolepsy, ADHD, and various arousal-related disorders are considered. Further research is needed to examine the relative safety, effectiveness, and addictive potential of modafinil, as well as, its effects in comparison with other performance-enhancing drugs (e.g., caffeine, nicotine, and amphetamines).","DOI":"10.1016/j.pbb.2007.01.015","ISSN":"0091-3057","journalAbbreviation":"Pharmacology Biochemistry and Behavior","author":[{"family":"Morgan","given":"Russell E."},{"family":"Crowley","given":"Jaime M."},{"family":"Smith","given":"Roland H."},{"family":"LaRoche","given":"Ronee B."},{"family":"Dopheide","given":"Marsha M."}],"issued":{"date-parts":[["2007",3,1]]}}}],"schema":"https://github.com/citation-style-language/schema/raw/master/csl-citation.json"} </w:instrText>
      </w:r>
      <w:r w:rsidR="004100F7" w:rsidRPr="00CA0530">
        <w:rPr>
          <w:rFonts w:eastAsia="ArialMT" w:cstheme="minorHAnsi"/>
          <w:sz w:val="24"/>
          <w:szCs w:val="24"/>
          <w:lang w:val="en-US"/>
        </w:rPr>
        <w:fldChar w:fldCharType="separate"/>
      </w:r>
      <w:r w:rsidR="005A4C44" w:rsidRPr="00CA0530">
        <w:rPr>
          <w:rFonts w:cs="Times New Roman"/>
          <w:sz w:val="24"/>
          <w:szCs w:val="24"/>
          <w:lang w:val="en-GB"/>
        </w:rPr>
        <w:t>(González et al., 2014; Morgan et al., 2007)</w:t>
      </w:r>
      <w:r w:rsidR="004100F7" w:rsidRPr="00CA0530">
        <w:rPr>
          <w:rFonts w:eastAsia="ArialMT" w:cstheme="minorHAnsi"/>
          <w:sz w:val="24"/>
          <w:szCs w:val="24"/>
          <w:lang w:val="en-US"/>
        </w:rPr>
        <w:fldChar w:fldCharType="end"/>
      </w:r>
      <w:r w:rsidRPr="00CA0530">
        <w:rPr>
          <w:rFonts w:eastAsia="ArialMT" w:cstheme="minorHAnsi"/>
          <w:sz w:val="24"/>
          <w:szCs w:val="24"/>
          <w:lang w:val="en-US"/>
        </w:rPr>
        <w:t>.</w:t>
      </w:r>
      <w:r w:rsidR="004B3E80" w:rsidRPr="00CA0530">
        <w:rPr>
          <w:rFonts w:eastAsia="ArialMT" w:cstheme="minorHAnsi"/>
          <w:sz w:val="24"/>
          <w:szCs w:val="24"/>
          <w:lang w:val="en-US"/>
        </w:rPr>
        <w:t xml:space="preserve"> (A </w:t>
      </w:r>
      <w:r w:rsidR="00300A18">
        <w:rPr>
          <w:rFonts w:eastAsia="ArialMT" w:cstheme="minorHAnsi"/>
          <w:sz w:val="24"/>
          <w:szCs w:val="24"/>
          <w:lang w:val="en-US"/>
        </w:rPr>
        <w:t xml:space="preserve">small </w:t>
      </w:r>
      <w:r w:rsidR="004B3E80" w:rsidRPr="00CA0530">
        <w:rPr>
          <w:rFonts w:eastAsia="ArialMT" w:cstheme="minorHAnsi"/>
          <w:sz w:val="24"/>
          <w:szCs w:val="24"/>
          <w:lang w:val="en-US"/>
        </w:rPr>
        <w:t>subset of mice also received</w:t>
      </w:r>
      <w:r w:rsidR="005A4C44" w:rsidRPr="00CA0530">
        <w:rPr>
          <w:rFonts w:eastAsia="ArialMT" w:cstheme="minorHAnsi"/>
          <w:sz w:val="24"/>
          <w:szCs w:val="24"/>
          <w:lang w:val="en-US"/>
        </w:rPr>
        <w:t xml:space="preserve"> a further injection of 60 mg/kg, following </w:t>
      </w:r>
      <w:r w:rsidR="004100F7" w:rsidRPr="00CA0530">
        <w:rPr>
          <w:rFonts w:eastAsia="ArialMT" w:cstheme="minorHAnsi"/>
          <w:sz w:val="24"/>
          <w:szCs w:val="24"/>
          <w:lang w:val="en-US"/>
        </w:rPr>
        <w:fldChar w:fldCharType="begin"/>
      </w:r>
      <w:r w:rsidR="00200EE1" w:rsidRPr="00CA0530">
        <w:rPr>
          <w:rFonts w:eastAsia="ArialMT" w:cstheme="minorHAnsi"/>
          <w:sz w:val="24"/>
          <w:szCs w:val="24"/>
          <w:lang w:val="en-US"/>
        </w:rPr>
        <w:instrText xml:space="preserve"> ADDIN ZOTERO_ITEM CSL_CITATION {"citationID":"7GVi21BX","properties":{"formattedCitation":"{\\rtf (B\\uc0\\u233{}racoch\\uc0\\u233{}a et al., 2001; Murphy et al., 2015; Pi\\uc0\\u233{}rard et al., 2007)}","plainCitation":"(Béracochéa et al., 2001; Murphy et al., 2015; Piérard et al., 2007)"},"citationItems":[{"id":"uMoHERV4/O0OLZKKV","uris":["http://www.mendeley.com/documents/?uuid=7090c2ab-3c81-3686-baa0-ce22f8c4985c"],"uri":["http://www.mendeley.com/documents/?uuid=7090c2ab-3c81-3686-baa0-ce22f8c4985c"],"itemData":{"ISSN":"0959-4965","PMID":"11209953","abstract":"This study investigated the effects of pretest injection of modafinil on delayed spontaneous alternation rates (SA) used to evaluate working memory in C57 Bl/6 mice. In a first experiment, systemic modafinil at 64 mg/kg, but not at 8 mg/kg or 32 mg/kg doses produced a significant increase of alternation scores (intertrial interval (ITI) 60s) when compared with controls. In a second experiment, modafinil (64 mg/kg) enhanced the alternation rates mainly at long (60 s and 180 s) but not at short (5 s) ITIs. Exploratory latencies and activity in a four hole-board apparatus were not modified by modafinil administration. These experiments are the first to demonstrate a delay-dependent working memory-enhancing effect of modafinil.","author":[{"dropping-particle":"","family":"Béracochéa","given":"D","non-dropping-particle":"","parse-names":false,"suffix":""},{"dropping-particle":"","family":"Cagnard","given":"B","non-dropping-particle":"","parse-names":false,"suffix":""},{"dropping-particle":"","family":"Célérier","given":"A","non-dropping-particle":"","parse-names":false,"suffix":""},{"dropping-particle":"","family":"Merrer","given":"J","non-dropping-particle":"le","parse-names":false,"suffix":""},{"dropping-particle":"","family":"Pérès","given":"M","non-dropping-particle":"","parse-names":false,"suffix":""},{"dropping-particle":"","family":"Piérard","given":"C","non-dropping-particle":"","parse-names":false,"suffix":""}],"container-title":"Neuroreport","id":"uMoHERV4/O0OLZKKV","issue":"2","issued":{"year":2001,"month":2,"day":12},"page":"375-8","title":"First evidence of a delay-dependent working memory-enhancing effect of modafinil in mice.","type":"article-journal","volume":"12","page-first":"375","container-title-short":"Neuroreport"}},{"id":22296,"uris":["http://zotero.org/users/local/biVi7xTd/items/6BQXTKRE"],"uri":["http://zotero.org/users/local/biVi7xTd/items/6BQXTKRE"],"itemData":{"id":22296,"type":"article-journal","title":"Modafinil as a cognitive enhancer of spatial working memory in rats","container-title":"Physiology &amp; Behavior","page":"126-130","volume":"142","source":"ScienceDirect","abstract":"The present experiment examined the influence of modafinil on working memory in rats. Control and experimental rats were placed in cages equipped with a running wheel. The study was divided into three periods: 1) habituation, 2) experimental — in which modafinil was orally administered to experimental animals, and 3) withdrawal. Spatial working memory was tested utilizing the Morris Water Maze. Animals were given two trials in each session: 1) a sample trial in which they discovered the location of the platform and 2) a test trial in which they recalled the location of the platform. Platform placement and starting place location of the rats were changed every session. Performance of control animals during sample trials and test trials showed no difference in time to reach the platform; whereas, experimental animals demonstrated faster attainment of the goal during the test trial. In withdrawal, there was no difference in time between the two trials for experimental animals. Wheel running activity of the experimental group was lower than that of the control group during the experimental period. This study supports the hypothesis that modafinil has a positive effect on working memory in rats. It is suggested that benefits of modafinil can extend beyond its prescribed usage; however, these advantages of modafinil use should be addressed in discussions related to ethical concerns associated with neuroenhancers.","DOI":"10.1016/j.physbeh.2015.02.003","ISSN":"0031-9384","journalAbbreviation":"Physiology &amp; Behavior","author":[{"family":"Murphy","given":"Helen M."},{"family":"Ekstrand","given":"Dylan"},{"family":"Tarchick","given":"Matthew"},{"family":"Wideman","given":"Cyrilla H."}],"issued":{"date-parts":[["2015",4,1]]}}},{"id":22300,"uris":["http://zotero.org/users/local/biVi7xTd/items/2XPTXBVU"],"uri":["http://zotero.org/users/local/biVi7xTd/items/2XPTXBVU"],"itemData":{"id":22300,"type":"article-journal","title":"Modafinil restores memory performance and neural activity impaired by sleep deprivation in mice","container-title":"Pharmacology Biochemistry and Behavior","page":"55-63","volume":"88","issue":"1","source":"ScienceDirect","abstract":"The original aims of our study have been to investigate in sleep-deprived mice, the effects of modafinil administration on spatial working memory, in parallel with the evaluation of neural activity level, as compared to non-sleep-deprived animals. For this purpose, an original sleep deprivation apparatus was developed and validated with continuous electroencephalography recording. Memory performance was evaluated using spontaneous alternation in a T-maze, whereas the neural activity level was estimated by the quantification of the c-Fos protein in various cerebral zones. This study allowed altogether: First, to evidence that a diurnal 10-h sleep deprivation period induced an impairment of spatial working memory. Second, to observe a decrease in c-Fos expression after sleep deprivation followed by a behavioural test, as compared to non-sleep-deprived mice. This impairment in neural activity was evidenced in areas involved in wake–sleep cycle regulation (anterior hypothalamus and supraoptic nucleus), but also in memory (frontal cortex and hippocampus) and emotions (amygdala). Finally, to demonstrate that modafinil 64 mg/kg is able to restore on the one hand memory performance after a 10-h sleep deprivation period, and on the other hand, the neural activity level in the very same brain areas where it was previously impaired by sleep deprivation and cognitive task.","DOI":"10.1016/j.pbb.2007.07.006","ISSN":"0091-3057","journalAbbreviation":"Pharmacology Biochemistry and Behavior","author":[{"family":"Piérard","given":"Christophe"},{"family":"Liscia","given":"Pierrette"},{"family":"Philippin","given":"Jean-Nicolas"},{"family":"Mons","given":"Nicole"},{"family":"Lafon","given":"Thierry"},{"family":"Chauveau","given":"Frédéric"},{"family":"Van Beers","given":"Pascal"},{"family":"Drouet","given":"Isabelle"},{"family":"Serra","given":"André"},{"family":"Jouanin","given":"Jean-Claude"},{"family":"Béracochéa","given":"Daniel"}],"issued":{"date-parts":[["2007",11,1]]}}}],"schema":"https://github.com/citation-style-language/schema/raw/master/csl-citation.json"} </w:instrText>
      </w:r>
      <w:r w:rsidR="004100F7" w:rsidRPr="00CA0530">
        <w:rPr>
          <w:rFonts w:eastAsia="ArialMT" w:cstheme="minorHAnsi"/>
          <w:sz w:val="24"/>
          <w:szCs w:val="24"/>
          <w:lang w:val="en-US"/>
        </w:rPr>
        <w:fldChar w:fldCharType="separate"/>
      </w:r>
      <w:r w:rsidR="00200EE1" w:rsidRPr="00CA0530">
        <w:rPr>
          <w:rFonts w:cs="Times New Roman"/>
          <w:sz w:val="24"/>
          <w:szCs w:val="24"/>
          <w:lang w:val="en-GB"/>
        </w:rPr>
        <w:t>(Béracochéa et al., 2001; Murphy et al., 2015; Piérard et al., 2007)</w:t>
      </w:r>
      <w:r w:rsidR="004100F7" w:rsidRPr="00CA0530">
        <w:rPr>
          <w:rFonts w:eastAsia="ArialMT" w:cstheme="minorHAnsi"/>
          <w:sz w:val="24"/>
          <w:szCs w:val="24"/>
          <w:lang w:val="en-US"/>
        </w:rPr>
        <w:fldChar w:fldCharType="end"/>
      </w:r>
      <w:r w:rsidR="004B3E80" w:rsidRPr="00CA0530">
        <w:rPr>
          <w:rFonts w:eastAsia="ArialMT" w:cstheme="minorHAnsi"/>
          <w:sz w:val="24"/>
          <w:szCs w:val="24"/>
          <w:lang w:val="en-US"/>
        </w:rPr>
        <w:t>, but the result was not different from the 30 mg/kg</w:t>
      </w:r>
      <w:r w:rsidR="00E27DDB" w:rsidRPr="00CA0530">
        <w:rPr>
          <w:rFonts w:eastAsia="ArialMT" w:cstheme="minorHAnsi"/>
          <w:sz w:val="24"/>
          <w:szCs w:val="24"/>
          <w:lang w:val="en-US"/>
        </w:rPr>
        <w:t xml:space="preserve"> performance, not shown). </w:t>
      </w:r>
      <w:r w:rsidR="005018F8" w:rsidRPr="005018F8">
        <w:rPr>
          <w:sz w:val="24"/>
          <w:szCs w:val="24"/>
          <w:lang w:val="en-US"/>
        </w:rPr>
        <w:t xml:space="preserve">LSN 2463359 (Tocris, UK) </w:t>
      </w:r>
      <w:r w:rsidR="005018F8" w:rsidRPr="005018F8">
        <w:rPr>
          <w:rFonts w:eastAsia="ArialMT" w:cstheme="minorHAnsi"/>
          <w:sz w:val="24"/>
          <w:szCs w:val="24"/>
          <w:lang w:val="en-US"/>
        </w:rPr>
        <w:t xml:space="preserve">was dissolved in 10 % DMSO / 0.3 % TWEEN80 / saline and administered in doses of 0 (vehicle), 0.33, 1.11, 3.33 and 10 mg/kg 60 min before testing started (based on doses used in </w:t>
      </w:r>
      <w:r w:rsidR="004100F7" w:rsidRPr="005018F8">
        <w:rPr>
          <w:rFonts w:eastAsia="ArialMT" w:cstheme="minorHAnsi"/>
          <w:sz w:val="24"/>
          <w:szCs w:val="24"/>
          <w:lang w:val="en-US"/>
        </w:rPr>
        <w:fldChar w:fldCharType="begin"/>
      </w:r>
      <w:r w:rsidR="005018F8" w:rsidRPr="005018F8">
        <w:rPr>
          <w:rFonts w:eastAsia="ArialMT" w:cstheme="minorHAnsi"/>
          <w:sz w:val="24"/>
          <w:szCs w:val="24"/>
          <w:lang w:val="en-US"/>
        </w:rPr>
        <w:instrText xml:space="preserve"> ADDIN ZOTERO_ITEM CSL_CITATION {"citationID":"92i0okocn","properties":{"formattedCitation":"(Gastambide et al., 2013; Gilmour et al., 2013)","plainCitation":"(Gastambide et al., 2013; Gilmour et al., 2013)"},"citationItems":[{"id":18818,"uris":["http://zotero.org/users/local/biVi7xTd/items/97WBKMPV"],"uri":["http://zotero.org/users/local/biVi7xTd/items/97WBKMPV"],"itemData":{"id":18818,"type":"article-journal","title":"The mGlu5 positive allosteric modulator LSN2463359 differentially modulates motor, instrumental and cognitive effects of NMDA receptor antagonists in the rat","container-title":"Neuropharmacology","collection-title":"Cognitive Enhancers: molecules, mechanisms and minds 22nd Neuropharmacology Conference: Cognitive Enhancers","page":"240-247","volume":"64","source":"ScienceDirect","abstract":"Metabotropic glutamate 5 (mGlu5) receptors are known to functionally interact with N-methyl-d-aspartate (NMDA) receptors at both neuronal and behavioural levels, in a manner that may be of relevance to the treatment of schizophrenia. We have previously described a novel mGlu5 positive allosteric modulator (PAM), LSN2463359 and provided evidence of its ability to attenuate aspects of the behavioural response to administration of the competitive NMDA receptor antagonist, SDZ 220,581. In addition, LSN2463359 was found to selectively attenuate reversal learning deficits observed in the neurodevelopmental MAM E17 model but not in the acute phencyclidine (PCP) model. In the present study, the interactions between this mGlu5 PAM and the NMDA receptor were explored further by assessing the effects of LSN2463359 against some of the motor, instrumental and cognitive effects induced by the non-competitive NMDA receptor antagonists PCP and MK-801, the competitive NMDA receptor antagonist SDZ 220,581 and the GluN2B selective NMDA receptor antagonist, Ro 63-1908. LSN2463359 had either no or minor impact on locomotor hyperactivity induced by either PCP or SDZ 220,581. However, in rats lever pressing for food rewards under a variable interval 30s schedule of instrumental responding, the drug clearly attenuated not only the suppression of response rate induced by SDZ 220,581 but also the stimulation of response rate induced by Ro 63-1908. In contrast, LSN2463359 failed to alter both of the instrumental effects induced by the open channel blockers PCP and MK-801. In addition, although PCP and SDZ 220,581 induced similar deficits in a discrimination and reversal learning task, LSN2463359 was again only able to reverse the deficit induced by SDZ 220,581. The results indicate that the interactions between mGlu5 and NMDA receptors are dependent on both the mechanism of the blockade of the receptor and the behavioural domain under investigation. Our work has implications for the preclinical use of NMDA receptor antagonists in the prediction of potential therapeutic efficacy in the search for novel treatments for schizophrenia. Positive allosteric modulators of the mGlu5 receptor certainly question the predictive validity of such approaches.\n\nThis article is part of a Special Issue entitled ‘Cognitive Enhancers’.","DOI":"10.1016/j.neuropharm.2012.07.039","ISSN":"0028-3908","journalAbbreviation":"Neuropharmacology","author":[{"family":"Gastambide","given":"Francois"},{"family":"Gilmour","given":"Gary"},{"family":"Robbins","given":"Trevor W."},{"family":"Tricklebank","given":"Mark D."}],"issued":{"date-parts":[["2013",1]]}}},{"id":18816,"uris":["http://zotero.org/users/local/biVi7xTd/items/Z7Z69AB5"],"uri":["http://zotero.org/users/local/biVi7xTd/items/Z7Z69AB5"],"itemData":{"id":18816,"type":"article-journal","title":"In vitro characterisation of the novel positive allosteric modulators of the mGlu5 receptor, LSN2463359 and LSN2814617, and their effects on sleep architecture and operant responding in the rat","container-title":"Neuropharmacology","collection-title":"Cognitive Enhancers: molecules, mechanisms and minds 22nd Neuropharmacology Conference: Cognitive Enhancers","page":"224-239","volume":"64","source":"ScienceDirect","abstract":"The demonstrated functional interaction of metabotropic glutamate 5 (mGlu5) receptors with N-methyl-d-aspartate (NMDA) receptors has prompted speculation that their activation may offer a potential treatment for aspects of schizophrenia. Development of selective mGlu5 agonists has been difficult, but several different positive allosteric modulator (PAM) molecules have now been identified. This study describes two novel mGlu5 PAMs, LSN2463359 (N-(1-methylethyl)-5-(pyridin-4-ylethynyl)pyridine-2-carboxamide) and LSN2814617 [(7S)-3-tert-butyl-7-[3-(4-fluorophenyl)-1,2,4-oxadiazol-5-yl]-5,6,7,8-tetrahydro[1,2,4]triazolo[4,3-A]pyridine], which are useful tools for this field of research. Both compounds are potent and selective potentiators of human and rat mGlu5 receptors in vitro, displaying curve shift ratios of two to three fold in the concentration–response relationship to glutamate or the glutamate receptor agonist, DHPG, with no detectable intrinsic agonist properties. Both compounds displaced the mGlu5 receptor antagonist radioligand, [3H]MPEP in vitro and, following oral administration reached brain concentrations sufficient to occupy hippocampal mGlu5 receptors as measured in vivo by dose-dependent displacement from the hippocampus of intravenously administered MPEPy. In vivo EEG studies demonstrated that these mGlu5 PAMs have marked wake-promoting properties but little in the way of rebound hypersomnolence. In contrast, the previously described mGlu5 PAMs CDPPB and ADX47273 showed relatively poor evidence of in vivo target engagement in either receptor occupancy assays or EEG disturbance. Wake-promoting doses of LSN2463359 and LSN2814617 attenuated deficits in performance induced by the competitive NMDA receptor antagonist SDZ 220,581 in two tests of operant behaviour: the variable interval 30 s task and the DMTP task. These effects were lost if the dose of either compound extended into the range which disrupted performance in the baseline DMTP task. However, the improvements in response accuracy induced by the mGlu5 potentiators in SDZ 220,581-treated rats were not delay-dependent and, therefore, perhaps more likely reflected optimization of general arousal than specific beneficial effects on discrete cognitive processes. The systematic profiling of LSN2463359 and LSN2814617 alongside other previously described molecules will help determine more precisely how mGlu5 potentiator pharmacology might provide therapeutic benefit.\n\nThis article is part of a Special Issue entitled ‘Cognitive Enhancers’.","DOI":"10.1016/j.neuropharm.2012.07.030","ISSN":"0028-3908","journalAbbreviation":"Neuropharmacology","author":[{"family":"Gilmour","given":"Gary"},{"family":"Broad","given":"Lisa M."},{"family":"Wafford","given":"Keith A."},{"family":"Britton","given":"Thomas"},{"family":"Colvin","given":"Ellen M."},{"family":"Fivush","given":"Adam"},{"family":"Gastambide","given":"Francois"},{"family":"Getman","given":"Brian"},{"family":"Heinz","given":"Beverly A."},{"family":"McCarthy","given":"Andrew P."},{"family":"Prieto","given":"Lourdes"},{"family":"Shanks","given":"Elaine"},{"family":"Smith","given":"Janice W."},{"family":"Taboada","given":"Lorena"},{"family":"Edgar","given":"Dale M."},{"family":"Tricklebank","given":"Mark D."}],"issued":{"date-parts":[["2013",1]]}}}],"schema":"https://github.com/citation-style-language/schema/raw/master/csl-citation.json"} </w:instrText>
      </w:r>
      <w:r w:rsidR="004100F7" w:rsidRPr="005018F8">
        <w:rPr>
          <w:rFonts w:eastAsia="ArialMT" w:cstheme="minorHAnsi"/>
          <w:sz w:val="24"/>
          <w:szCs w:val="24"/>
          <w:lang w:val="en-US"/>
        </w:rPr>
        <w:fldChar w:fldCharType="separate"/>
      </w:r>
      <w:r w:rsidR="005018F8" w:rsidRPr="005018F8">
        <w:rPr>
          <w:rFonts w:cs="Times New Roman"/>
          <w:sz w:val="24"/>
          <w:lang w:val="en-GB"/>
        </w:rPr>
        <w:t>(Gastambide et al., 2013; Gilmour et al., 2013)</w:t>
      </w:r>
      <w:r w:rsidR="004100F7" w:rsidRPr="005018F8">
        <w:rPr>
          <w:rFonts w:eastAsia="ArialMT" w:cstheme="minorHAnsi"/>
          <w:sz w:val="24"/>
          <w:szCs w:val="24"/>
          <w:lang w:val="en-US"/>
        </w:rPr>
        <w:fldChar w:fldCharType="end"/>
      </w:r>
      <w:r w:rsidR="005018F8" w:rsidRPr="005018F8">
        <w:rPr>
          <w:rFonts w:eastAsia="ArialMT" w:cstheme="minorHAnsi"/>
          <w:sz w:val="24"/>
          <w:szCs w:val="24"/>
          <w:lang w:val="en-US"/>
        </w:rPr>
        <w:t>.</w:t>
      </w:r>
      <w:r w:rsidR="005018F8">
        <w:rPr>
          <w:rFonts w:eastAsia="ArialMT" w:cstheme="minorHAnsi"/>
          <w:sz w:val="24"/>
          <w:szCs w:val="24"/>
          <w:lang w:val="en-US"/>
        </w:rPr>
        <w:t xml:space="preserve"> </w:t>
      </w:r>
      <w:r w:rsidRPr="00CA0530">
        <w:rPr>
          <w:sz w:val="24"/>
          <w:szCs w:val="24"/>
          <w:lang w:val="en-US"/>
        </w:rPr>
        <w:t xml:space="preserve">Guanfacine (Tocris, UK) </w:t>
      </w:r>
      <w:r w:rsidRPr="00CA0530">
        <w:rPr>
          <w:rFonts w:eastAsia="ArialMT" w:cstheme="minorHAnsi"/>
          <w:sz w:val="24"/>
          <w:szCs w:val="24"/>
          <w:lang w:val="en-US"/>
        </w:rPr>
        <w:t>was diluted in saline and administered at d</w:t>
      </w:r>
      <w:r w:rsidR="00E27DDB" w:rsidRPr="00CA0530">
        <w:rPr>
          <w:rFonts w:eastAsia="ArialMT" w:cstheme="minorHAnsi"/>
          <w:sz w:val="24"/>
          <w:szCs w:val="24"/>
          <w:lang w:val="en-US"/>
        </w:rPr>
        <w:t>oses of 0 (vehicle), 0.33 and 1 </w:t>
      </w:r>
      <w:r w:rsidRPr="00CA0530">
        <w:rPr>
          <w:rFonts w:eastAsia="ArialMT" w:cstheme="minorHAnsi"/>
          <w:sz w:val="24"/>
          <w:szCs w:val="24"/>
          <w:lang w:val="en-US"/>
        </w:rPr>
        <w:t>mg/kg 60 min before testing started</w:t>
      </w:r>
      <w:r w:rsidR="00307263" w:rsidRPr="00CA0530">
        <w:rPr>
          <w:rFonts w:eastAsia="ArialMT" w:cstheme="minorHAnsi"/>
          <w:sz w:val="24"/>
          <w:szCs w:val="24"/>
          <w:lang w:val="en-US"/>
        </w:rPr>
        <w:t xml:space="preserve">, following dose-response studies in the T-maze </w:t>
      </w:r>
      <w:r w:rsidR="004100F7" w:rsidRPr="00CA0530">
        <w:rPr>
          <w:rFonts w:eastAsia="ArialMT" w:cstheme="minorHAnsi"/>
          <w:sz w:val="24"/>
          <w:szCs w:val="24"/>
          <w:lang w:val="en-US"/>
        </w:rPr>
        <w:fldChar w:fldCharType="begin"/>
      </w:r>
      <w:r w:rsidR="00307263" w:rsidRPr="00CA0530">
        <w:rPr>
          <w:rFonts w:eastAsia="ArialMT" w:cstheme="minorHAnsi"/>
          <w:sz w:val="24"/>
          <w:szCs w:val="24"/>
          <w:lang w:val="en-US"/>
        </w:rPr>
        <w:instrText xml:space="preserve"> ADDIN ZOTERO_ITEM CSL_CITATION {"citationID":"vdfq97k89","properties":{"formattedCitation":"(Franowicz et al., 2002)","plainCitation":"(Franowicz et al., 2002)"},"citationItems":[{"id":19824,"uris":["http://zotero.org/users/local/biVi7xTd/items/CJFQMSAX"],"uri":["http://zotero.org/users/local/biVi7xTd/items/CJFQMSAX"],"itemData":{"id":19824,"type":"article-journal","title":"Mutation of the α2A-Adrenoceptor Impairs Working Memory Performance and Annuls Cognitive Enhancement by Guanfacine","container-title":"The Journal of Neuroscience","page":"8771-8777","volume":"22","issue":"19","source":"www.jneurosci.org","abstract":"Norepinephrine strengthens the working memory, behavioral inhibition, and attentional functions of the prefrontal cortex through actions at postsynaptic α2-adrenoceptors (α2-AR). The α2-AR agonist guanfacine enhances prefrontal cortical functions in rats, monkeys, and human beings and ameliorates prefrontal cortical deficits in patients with attention deficit hyperactivity disorder. The present study examined the subtype of α2-AR underlying these beneficial effects. Because there are no selective α2A-AR, α2B-AR, or α2C-AR agonists or antagonists, genetically altered mice were used to identify the molecular target of the action of guanfacine. Mice with a point mutation of the α2A-AR, which serves as a functional knock-out, were compared with wild-type animals and with previously published studies of α2C-AR knock-out mice (Tanila et al., 1999). Mice were adapted to handling on a T maze and trained on either a spatial delayed alternation task that is sensitive to prefrontal cortical damage or a spatial discrimination control task with similar motor and motivational demands but no dependence on prefrontal cortex. The effects of guanfacine on performance of the delayed alternation task were assessed in additional groups of wild-type versus α2A-AR mutant mice. We observed that functional loss of the α2A-AR subtype, unlike knock-out of the α2C-AR subtype, weakened performance of the prefrontal cortical task without affecting learning and resulted in loss of the beneficial response to guanfacine. These data demonstrate the importance of α2A-AR subtype stimulation for the cognitive functions of the prefrontal cortex and identify the molecular substrate for guanfacine and novel therapeutic interventions.","ISSN":"0270-6474, 1529-2401","note":"PMID: 12351753","journalAbbreviation":"J. Neurosci.","language":"en","author":[{"family":"Franowicz","given":"Jenna S."},{"family":"Kessler","given":"Lynn E."},{"family":"Borja","given":"Catherine M. Dailey"},{"family":"Kobilka","given":"Brian K."},{"family":"Limbird","given":"Lee E."},{"family":"Arnsten","given":"Amy F. T."}],"issued":{"date-parts":[["2002",10,1]]},"PMID":"12351753"}}],"schema":"https://github.com/citation-style-language/schema/raw/master/csl-citation.json"} </w:instrText>
      </w:r>
      <w:r w:rsidR="004100F7" w:rsidRPr="00CA0530">
        <w:rPr>
          <w:rFonts w:eastAsia="ArialMT" w:cstheme="minorHAnsi"/>
          <w:sz w:val="24"/>
          <w:szCs w:val="24"/>
          <w:lang w:val="en-US"/>
        </w:rPr>
        <w:fldChar w:fldCharType="separate"/>
      </w:r>
      <w:r w:rsidR="00307263" w:rsidRPr="00CA0530">
        <w:rPr>
          <w:rFonts w:cs="Times New Roman"/>
          <w:sz w:val="24"/>
        </w:rPr>
        <w:t>(Franowicz et al., 2002)</w:t>
      </w:r>
      <w:r w:rsidR="004100F7" w:rsidRPr="00CA0530">
        <w:rPr>
          <w:rFonts w:eastAsia="ArialMT" w:cstheme="minorHAnsi"/>
          <w:sz w:val="24"/>
          <w:szCs w:val="24"/>
          <w:lang w:val="en-US"/>
        </w:rPr>
        <w:fldChar w:fldCharType="end"/>
      </w:r>
      <w:r w:rsidR="00307263" w:rsidRPr="00CA0530">
        <w:rPr>
          <w:rFonts w:eastAsia="ArialMT" w:cstheme="minorHAnsi"/>
          <w:sz w:val="24"/>
          <w:szCs w:val="24"/>
          <w:lang w:val="en-US"/>
        </w:rPr>
        <w:t xml:space="preserve"> and the 5-CSRTT </w:t>
      </w:r>
      <w:r w:rsidR="004100F7" w:rsidRPr="00CA0530">
        <w:rPr>
          <w:rFonts w:eastAsia="ArialMT" w:cstheme="minorHAnsi"/>
          <w:sz w:val="24"/>
          <w:szCs w:val="24"/>
          <w:lang w:val="en-US"/>
        </w:rPr>
        <w:fldChar w:fldCharType="begin"/>
      </w:r>
      <w:r w:rsidR="00307263" w:rsidRPr="00CA0530">
        <w:rPr>
          <w:rFonts w:eastAsia="ArialMT" w:cstheme="minorHAnsi"/>
          <w:sz w:val="24"/>
          <w:szCs w:val="24"/>
          <w:lang w:val="en-US"/>
        </w:rPr>
        <w:instrText xml:space="preserve"> ADDIN ZOTERO_ITEM CSL_CITATION {"citationID":"2f6p7p10mt","properties":{"formattedCitation":"(Pillidge et al., 2014)","plainCitation":"(Pillidge et al., 2014)"},"citationItems":[{"id":20470,"uris":["http://zotero.org/users/local/biVi7xTd/items/M5N9TAU9"],"uri":["http://zotero.org/users/local/biVi7xTd/items/M5N9TAU9"],"itemData":{"id":20470,"type":"article-journal","title":"The behavioural response of mice lacking NK1 receptors to guanfacine resembles its clinical profile in treatment of ADHD","container-title":"British Journal of Pharmacology","page":"4785-4796","volume":"171","issue":"20","source":"Wiley Online Library","abstract":"Background and Purpose\n\nMice with functional ablation of substance P-preferring neurokinin-1 receptors (NK1R−/− mice) display behavioural abnormalities resembling those in attention deficit hyperactivity disorder (ADHD). Here, we investigated whether the ADHD treatment, guanfacine, alleviated the hyperactivity and impulsivity/inattention displayed by NK1R−/− mice in the light/dark exploration box (LDEB) and 5-choice serial reaction–time task (5-CSRTT), respectively. Following reports of co-morbid anxiety in ADHD, we also investigated effects of guanfacine on anxiety-like behaviour displayed by NK1R−/− and wild-type (WT) mice in the elevated plus maze (EPM).\n\n\nExperimental Approach\n\nMice were treated with guanfacine (0.1, 0.3 or 1.0 mg·kg−1, i.p.), vehicle or no injection and tested in the 5-CSRTT or the LDEB. Only the lowest dose of guanfacine was used in the EPM assays.\n\n\nKey Results\n\nIn the 5-CSRTT, a low dose of guanfacine (0.1 mg·kg−1) increased attention in NK1R−/− mice, but not in WT mice. This dose did not affect the total number of trials completed, latencies to respond or locomotor activity in the LDEB. Impulsivity was decreased by the high dose (1.0 mg·kg−1) of guanfacine, but this was evident in both genotypes and is likely to be secondary to a generalized blunting of behaviour. Although the NK1R−/− mice displayed marked anxiety-like behaviour, guanfacine did not affect the behaviour of either genotype in the EPM.\n\n\nConclusions and Implications\n\nThis evidence that guanfacine improves attention at a dose that did not affect arousal or emotionality supports our proposal that NK1R−/− mice express an attention deficit resembling that of ADHD patients.\n\n\nLinked Articles\n\nThis article is part of a themed section on Animal Models in Psychiatry Research. To view the other articles in this section visit http://dx.doi.org/10.1111/bph.2014.171.issue-20","DOI":"10.1111/bph.12860","ISSN":"1476-5381","journalAbbreviation":"Br J Pharmacol","language":"en","author":[{"family":"Pillidge","given":"Katharine"},{"family":"Porter","given":"Ashley J"},{"family":"Dudley","given":"Julia A"},{"family":"Tsai","given":"Yuan-Chen"},{"family":"Heal","given":"David J"},{"family":"Stanford","given":"S Clare"}],"issued":{"date-parts":[["2014",10,1]]}}}],"schema":"https://github.com/citation-style-language/schema/raw/master/csl-citation.json"} </w:instrText>
      </w:r>
      <w:r w:rsidR="004100F7" w:rsidRPr="00CA0530">
        <w:rPr>
          <w:rFonts w:eastAsia="ArialMT" w:cstheme="minorHAnsi"/>
          <w:sz w:val="24"/>
          <w:szCs w:val="24"/>
          <w:lang w:val="en-US"/>
        </w:rPr>
        <w:fldChar w:fldCharType="separate"/>
      </w:r>
      <w:r w:rsidR="00307263" w:rsidRPr="00CA0530">
        <w:rPr>
          <w:rFonts w:cs="Times New Roman"/>
          <w:sz w:val="24"/>
          <w:lang w:val="en-GB"/>
        </w:rPr>
        <w:t>(Pillidge et al., 2014)</w:t>
      </w:r>
      <w:r w:rsidR="004100F7" w:rsidRPr="00CA0530">
        <w:rPr>
          <w:rFonts w:eastAsia="ArialMT" w:cstheme="minorHAnsi"/>
          <w:sz w:val="24"/>
          <w:szCs w:val="24"/>
          <w:lang w:val="en-US"/>
        </w:rPr>
        <w:fldChar w:fldCharType="end"/>
      </w:r>
      <w:r w:rsidRPr="00CA0530">
        <w:rPr>
          <w:rFonts w:eastAsia="ArialMT" w:cstheme="minorHAnsi"/>
          <w:sz w:val="24"/>
          <w:szCs w:val="24"/>
          <w:lang w:val="en-US"/>
        </w:rPr>
        <w:t xml:space="preserve">. </w:t>
      </w:r>
      <w:r w:rsidR="00E27DDB" w:rsidRPr="00CA0530">
        <w:rPr>
          <w:rFonts w:eastAsia="ArialMT" w:cstheme="minorHAnsi"/>
          <w:sz w:val="24"/>
          <w:szCs w:val="24"/>
          <w:lang w:val="en-US"/>
        </w:rPr>
        <w:t>W</w:t>
      </w:r>
      <w:r w:rsidRPr="00CA0530">
        <w:rPr>
          <w:sz w:val="24"/>
          <w:szCs w:val="24"/>
          <w:lang w:val="en-US"/>
        </w:rPr>
        <w:t>orking memory was challenged by app</w:t>
      </w:r>
      <w:r w:rsidR="00E27DDB" w:rsidRPr="00CA0530">
        <w:rPr>
          <w:sz w:val="24"/>
          <w:szCs w:val="24"/>
          <w:lang w:val="en-US"/>
        </w:rPr>
        <w:t>lying an additional delay of 20 </w:t>
      </w:r>
      <w:r w:rsidRPr="00CA0530">
        <w:rPr>
          <w:sz w:val="24"/>
          <w:szCs w:val="24"/>
          <w:lang w:val="en-US"/>
        </w:rPr>
        <w:t>s (</w:t>
      </w:r>
      <w:r w:rsidR="00E27DDB" w:rsidRPr="00CA0530">
        <w:rPr>
          <w:sz w:val="24"/>
          <w:szCs w:val="24"/>
          <w:lang w:val="en-US"/>
        </w:rPr>
        <w:t>m</w:t>
      </w:r>
      <w:r w:rsidR="00C55D4E">
        <w:rPr>
          <w:sz w:val="24"/>
          <w:szCs w:val="24"/>
          <w:lang w:val="en-US"/>
        </w:rPr>
        <w:t>odafinil</w:t>
      </w:r>
      <w:r w:rsidR="005018F8">
        <w:rPr>
          <w:sz w:val="24"/>
          <w:szCs w:val="24"/>
          <w:lang w:val="en-US"/>
        </w:rPr>
        <w:t xml:space="preserve">, </w:t>
      </w:r>
      <w:r w:rsidR="005018F8" w:rsidRPr="005018F8">
        <w:rPr>
          <w:sz w:val="24"/>
          <w:szCs w:val="24"/>
          <w:lang w:val="en-US"/>
        </w:rPr>
        <w:t>LSN</w:t>
      </w:r>
      <w:r w:rsidR="00362BB8">
        <w:rPr>
          <w:sz w:val="24"/>
          <w:szCs w:val="24"/>
          <w:lang w:val="en-US"/>
        </w:rPr>
        <w:t> </w:t>
      </w:r>
      <w:r w:rsidR="005018F8" w:rsidRPr="005018F8">
        <w:rPr>
          <w:sz w:val="24"/>
          <w:szCs w:val="24"/>
          <w:lang w:val="en-US"/>
        </w:rPr>
        <w:t>2463359</w:t>
      </w:r>
      <w:r w:rsidR="00E27DDB" w:rsidRPr="00CA0530">
        <w:rPr>
          <w:sz w:val="24"/>
          <w:szCs w:val="24"/>
          <w:lang w:val="en-US"/>
        </w:rPr>
        <w:t>) or 10 s (g</w:t>
      </w:r>
      <w:r w:rsidRPr="00CA0530">
        <w:rPr>
          <w:sz w:val="24"/>
          <w:szCs w:val="24"/>
          <w:lang w:val="en-US"/>
        </w:rPr>
        <w:t>uanfacine), and attention was mildly challenged by a sample-phase SD of 2 s. Running through the latin-square scheme, wash-out-days were incorporated after days of drug application</w:t>
      </w:r>
      <w:r w:rsidR="00E27DDB" w:rsidRPr="00CA0530">
        <w:rPr>
          <w:sz w:val="24"/>
          <w:szCs w:val="24"/>
          <w:lang w:val="en-US"/>
        </w:rPr>
        <w:t xml:space="preserve"> (i.e. before the next injection)</w:t>
      </w:r>
      <w:r w:rsidRPr="00CA0530">
        <w:rPr>
          <w:sz w:val="24"/>
          <w:szCs w:val="24"/>
          <w:lang w:val="en-US"/>
        </w:rPr>
        <w:t xml:space="preserve"> as follows:</w:t>
      </w:r>
      <w:r w:rsidR="00E27DDB" w:rsidRPr="00CA0530">
        <w:rPr>
          <w:sz w:val="24"/>
          <w:szCs w:val="24"/>
          <w:lang w:val="en-US"/>
        </w:rPr>
        <w:t xml:space="preserve"> 1-2 d for m</w:t>
      </w:r>
      <w:r w:rsidRPr="00CA0530">
        <w:rPr>
          <w:sz w:val="24"/>
          <w:szCs w:val="24"/>
          <w:lang w:val="en-US"/>
        </w:rPr>
        <w:t>odafinil</w:t>
      </w:r>
      <w:r w:rsidR="005018F8">
        <w:rPr>
          <w:sz w:val="24"/>
          <w:szCs w:val="24"/>
          <w:lang w:val="en-US"/>
        </w:rPr>
        <w:t xml:space="preserve"> </w:t>
      </w:r>
      <w:r w:rsidR="005018F8" w:rsidRPr="005018F8">
        <w:rPr>
          <w:sz w:val="24"/>
          <w:szCs w:val="24"/>
          <w:lang w:val="en-US"/>
        </w:rPr>
        <w:t>and LSN 2463369,</w:t>
      </w:r>
      <w:r w:rsidR="00E27DDB" w:rsidRPr="00CA0530">
        <w:rPr>
          <w:sz w:val="24"/>
          <w:szCs w:val="24"/>
          <w:lang w:val="en-US"/>
        </w:rPr>
        <w:t xml:space="preserve"> and 6-7 </w:t>
      </w:r>
      <w:r w:rsidRPr="00CA0530">
        <w:rPr>
          <w:sz w:val="24"/>
          <w:szCs w:val="24"/>
          <w:lang w:val="en-US"/>
        </w:rPr>
        <w:t xml:space="preserve">d for </w:t>
      </w:r>
      <w:r w:rsidR="0083504A" w:rsidRPr="00CA0530">
        <w:rPr>
          <w:sz w:val="24"/>
          <w:szCs w:val="24"/>
          <w:lang w:val="en-US"/>
        </w:rPr>
        <w:t>g</w:t>
      </w:r>
      <w:r w:rsidRPr="00CA0530">
        <w:rPr>
          <w:sz w:val="24"/>
          <w:szCs w:val="24"/>
          <w:lang w:val="en-US"/>
        </w:rPr>
        <w:t>uanfacine.</w:t>
      </w:r>
      <w:r w:rsidRPr="001A65CF">
        <w:rPr>
          <w:sz w:val="24"/>
          <w:szCs w:val="24"/>
          <w:lang w:val="en-US"/>
        </w:rPr>
        <w:t xml:space="preserve"> </w:t>
      </w:r>
    </w:p>
    <w:p w:rsidR="00E27DDB" w:rsidRDefault="00E27DDB" w:rsidP="00E27DDB">
      <w:pPr>
        <w:pStyle w:val="Heading3"/>
        <w:rPr>
          <w:lang w:val="en-GB"/>
        </w:rPr>
      </w:pPr>
      <w:r>
        <w:rPr>
          <w:lang w:val="en-GB"/>
        </w:rPr>
        <w:t>Statistical analysis</w:t>
      </w:r>
    </w:p>
    <w:p w:rsidR="00E27DDB" w:rsidRPr="00E27DDB" w:rsidRDefault="00E27DDB" w:rsidP="00E27DDB">
      <w:pPr>
        <w:rPr>
          <w:lang w:val="en-GB"/>
        </w:rPr>
      </w:pPr>
      <w:r>
        <w:rPr>
          <w:lang w:val="en-GB"/>
        </w:rPr>
        <w:t xml:space="preserve">All data was analyzed in SPSS (IBM, US). Repeated-measures ANOVA across all groups (DMTP vs. DNMTP, Figure 1; </w:t>
      </w:r>
      <w:r w:rsidRPr="00300A18">
        <w:rPr>
          <w:i/>
          <w:lang w:val="en-GB"/>
        </w:rPr>
        <w:t>dark</w:t>
      </w:r>
      <w:r>
        <w:rPr>
          <w:lang w:val="en-GB"/>
        </w:rPr>
        <w:t xml:space="preserve"> vs. </w:t>
      </w:r>
      <w:r w:rsidRPr="00300A18">
        <w:rPr>
          <w:i/>
          <w:lang w:val="en-GB"/>
        </w:rPr>
        <w:t>light</w:t>
      </w:r>
      <w:r>
        <w:rPr>
          <w:lang w:val="en-GB"/>
        </w:rPr>
        <w:t xml:space="preserve"> protocol, Figure 2) and conditions (session blocks, Figure 1; challenges or drug doses, Figure 2) present in a given experiment</w:t>
      </w:r>
      <w:r w:rsidR="00476873">
        <w:rPr>
          <w:lang w:val="en-GB"/>
        </w:rPr>
        <w:t xml:space="preserve"> were used throughout as initial analysis</w:t>
      </w:r>
      <w:r w:rsidR="00317C5B">
        <w:rPr>
          <w:lang w:val="en-GB"/>
        </w:rPr>
        <w:t xml:space="preserve"> (see Supplementary Table 1 for all results)</w:t>
      </w:r>
      <w:r>
        <w:rPr>
          <w:lang w:val="en-GB"/>
        </w:rPr>
        <w:t>. Simple-main-effects were used as primary post-hoc tests, if applicable</w:t>
      </w:r>
      <w:r w:rsidR="00317C5B">
        <w:rPr>
          <w:lang w:val="en-GB"/>
        </w:rPr>
        <w:t xml:space="preserve"> (results indicated in figures only)</w:t>
      </w:r>
      <w:r>
        <w:rPr>
          <w:lang w:val="en-GB"/>
        </w:rPr>
        <w:t xml:space="preserve">. For </w:t>
      </w:r>
      <w:r w:rsidR="00317C5B">
        <w:rPr>
          <w:lang w:val="en-GB"/>
        </w:rPr>
        <w:t>non-</w:t>
      </w:r>
      <w:r>
        <w:rPr>
          <w:lang w:val="en-GB"/>
        </w:rPr>
        <w:t xml:space="preserve">pharmacological experiments, </w:t>
      </w:r>
      <w:r w:rsidR="00317C5B">
        <w:rPr>
          <w:lang w:val="en-GB"/>
        </w:rPr>
        <w:t xml:space="preserve">paired t-tests </w:t>
      </w:r>
      <w:r>
        <w:rPr>
          <w:lang w:val="en-GB"/>
        </w:rPr>
        <w:t>were also calculated within groups</w:t>
      </w:r>
      <w:r w:rsidR="00317C5B">
        <w:rPr>
          <w:lang w:val="en-GB"/>
        </w:rPr>
        <w:t xml:space="preserve"> for descriptive purposes (indicated in Supplementary Table 1 only). </w:t>
      </w:r>
    </w:p>
    <w:p w:rsidR="00E27DDB" w:rsidRDefault="00E27DDB" w:rsidP="00345BE4">
      <w:pPr>
        <w:spacing w:line="360" w:lineRule="auto"/>
        <w:rPr>
          <w:sz w:val="24"/>
          <w:szCs w:val="24"/>
          <w:lang w:val="en-GB"/>
        </w:rPr>
      </w:pPr>
    </w:p>
    <w:p w:rsidR="0083504A" w:rsidRDefault="0083504A">
      <w:pPr>
        <w:spacing w:line="276" w:lineRule="auto"/>
        <w:jc w:val="left"/>
        <w:rPr>
          <w:rFonts w:eastAsia="Times New Roman" w:cs="Times New Roman"/>
          <w:b/>
          <w:bCs/>
          <w:kern w:val="36"/>
          <w:sz w:val="28"/>
          <w:szCs w:val="48"/>
          <w:lang w:val="en-GB" w:eastAsia="de-DE"/>
        </w:rPr>
      </w:pPr>
      <w:r>
        <w:rPr>
          <w:lang w:val="en-GB"/>
        </w:rPr>
        <w:br w:type="page"/>
      </w:r>
    </w:p>
    <w:p w:rsidR="00DB1A6C" w:rsidRPr="00E27DDB" w:rsidRDefault="00DB1A6C" w:rsidP="00DB1A6C">
      <w:pPr>
        <w:pStyle w:val="Heading1"/>
        <w:rPr>
          <w:rFonts w:eastAsiaTheme="minorHAnsi" w:cstheme="minorBidi"/>
          <w:lang w:val="en-GB"/>
        </w:rPr>
      </w:pPr>
      <w:r>
        <w:rPr>
          <w:lang w:val="en-GB"/>
        </w:rPr>
        <w:t xml:space="preserve">Supplementary </w:t>
      </w:r>
      <w:r w:rsidR="00A97498">
        <w:rPr>
          <w:lang w:val="en-GB"/>
        </w:rPr>
        <w:t>figure</w:t>
      </w:r>
      <w:r w:rsidR="00BC417D">
        <w:rPr>
          <w:lang w:val="en-GB"/>
        </w:rPr>
        <w:t>s</w:t>
      </w:r>
    </w:p>
    <w:p w:rsidR="00DB1A6C" w:rsidRDefault="00DB1A6C" w:rsidP="00345BE4">
      <w:pPr>
        <w:spacing w:line="360" w:lineRule="auto"/>
        <w:rPr>
          <w:sz w:val="24"/>
          <w:szCs w:val="24"/>
          <w:lang w:val="en-GB"/>
        </w:rPr>
      </w:pPr>
      <w:r>
        <w:rPr>
          <w:noProof/>
          <w:sz w:val="24"/>
          <w:szCs w:val="24"/>
          <w:lang w:eastAsia="de-DE"/>
        </w:rPr>
        <w:drawing>
          <wp:inline distT="0" distB="0" distL="0" distR="0">
            <wp:extent cx="5724525" cy="1495425"/>
            <wp:effectExtent l="19050" t="0" r="9525" b="0"/>
            <wp:docPr id="1" name="Picture 1" descr="C:\Users\Kaetzel\Favorites\Publications\fNR1_CAM\WT DATA\Suppl Figure 1 - 5CSWM initial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etzel\Favorites\Publications\fNR1_CAM\WT DATA\Suppl Figure 1 - 5CSWM initial training.jpg"/>
                    <pic:cNvPicPr>
                      <a:picLocks noChangeAspect="1" noChangeArrowheads="1"/>
                    </pic:cNvPicPr>
                  </pic:nvPicPr>
                  <pic:blipFill>
                    <a:blip r:embed="rId7" cstate="print"/>
                    <a:srcRect/>
                    <a:stretch>
                      <a:fillRect/>
                    </a:stretch>
                  </pic:blipFill>
                  <pic:spPr bwMode="auto">
                    <a:xfrm>
                      <a:off x="0" y="0"/>
                      <a:ext cx="5724525" cy="1495425"/>
                    </a:xfrm>
                    <a:prstGeom prst="rect">
                      <a:avLst/>
                    </a:prstGeom>
                    <a:noFill/>
                    <a:ln w="9525">
                      <a:noFill/>
                      <a:miter lim="800000"/>
                      <a:headEnd/>
                      <a:tailEnd/>
                    </a:ln>
                  </pic:spPr>
                </pic:pic>
              </a:graphicData>
            </a:graphic>
          </wp:inline>
        </w:drawing>
      </w:r>
    </w:p>
    <w:p w:rsidR="00DB1A6C" w:rsidRDefault="00DB1A6C" w:rsidP="00345BE4">
      <w:pPr>
        <w:spacing w:line="360" w:lineRule="auto"/>
        <w:rPr>
          <w:sz w:val="24"/>
          <w:szCs w:val="24"/>
          <w:lang w:val="en-GB"/>
        </w:rPr>
      </w:pPr>
      <w:r w:rsidRPr="00DB1A6C">
        <w:rPr>
          <w:b/>
          <w:sz w:val="24"/>
          <w:szCs w:val="24"/>
          <w:lang w:val="en-GB"/>
        </w:rPr>
        <w:t xml:space="preserve">Supplementary Figure 1. SWM performance during initial training </w:t>
      </w:r>
      <w:r>
        <w:rPr>
          <w:b/>
          <w:sz w:val="24"/>
          <w:szCs w:val="24"/>
          <w:lang w:val="en-GB"/>
        </w:rPr>
        <w:t>sessions</w:t>
      </w:r>
      <w:r w:rsidRPr="00DB1A6C">
        <w:rPr>
          <w:b/>
          <w:sz w:val="24"/>
          <w:szCs w:val="24"/>
          <w:lang w:val="en-GB"/>
        </w:rPr>
        <w:t>.</w:t>
      </w:r>
      <w:r>
        <w:rPr>
          <w:sz w:val="24"/>
          <w:szCs w:val="24"/>
          <w:lang w:val="en-GB"/>
        </w:rPr>
        <w:t xml:space="preserve"> (</w:t>
      </w:r>
      <w:r w:rsidRPr="00DB1A6C">
        <w:rPr>
          <w:b/>
          <w:sz w:val="24"/>
          <w:szCs w:val="24"/>
          <w:lang w:val="en-GB"/>
        </w:rPr>
        <w:t>A</w:t>
      </w:r>
      <w:r>
        <w:rPr>
          <w:sz w:val="24"/>
          <w:szCs w:val="24"/>
          <w:lang w:val="en-GB"/>
        </w:rPr>
        <w:t>) Boxplots showing the accuracy</w:t>
      </w:r>
      <w:r w:rsidRPr="00DB1A6C">
        <w:rPr>
          <w:sz w:val="24"/>
          <w:szCs w:val="24"/>
          <w:vertAlign w:val="subscript"/>
          <w:lang w:val="en-GB"/>
        </w:rPr>
        <w:t>lit</w:t>
      </w:r>
      <w:r>
        <w:rPr>
          <w:sz w:val="24"/>
          <w:szCs w:val="24"/>
          <w:lang w:val="en-GB"/>
        </w:rPr>
        <w:t xml:space="preserve"> during the first 7 training sessions (</w:t>
      </w:r>
      <w:r w:rsidR="00300A18">
        <w:rPr>
          <w:sz w:val="24"/>
          <w:szCs w:val="24"/>
          <w:lang w:val="en-GB"/>
        </w:rPr>
        <w:t xml:space="preserve">same data as shown </w:t>
      </w:r>
      <w:r>
        <w:rPr>
          <w:sz w:val="24"/>
          <w:szCs w:val="24"/>
          <w:lang w:val="en-GB"/>
        </w:rPr>
        <w:t xml:space="preserve">averaged </w:t>
      </w:r>
      <w:r w:rsidR="00300A18">
        <w:rPr>
          <w:sz w:val="24"/>
          <w:szCs w:val="24"/>
          <w:lang w:val="en-GB"/>
        </w:rPr>
        <w:t>in</w:t>
      </w:r>
      <w:r w:rsidR="0029051E">
        <w:rPr>
          <w:sz w:val="24"/>
          <w:szCs w:val="24"/>
          <w:lang w:val="en-GB"/>
        </w:rPr>
        <w:t xml:space="preserve"> Figure 1E</w:t>
      </w:r>
      <w:r>
        <w:rPr>
          <w:sz w:val="24"/>
          <w:szCs w:val="24"/>
          <w:lang w:val="en-GB"/>
        </w:rPr>
        <w:t>), as indicated, for mice trained in the DMTP (purple) and DNMTP (pink) paradigm; the number below each boxplot represents the number of animals that c</w:t>
      </w:r>
      <w:r w:rsidR="00F64246">
        <w:rPr>
          <w:sz w:val="24"/>
          <w:szCs w:val="24"/>
          <w:lang w:val="en-GB"/>
        </w:rPr>
        <w:t>ontributed to it, which excludes</w:t>
      </w:r>
      <w:r>
        <w:rPr>
          <w:sz w:val="24"/>
          <w:szCs w:val="24"/>
          <w:lang w:val="en-GB"/>
        </w:rPr>
        <w:t xml:space="preserve"> the mice that did not have a single correct response in the respective session (from 12 mice tested per group). The DMTP group</w:t>
      </w:r>
      <w:r w:rsidR="00F64246">
        <w:rPr>
          <w:sz w:val="24"/>
          <w:szCs w:val="24"/>
          <w:lang w:val="en-GB"/>
        </w:rPr>
        <w:t xml:space="preserve"> showed a performance that was significantly higher than chance level (yellow line) on the days indicated (*; 0.01 &lt; </w:t>
      </w:r>
      <w:r w:rsidR="00F64246" w:rsidRPr="00F64246">
        <w:rPr>
          <w:i/>
          <w:sz w:val="24"/>
          <w:szCs w:val="24"/>
          <w:lang w:val="en-GB"/>
        </w:rPr>
        <w:t>p</w:t>
      </w:r>
      <w:r w:rsidR="00F64246">
        <w:rPr>
          <w:sz w:val="24"/>
          <w:szCs w:val="24"/>
          <w:lang w:val="en-GB"/>
        </w:rPr>
        <w:t xml:space="preserve"> &lt; 0.05; one-sample t-test against 0.5). Note, however, the high variability in the DMTP group within and across training sessions, showing a lack of consistent performance.</w:t>
      </w:r>
    </w:p>
    <w:p w:rsidR="00BC417D" w:rsidRDefault="00BC417D">
      <w:pPr>
        <w:spacing w:line="276" w:lineRule="auto"/>
        <w:jc w:val="left"/>
        <w:rPr>
          <w:sz w:val="24"/>
          <w:szCs w:val="24"/>
          <w:lang w:val="en-GB"/>
        </w:rPr>
      </w:pPr>
      <w:r>
        <w:rPr>
          <w:sz w:val="24"/>
          <w:szCs w:val="24"/>
          <w:lang w:val="en-GB"/>
        </w:rPr>
        <w:br w:type="page"/>
      </w:r>
    </w:p>
    <w:p w:rsidR="0083504A" w:rsidRDefault="005018F8" w:rsidP="00345BE4">
      <w:pPr>
        <w:spacing w:line="360" w:lineRule="auto"/>
        <w:rPr>
          <w:sz w:val="24"/>
          <w:szCs w:val="24"/>
          <w:lang w:val="en-GB"/>
        </w:rPr>
      </w:pPr>
      <w:r w:rsidRPr="005018F8">
        <w:rPr>
          <w:noProof/>
          <w:sz w:val="24"/>
          <w:szCs w:val="24"/>
          <w:lang w:eastAsia="de-DE"/>
        </w:rPr>
        <w:drawing>
          <wp:inline distT="0" distB="0" distL="0" distR="0">
            <wp:extent cx="5731510" cy="3029585"/>
            <wp:effectExtent l="19050" t="0" r="2540" b="0"/>
            <wp:docPr id="5" name="Picture 4" descr="Suppl Figure 2 - Modafinil L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2 - Modafinil LSN.jpg"/>
                    <pic:cNvPicPr/>
                  </pic:nvPicPr>
                  <pic:blipFill>
                    <a:blip r:embed="rId8" cstate="print"/>
                    <a:stretch>
                      <a:fillRect/>
                    </a:stretch>
                  </pic:blipFill>
                  <pic:spPr>
                    <a:xfrm>
                      <a:off x="0" y="0"/>
                      <a:ext cx="5731510" cy="3029585"/>
                    </a:xfrm>
                    <a:prstGeom prst="rect">
                      <a:avLst/>
                    </a:prstGeom>
                  </pic:spPr>
                </pic:pic>
              </a:graphicData>
            </a:graphic>
          </wp:inline>
        </w:drawing>
      </w:r>
    </w:p>
    <w:p w:rsidR="0083504A" w:rsidRDefault="0083504A" w:rsidP="00345BE4">
      <w:pPr>
        <w:spacing w:line="360" w:lineRule="auto"/>
        <w:rPr>
          <w:sz w:val="24"/>
          <w:szCs w:val="24"/>
          <w:lang w:val="en-GB"/>
        </w:rPr>
      </w:pPr>
    </w:p>
    <w:p w:rsidR="0083504A" w:rsidRPr="00773520" w:rsidRDefault="0083504A" w:rsidP="00345BE4">
      <w:pPr>
        <w:spacing w:line="360" w:lineRule="auto"/>
        <w:rPr>
          <w:b/>
          <w:sz w:val="24"/>
          <w:szCs w:val="24"/>
          <w:lang w:val="en-GB"/>
        </w:rPr>
      </w:pPr>
      <w:r w:rsidRPr="00773520">
        <w:rPr>
          <w:b/>
          <w:sz w:val="24"/>
          <w:szCs w:val="24"/>
          <w:lang w:val="en-GB"/>
        </w:rPr>
        <w:t>Supplementary Figure 2. SWM performance after modafinil</w:t>
      </w:r>
      <w:r w:rsidR="005018F8">
        <w:rPr>
          <w:b/>
          <w:sz w:val="24"/>
          <w:szCs w:val="24"/>
          <w:lang w:val="en-GB"/>
        </w:rPr>
        <w:t xml:space="preserve"> </w:t>
      </w:r>
      <w:r w:rsidR="005018F8" w:rsidRPr="005018F8">
        <w:rPr>
          <w:b/>
          <w:sz w:val="24"/>
          <w:szCs w:val="24"/>
          <w:lang w:val="en-GB"/>
        </w:rPr>
        <w:t>or LSN 2463359 application</w:t>
      </w:r>
      <w:r w:rsidRPr="005018F8">
        <w:rPr>
          <w:b/>
          <w:sz w:val="24"/>
          <w:szCs w:val="24"/>
          <w:lang w:val="en-GB"/>
        </w:rPr>
        <w:t>.</w:t>
      </w:r>
      <w:r w:rsidRPr="00773520">
        <w:rPr>
          <w:b/>
          <w:sz w:val="24"/>
          <w:szCs w:val="24"/>
          <w:lang w:val="en-GB"/>
        </w:rPr>
        <w:t xml:space="preserve"> </w:t>
      </w:r>
    </w:p>
    <w:p w:rsidR="001534AC" w:rsidRDefault="0083504A" w:rsidP="00773520">
      <w:pPr>
        <w:rPr>
          <w:rFonts w:cs="Times New Roman"/>
          <w:lang w:val="en-GB"/>
        </w:rPr>
      </w:pPr>
      <w:r w:rsidRPr="00773520">
        <w:rPr>
          <w:rFonts w:cs="Times New Roman"/>
          <w:sz w:val="24"/>
          <w:szCs w:val="24"/>
          <w:lang w:val="en-GB"/>
        </w:rPr>
        <w:t>Animals were pre-treated by modafinil (</w:t>
      </w:r>
      <w:r w:rsidRPr="00773520">
        <w:rPr>
          <w:rFonts w:cs="Times New Roman"/>
          <w:b/>
          <w:sz w:val="24"/>
          <w:szCs w:val="24"/>
          <w:lang w:val="en-GB"/>
        </w:rPr>
        <w:t>A-E</w:t>
      </w:r>
      <w:r w:rsidRPr="00773520">
        <w:rPr>
          <w:rFonts w:cs="Times New Roman"/>
          <w:sz w:val="24"/>
          <w:szCs w:val="24"/>
          <w:lang w:val="en-GB"/>
        </w:rPr>
        <w:t>, 30 min before testing)</w:t>
      </w:r>
      <w:r w:rsidR="005018F8">
        <w:rPr>
          <w:rFonts w:cs="Times New Roman"/>
          <w:sz w:val="24"/>
          <w:szCs w:val="24"/>
          <w:lang w:val="en-GB"/>
        </w:rPr>
        <w:t xml:space="preserve"> </w:t>
      </w:r>
      <w:r w:rsidR="005018F8" w:rsidRPr="005018F8">
        <w:rPr>
          <w:rFonts w:cs="Times New Roman"/>
          <w:sz w:val="24"/>
          <w:szCs w:val="24"/>
          <w:lang w:val="en-GB"/>
        </w:rPr>
        <w:t>or the mGluR5-PAM LSN 2463359 (</w:t>
      </w:r>
      <w:r w:rsidR="005018F8" w:rsidRPr="005018F8">
        <w:rPr>
          <w:rFonts w:cs="Times New Roman"/>
          <w:b/>
          <w:sz w:val="24"/>
          <w:szCs w:val="24"/>
          <w:lang w:val="en-GB"/>
        </w:rPr>
        <w:t>F-J</w:t>
      </w:r>
      <w:r w:rsidR="005018F8" w:rsidRPr="005018F8">
        <w:rPr>
          <w:rFonts w:cs="Times New Roman"/>
          <w:sz w:val="24"/>
          <w:szCs w:val="24"/>
          <w:lang w:val="en-GB"/>
        </w:rPr>
        <w:t>, 60 min before testing)</w:t>
      </w:r>
      <w:r w:rsidR="00BC417D" w:rsidRPr="00773520">
        <w:rPr>
          <w:rFonts w:cs="Times New Roman"/>
          <w:sz w:val="24"/>
          <w:szCs w:val="24"/>
          <w:lang w:val="en-GB"/>
        </w:rPr>
        <w:t xml:space="preserve"> </w:t>
      </w:r>
      <w:r w:rsidRPr="00773520">
        <w:rPr>
          <w:rFonts w:cs="Times New Roman"/>
          <w:sz w:val="24"/>
          <w:szCs w:val="24"/>
          <w:lang w:val="en-GB"/>
        </w:rPr>
        <w:t>at the indicated doses. Delay-length was chosen at 22 s to challenge WM, and the SP stimulus duration (SD) was 2 s throughout to</w:t>
      </w:r>
      <w:r w:rsidR="00BC417D" w:rsidRPr="00773520">
        <w:rPr>
          <w:rFonts w:cs="Times New Roman"/>
          <w:sz w:val="24"/>
          <w:szCs w:val="24"/>
          <w:lang w:val="en-GB"/>
        </w:rPr>
        <w:t xml:space="preserve"> standardize encoding time and</w:t>
      </w:r>
      <w:r w:rsidRPr="00773520">
        <w:rPr>
          <w:rFonts w:cs="Times New Roman"/>
          <w:sz w:val="24"/>
          <w:szCs w:val="24"/>
          <w:lang w:val="en-GB"/>
        </w:rPr>
        <w:t xml:space="preserve"> challenge sustained attention. For clarity, statistical effects of drug-dose, group and interactions found in repeated-measures ANOVA</w:t>
      </w:r>
      <w:r w:rsidR="00093154">
        <w:rPr>
          <w:rFonts w:cs="Times New Roman"/>
          <w:sz w:val="24"/>
          <w:szCs w:val="24"/>
          <w:lang w:val="en-GB"/>
        </w:rPr>
        <w:t>s</w:t>
      </w:r>
      <w:r w:rsidRPr="00773520">
        <w:rPr>
          <w:rFonts w:cs="Times New Roman"/>
          <w:sz w:val="24"/>
          <w:szCs w:val="24"/>
          <w:lang w:val="en-GB"/>
        </w:rPr>
        <w:t xml:space="preserve"> are indicated above the respective words in each panel, while simple main-effects post-hoc </w:t>
      </w:r>
      <w:r w:rsidR="006F4174">
        <w:rPr>
          <w:rFonts w:cs="Times New Roman"/>
          <w:sz w:val="24"/>
          <w:szCs w:val="24"/>
          <w:lang w:val="en-GB"/>
        </w:rPr>
        <w:t>results</w:t>
      </w:r>
      <w:r w:rsidRPr="00773520">
        <w:rPr>
          <w:rFonts w:cs="Times New Roman"/>
          <w:sz w:val="24"/>
          <w:szCs w:val="24"/>
          <w:lang w:val="en-GB"/>
        </w:rPr>
        <w:t xml:space="preserve"> of pairwise dose-comparisons are indicated on horizontal lines (black) and effects of group at individual doses are indicated below the datapoints (grey). n.s. or no indication </w:t>
      </w:r>
      <w:r w:rsidRPr="00773520">
        <w:rPr>
          <w:rFonts w:cs="Times New Roman"/>
          <w:i/>
          <w:sz w:val="24"/>
          <w:szCs w:val="24"/>
          <w:lang w:val="en-GB"/>
        </w:rPr>
        <w:t>p</w:t>
      </w:r>
      <w:r w:rsidRPr="00773520">
        <w:rPr>
          <w:rFonts w:cs="Times New Roman"/>
          <w:sz w:val="24"/>
          <w:szCs w:val="24"/>
          <w:lang w:val="en-GB"/>
        </w:rPr>
        <w:t xml:space="preserve"> &gt; 0.1, # </w:t>
      </w:r>
      <w:r w:rsidRPr="00773520">
        <w:rPr>
          <w:rFonts w:cs="Times New Roman"/>
          <w:i/>
          <w:sz w:val="24"/>
          <w:szCs w:val="24"/>
          <w:lang w:val="en-GB"/>
        </w:rPr>
        <w:t>p</w:t>
      </w:r>
      <w:r w:rsidRPr="00773520">
        <w:rPr>
          <w:rFonts w:cs="Times New Roman"/>
          <w:sz w:val="24"/>
          <w:szCs w:val="24"/>
          <w:lang w:val="en-GB"/>
        </w:rPr>
        <w:t xml:space="preserve"> &lt; 0.1, *, </w:t>
      </w:r>
      <w:r w:rsidRPr="00773520">
        <w:rPr>
          <w:rFonts w:cs="Times New Roman"/>
          <w:i/>
          <w:sz w:val="24"/>
          <w:szCs w:val="24"/>
          <w:lang w:val="en-GB"/>
        </w:rPr>
        <w:t>p</w:t>
      </w:r>
      <w:r w:rsidRPr="00773520">
        <w:rPr>
          <w:rFonts w:cs="Times New Roman"/>
          <w:sz w:val="24"/>
          <w:szCs w:val="24"/>
          <w:lang w:val="en-GB"/>
        </w:rPr>
        <w:t xml:space="preserve"> &lt; 0.05; **, </w:t>
      </w:r>
      <w:r w:rsidRPr="00773520">
        <w:rPr>
          <w:rFonts w:cs="Times New Roman"/>
          <w:i/>
          <w:sz w:val="24"/>
          <w:szCs w:val="24"/>
          <w:lang w:val="en-GB"/>
        </w:rPr>
        <w:t>p</w:t>
      </w:r>
      <w:r w:rsidRPr="00773520">
        <w:rPr>
          <w:rFonts w:cs="Times New Roman"/>
          <w:sz w:val="24"/>
          <w:szCs w:val="24"/>
          <w:lang w:val="en-GB"/>
        </w:rPr>
        <w:t xml:space="preserve"> &lt; 0.01. All data is shown as mean±SEM. </w:t>
      </w:r>
      <w:r w:rsidRPr="00773520">
        <w:rPr>
          <w:sz w:val="24"/>
          <w:szCs w:val="24"/>
          <w:lang w:val="en-GB"/>
        </w:rPr>
        <w:t>Modafinil</w:t>
      </w:r>
      <w:r w:rsidR="005018F8">
        <w:rPr>
          <w:sz w:val="24"/>
          <w:szCs w:val="24"/>
          <w:lang w:val="en-GB"/>
        </w:rPr>
        <w:t xml:space="preserve"> </w:t>
      </w:r>
      <w:r w:rsidR="005018F8" w:rsidRPr="005018F8">
        <w:rPr>
          <w:sz w:val="24"/>
          <w:szCs w:val="24"/>
          <w:lang w:val="en-GB"/>
        </w:rPr>
        <w:t>(A-B) and LSN 2463359 (F-G)</w:t>
      </w:r>
      <w:r w:rsidR="00773520" w:rsidRPr="00773520">
        <w:rPr>
          <w:sz w:val="24"/>
          <w:szCs w:val="24"/>
          <w:lang w:val="en-GB"/>
        </w:rPr>
        <w:t xml:space="preserve"> </w:t>
      </w:r>
      <w:r w:rsidRPr="00773520">
        <w:rPr>
          <w:sz w:val="24"/>
          <w:szCs w:val="24"/>
          <w:lang w:val="en-GB"/>
        </w:rPr>
        <w:t xml:space="preserve">had no effect on </w:t>
      </w:r>
      <w:r w:rsidR="00773520" w:rsidRPr="00773520">
        <w:rPr>
          <w:sz w:val="24"/>
          <w:szCs w:val="24"/>
          <w:lang w:val="en-GB"/>
        </w:rPr>
        <w:t>S</w:t>
      </w:r>
      <w:r w:rsidRPr="00773520">
        <w:rPr>
          <w:sz w:val="24"/>
          <w:szCs w:val="24"/>
          <w:lang w:val="en-GB"/>
        </w:rPr>
        <w:t>WM</w:t>
      </w:r>
      <w:r w:rsidR="00773520" w:rsidRPr="00773520">
        <w:rPr>
          <w:sz w:val="24"/>
          <w:szCs w:val="24"/>
          <w:lang w:val="en-GB"/>
        </w:rPr>
        <w:t xml:space="preserve"> at the tested doses</w:t>
      </w:r>
      <w:r w:rsidRPr="00773520">
        <w:rPr>
          <w:sz w:val="24"/>
          <w:szCs w:val="24"/>
          <w:lang w:val="en-GB"/>
        </w:rPr>
        <w:t>, but also not on SP accuracy (E</w:t>
      </w:r>
      <w:r w:rsidR="00773520" w:rsidRPr="00773520">
        <w:rPr>
          <w:sz w:val="24"/>
          <w:szCs w:val="24"/>
          <w:lang w:val="en-GB"/>
        </w:rPr>
        <w:t>, J</w:t>
      </w:r>
      <w:r w:rsidRPr="00773520">
        <w:rPr>
          <w:sz w:val="24"/>
          <w:szCs w:val="24"/>
          <w:lang w:val="en-GB"/>
        </w:rPr>
        <w:t xml:space="preserve">). Nevertheless, </w:t>
      </w:r>
      <w:r w:rsidR="006F4174">
        <w:rPr>
          <w:sz w:val="24"/>
          <w:szCs w:val="24"/>
          <w:lang w:val="en-GB"/>
        </w:rPr>
        <w:t xml:space="preserve">general </w:t>
      </w:r>
      <w:r w:rsidRPr="00773520">
        <w:rPr>
          <w:sz w:val="24"/>
          <w:szCs w:val="24"/>
          <w:lang w:val="en-GB"/>
        </w:rPr>
        <w:t>efficacy</w:t>
      </w:r>
      <w:r w:rsidR="00773520" w:rsidRPr="00773520">
        <w:rPr>
          <w:sz w:val="24"/>
          <w:szCs w:val="24"/>
          <w:lang w:val="en-GB"/>
        </w:rPr>
        <w:t xml:space="preserve"> of modafinil</w:t>
      </w:r>
      <w:r w:rsidRPr="00773520">
        <w:rPr>
          <w:sz w:val="24"/>
          <w:szCs w:val="24"/>
          <w:lang w:val="en-GB"/>
        </w:rPr>
        <w:t xml:space="preserve"> could be confirmed by a significant decrease of the reward latency (D), consistent with increased motivational locomotor drive described at similar doses in mice before </w:t>
      </w:r>
      <w:r w:rsidR="004100F7" w:rsidRPr="00773520">
        <w:rPr>
          <w:sz w:val="24"/>
          <w:szCs w:val="24"/>
          <w:lang w:val="en-GB"/>
        </w:rPr>
        <w:fldChar w:fldCharType="begin"/>
      </w:r>
      <w:r w:rsidRPr="00773520">
        <w:rPr>
          <w:sz w:val="24"/>
          <w:szCs w:val="24"/>
          <w:lang w:val="en-GB"/>
        </w:rPr>
        <w:instrText xml:space="preserve"> ADDIN ZOTERO_ITEM CSL_CITATION {"citationID":"rv8pi3slh","properties":{"formattedCitation":"(Young et al., 2011)","plainCitation":"(Young et al., 2011)"},"citationItems":[{"id":18717,"uris":["http://zotero.org/users/local/biVi7xTd/items/VRMPKTQN"],"uri":["http://zotero.org/users/local/biVi7xTd/items/VRMPKTQN"],"itemData":{"id":18717,"type":"article-journal","title":"Dopamine Receptor Mediation of the Exploratory/Hyperactivity Effects of Modafinil","container-title":"Neuropsychopharmacology","page":"1385-1396","volume":"36","issue":"7","source":"www.nature.com","abstract":"Modafinil (2-((diphenylmethyl)sulfinyl)acetamide) is described as an atypical stimulant and is a putative cognition enhancer for schizophrenia, but the precise mechanisms of action remain unclear. Receptor knockout (KO) mice offer an opportunity to identify receptors that contribute to a drug-induced effect. Here we examined the effects of modafinil on exploration in C57BL/6J mice, in dopamine drd1, drd2, drd3, and drd4 wild-type (WT), heterozygous (HT), and KO mice, and in 129/SJ mice pretreated with the drd1 antagonist SCH23390 using a cross-species test paradigm based on the behavioral pattern monitor. Modafinil increased activity, specific exploration (rearing), and the smoothness of locomotor paths (reduced spatial d) in C57BL/6J and 129/SJ mice (increased holepoking was also observed in these mice). These behavioral profiles are similar to that produced by the dopamine transporter inhibitor GBR12909. Modafinil was ineffective at increasing activity in male drd1 KOs, rearing in female drd1 KOs, or reducing spatial d in all drd1 KOs, but produced similar effects in drd1 WT and HT mice as in C57BL/6J mice. Neither dopamine drd2 nor drd3 mutants attenuated modafinil-induced effects. Drd4 mutants exhibited a genotype dose-dependent attenuation of modafinil-induced increases in specific exploration. Furthermore, the drd1 KO effects were largely supported by the SCH23390 study. Thus, the dopamine drd1 receptor appears to exert a primary role in modafinil-induced effects on spontaneous exploration, whereas the dopamine drd4 receptor appears to be important for specific exploration. The modafinil-induced alterations in exploratory behavior may reflect increased synaptic dopamine and secondary actions mediated by dopamine drd1 and drd4 receptors.","DOI":"10.1038/npp.2011.23","ISSN":"0893-133X","journalAbbreviation":"Neuropsychopharmacology","language":"en","author":[{"family":"Young","given":"Jared W."},{"family":"Kooistra","given":"Klaas"},{"family":"Geyer","given":"Mark A."}],"issued":{"date-parts":[["2011",6]]}}}],"schema":"https://github.com/citation-style-language/schema/raw/master/csl-citation.json"} </w:instrText>
      </w:r>
      <w:r w:rsidR="004100F7" w:rsidRPr="00773520">
        <w:rPr>
          <w:sz w:val="24"/>
          <w:szCs w:val="24"/>
          <w:lang w:val="en-GB"/>
        </w:rPr>
        <w:fldChar w:fldCharType="separate"/>
      </w:r>
      <w:r w:rsidRPr="00773520">
        <w:rPr>
          <w:rFonts w:cs="Times New Roman"/>
          <w:sz w:val="24"/>
          <w:szCs w:val="24"/>
          <w:lang w:val="en-GB"/>
        </w:rPr>
        <w:t>(Young et al., 2011)</w:t>
      </w:r>
      <w:r w:rsidR="004100F7" w:rsidRPr="00773520">
        <w:rPr>
          <w:sz w:val="24"/>
          <w:szCs w:val="24"/>
          <w:lang w:val="en-GB"/>
        </w:rPr>
        <w:fldChar w:fldCharType="end"/>
      </w:r>
      <w:r w:rsidRPr="00773520">
        <w:rPr>
          <w:sz w:val="24"/>
          <w:szCs w:val="24"/>
          <w:lang w:val="en-GB"/>
        </w:rPr>
        <w:t xml:space="preserve">. </w:t>
      </w:r>
      <w:r w:rsidR="006F266E">
        <w:rPr>
          <w:rFonts w:cs="Times New Roman"/>
          <w:lang w:val="en-GB"/>
        </w:rPr>
        <w:t>All data is shown as mean±SEM.</w:t>
      </w:r>
    </w:p>
    <w:p w:rsidR="00BB2C66" w:rsidRDefault="00BB2C66" w:rsidP="00773520">
      <w:pPr>
        <w:rPr>
          <w:sz w:val="24"/>
          <w:szCs w:val="24"/>
          <w:lang w:val="en-GB"/>
        </w:rPr>
      </w:pPr>
    </w:p>
    <w:p w:rsidR="001534AC" w:rsidRDefault="001534AC" w:rsidP="001534AC">
      <w:pPr>
        <w:jc w:val="center"/>
        <w:rPr>
          <w:sz w:val="24"/>
          <w:szCs w:val="24"/>
          <w:lang w:val="en-GB"/>
        </w:rPr>
      </w:pPr>
      <w:r>
        <w:rPr>
          <w:noProof/>
          <w:sz w:val="24"/>
          <w:szCs w:val="24"/>
          <w:lang w:eastAsia="de-DE"/>
        </w:rPr>
        <w:drawing>
          <wp:inline distT="0" distB="0" distL="0" distR="0">
            <wp:extent cx="2715768" cy="1844040"/>
            <wp:effectExtent l="19050" t="0" r="8382" b="0"/>
            <wp:docPr id="2" name="Picture 1" descr="Suppl Figure 3 - Premature responses Guanfa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ure 3 - Premature responses Guanfacine.jpg"/>
                    <pic:cNvPicPr/>
                  </pic:nvPicPr>
                  <pic:blipFill>
                    <a:blip r:embed="rId9" cstate="print"/>
                    <a:stretch>
                      <a:fillRect/>
                    </a:stretch>
                  </pic:blipFill>
                  <pic:spPr>
                    <a:xfrm>
                      <a:off x="0" y="0"/>
                      <a:ext cx="2715768" cy="1844040"/>
                    </a:xfrm>
                    <a:prstGeom prst="rect">
                      <a:avLst/>
                    </a:prstGeom>
                  </pic:spPr>
                </pic:pic>
              </a:graphicData>
            </a:graphic>
          </wp:inline>
        </w:drawing>
      </w:r>
    </w:p>
    <w:p w:rsidR="006F266E" w:rsidRPr="00BB2C66" w:rsidRDefault="006F266E" w:rsidP="006F266E">
      <w:pPr>
        <w:spacing w:line="360" w:lineRule="auto"/>
        <w:rPr>
          <w:b/>
          <w:sz w:val="24"/>
          <w:szCs w:val="24"/>
          <w:lang w:val="en-GB"/>
        </w:rPr>
      </w:pPr>
      <w:r w:rsidRPr="00BB2C66">
        <w:rPr>
          <w:b/>
          <w:sz w:val="24"/>
          <w:szCs w:val="24"/>
          <w:lang w:val="en-GB"/>
        </w:rPr>
        <w:t xml:space="preserve">Supplementary Figure 3. Premature responding in the choice phase after guanfacine. </w:t>
      </w:r>
    </w:p>
    <w:p w:rsidR="006F266E" w:rsidRPr="00BB2C66" w:rsidRDefault="006F266E" w:rsidP="006F266E">
      <w:pPr>
        <w:rPr>
          <w:sz w:val="24"/>
          <w:szCs w:val="24"/>
          <w:lang w:val="en-GB"/>
        </w:rPr>
      </w:pPr>
      <w:r w:rsidRPr="00BB2C66">
        <w:rPr>
          <w:rFonts w:cs="Times New Roman"/>
          <w:sz w:val="24"/>
          <w:szCs w:val="24"/>
          <w:lang w:val="en-GB"/>
        </w:rPr>
        <w:t>The average relative amount of choice phase trials in which mice made a correct (</w:t>
      </w:r>
      <w:r w:rsidRPr="00BB2C66">
        <w:rPr>
          <w:rFonts w:cs="Times New Roman"/>
          <w:b/>
          <w:sz w:val="24"/>
          <w:szCs w:val="24"/>
          <w:lang w:val="en-GB"/>
        </w:rPr>
        <w:t>A</w:t>
      </w:r>
      <w:r w:rsidRPr="00BB2C66">
        <w:rPr>
          <w:rFonts w:cs="Times New Roman"/>
          <w:sz w:val="24"/>
          <w:szCs w:val="24"/>
          <w:lang w:val="en-GB"/>
        </w:rPr>
        <w:t>) or incorrect (</w:t>
      </w:r>
      <w:r w:rsidRPr="00BB2C66">
        <w:rPr>
          <w:rFonts w:cs="Times New Roman"/>
          <w:b/>
          <w:sz w:val="24"/>
          <w:szCs w:val="24"/>
          <w:lang w:val="en-GB"/>
        </w:rPr>
        <w:t>B</w:t>
      </w:r>
      <w:r w:rsidRPr="00BB2C66">
        <w:rPr>
          <w:rFonts w:cs="Times New Roman"/>
          <w:sz w:val="24"/>
          <w:szCs w:val="24"/>
          <w:lang w:val="en-GB"/>
        </w:rPr>
        <w:t xml:space="preserve">) premature response, normalized to the number of started choice phase trials (i.e. number of correct sample phase responses) is displayed in %. In an overall repeated-measures ANOVA containing guanfacine dose, type of premature response and protocol (dark vs. light) as independent variables there were significant effects of dose (F = 17.3, </w:t>
      </w:r>
      <w:r w:rsidRPr="00BB2C66">
        <w:rPr>
          <w:rFonts w:cs="Times New Roman"/>
          <w:i/>
          <w:sz w:val="24"/>
          <w:szCs w:val="24"/>
          <w:lang w:val="en-GB"/>
        </w:rPr>
        <w:t>p</w:t>
      </w:r>
      <w:r w:rsidRPr="00BB2C66">
        <w:rPr>
          <w:rFonts w:cs="Times New Roman"/>
          <w:sz w:val="24"/>
          <w:szCs w:val="24"/>
          <w:lang w:val="en-GB"/>
        </w:rPr>
        <w:t xml:space="preserve"> &lt; 0.0005) and a response-type * protocol interaction (F = 48.3, </w:t>
      </w:r>
      <w:r w:rsidRPr="00BB2C66">
        <w:rPr>
          <w:rFonts w:cs="Times New Roman"/>
          <w:i/>
          <w:sz w:val="24"/>
          <w:szCs w:val="24"/>
          <w:lang w:val="en-GB"/>
        </w:rPr>
        <w:t>p</w:t>
      </w:r>
      <w:r w:rsidRPr="00BB2C66">
        <w:rPr>
          <w:rFonts w:cs="Times New Roman"/>
          <w:sz w:val="24"/>
          <w:szCs w:val="24"/>
          <w:lang w:val="en-GB"/>
        </w:rPr>
        <w:t xml:space="preserve"> &lt; 0.0005), while none of the other factors and interactions reached significance (</w:t>
      </w:r>
      <w:r w:rsidRPr="00BB2C66">
        <w:rPr>
          <w:rFonts w:cs="Times New Roman"/>
          <w:i/>
          <w:sz w:val="24"/>
          <w:szCs w:val="24"/>
          <w:lang w:val="en-GB"/>
        </w:rPr>
        <w:t>p</w:t>
      </w:r>
      <w:r w:rsidRPr="00BB2C66">
        <w:rPr>
          <w:rFonts w:cs="Times New Roman"/>
          <w:sz w:val="24"/>
          <w:szCs w:val="24"/>
          <w:lang w:val="en-GB"/>
        </w:rPr>
        <w:t xml:space="preserve"> &gt; 0.1). The interaction was driven by the fact, that animals in the </w:t>
      </w:r>
      <w:r w:rsidRPr="00BB2C66">
        <w:rPr>
          <w:rFonts w:cs="Times New Roman"/>
          <w:i/>
          <w:sz w:val="24"/>
          <w:szCs w:val="24"/>
          <w:lang w:val="en-GB"/>
        </w:rPr>
        <w:t>dark</w:t>
      </w:r>
      <w:r w:rsidRPr="00BB2C66">
        <w:rPr>
          <w:rFonts w:cs="Times New Roman"/>
          <w:sz w:val="24"/>
          <w:szCs w:val="24"/>
          <w:lang w:val="en-GB"/>
        </w:rPr>
        <w:t xml:space="preserve"> protocol made significantly more </w:t>
      </w:r>
      <w:r w:rsidRPr="00BB2C66">
        <w:rPr>
          <w:rFonts w:cs="Times New Roman"/>
          <w:i/>
          <w:sz w:val="24"/>
          <w:szCs w:val="24"/>
          <w:lang w:val="en-GB"/>
        </w:rPr>
        <w:t>correct</w:t>
      </w:r>
      <w:r w:rsidRPr="00BB2C66">
        <w:rPr>
          <w:rFonts w:cs="Times New Roman"/>
          <w:sz w:val="24"/>
          <w:szCs w:val="24"/>
          <w:lang w:val="en-GB"/>
        </w:rPr>
        <w:t xml:space="preserve"> premature responses than animals from the </w:t>
      </w:r>
      <w:r w:rsidRPr="00BB2C66">
        <w:rPr>
          <w:rFonts w:cs="Times New Roman"/>
          <w:i/>
          <w:sz w:val="24"/>
          <w:szCs w:val="24"/>
          <w:lang w:val="en-GB"/>
        </w:rPr>
        <w:t>light</w:t>
      </w:r>
      <w:r w:rsidRPr="00BB2C66">
        <w:rPr>
          <w:rFonts w:cs="Times New Roman"/>
          <w:sz w:val="24"/>
          <w:szCs w:val="24"/>
          <w:lang w:val="en-GB"/>
        </w:rPr>
        <w:t xml:space="preserve"> protocol, while the reverse was true for </w:t>
      </w:r>
      <w:r w:rsidRPr="00BB2C66">
        <w:rPr>
          <w:rFonts w:cs="Times New Roman"/>
          <w:i/>
          <w:sz w:val="24"/>
          <w:szCs w:val="24"/>
          <w:lang w:val="en-GB"/>
        </w:rPr>
        <w:t>incorrect</w:t>
      </w:r>
      <w:r w:rsidRPr="00BB2C66">
        <w:rPr>
          <w:rFonts w:cs="Times New Roman"/>
          <w:sz w:val="24"/>
          <w:szCs w:val="24"/>
          <w:lang w:val="en-GB"/>
        </w:rPr>
        <w:t xml:space="preserve"> premature responses. The results of the repeated-measures ANOVAs within each type of premature response are displayed at the bottom of each panel (dose-group interactions did not reach significance in either case, </w:t>
      </w:r>
      <w:r w:rsidRPr="00BB2C66">
        <w:rPr>
          <w:rFonts w:cs="Times New Roman"/>
          <w:i/>
          <w:sz w:val="24"/>
          <w:szCs w:val="24"/>
          <w:lang w:val="en-GB"/>
        </w:rPr>
        <w:t>p</w:t>
      </w:r>
      <w:r w:rsidRPr="00BB2C66">
        <w:rPr>
          <w:rFonts w:cs="Times New Roman"/>
          <w:sz w:val="24"/>
          <w:szCs w:val="24"/>
          <w:lang w:val="en-GB"/>
        </w:rPr>
        <w:t xml:space="preserve"> &gt; 0.1), the comparisons between individual dose-levels are indicated on top of each panel, and significant differences between protocols at each individual dose are indicated by grey asterisks (Simple-Main effects post-hoc comparison). n.s. or no indication </w:t>
      </w:r>
      <w:r w:rsidRPr="00BB2C66">
        <w:rPr>
          <w:rFonts w:cs="Times New Roman"/>
          <w:i/>
          <w:sz w:val="24"/>
          <w:szCs w:val="24"/>
          <w:lang w:val="en-GB"/>
        </w:rPr>
        <w:t>p</w:t>
      </w:r>
      <w:r w:rsidRPr="00BB2C66">
        <w:rPr>
          <w:rFonts w:cs="Times New Roman"/>
          <w:sz w:val="24"/>
          <w:szCs w:val="24"/>
          <w:lang w:val="en-GB"/>
        </w:rPr>
        <w:t xml:space="preserve"> &gt; 0.1, # </w:t>
      </w:r>
      <w:r w:rsidRPr="00BB2C66">
        <w:rPr>
          <w:rFonts w:cs="Times New Roman"/>
          <w:i/>
          <w:sz w:val="24"/>
          <w:szCs w:val="24"/>
          <w:lang w:val="en-GB"/>
        </w:rPr>
        <w:t>p</w:t>
      </w:r>
      <w:r w:rsidRPr="00BB2C66">
        <w:rPr>
          <w:rFonts w:cs="Times New Roman"/>
          <w:sz w:val="24"/>
          <w:szCs w:val="24"/>
          <w:lang w:val="en-GB"/>
        </w:rPr>
        <w:t xml:space="preserve"> &lt; 0.1, *, </w:t>
      </w:r>
      <w:r w:rsidRPr="00BB2C66">
        <w:rPr>
          <w:rFonts w:cs="Times New Roman"/>
          <w:i/>
          <w:sz w:val="24"/>
          <w:szCs w:val="24"/>
          <w:lang w:val="en-GB"/>
        </w:rPr>
        <w:t>p</w:t>
      </w:r>
      <w:r w:rsidRPr="00BB2C66">
        <w:rPr>
          <w:rFonts w:cs="Times New Roman"/>
          <w:sz w:val="24"/>
          <w:szCs w:val="24"/>
          <w:lang w:val="en-GB"/>
        </w:rPr>
        <w:t xml:space="preserve"> &lt; 0.05; **, </w:t>
      </w:r>
      <w:r w:rsidRPr="00BB2C66">
        <w:rPr>
          <w:rFonts w:cs="Times New Roman"/>
          <w:i/>
          <w:sz w:val="24"/>
          <w:szCs w:val="24"/>
          <w:lang w:val="en-GB"/>
        </w:rPr>
        <w:t>p</w:t>
      </w:r>
      <w:r w:rsidRPr="00BB2C66">
        <w:rPr>
          <w:rFonts w:cs="Times New Roman"/>
          <w:sz w:val="24"/>
          <w:szCs w:val="24"/>
          <w:lang w:val="en-GB"/>
        </w:rPr>
        <w:t xml:space="preserve"> &lt; 0.01, ***, </w:t>
      </w:r>
      <w:r w:rsidRPr="00BB2C66">
        <w:rPr>
          <w:rFonts w:cs="Times New Roman"/>
          <w:i/>
          <w:sz w:val="24"/>
          <w:szCs w:val="24"/>
          <w:lang w:val="en-GB"/>
        </w:rPr>
        <w:t>p</w:t>
      </w:r>
      <w:r w:rsidRPr="00BB2C66">
        <w:rPr>
          <w:rFonts w:cs="Times New Roman"/>
          <w:sz w:val="24"/>
          <w:szCs w:val="24"/>
          <w:lang w:val="en-GB"/>
        </w:rPr>
        <w:t xml:space="preserve"> &lt; 0.001. </w:t>
      </w:r>
      <w:r w:rsidRPr="00BB2C66">
        <w:rPr>
          <w:rFonts w:cs="Times New Roman"/>
          <w:lang w:val="en-GB"/>
        </w:rPr>
        <w:t>All data is shown as mean±SEM.</w:t>
      </w:r>
    </w:p>
    <w:p w:rsidR="0083504A" w:rsidRDefault="0083504A" w:rsidP="00773520">
      <w:pPr>
        <w:rPr>
          <w:rFonts w:eastAsia="Times New Roman" w:cs="Times New Roman"/>
          <w:b/>
          <w:bCs/>
          <w:kern w:val="36"/>
          <w:sz w:val="28"/>
          <w:szCs w:val="48"/>
          <w:lang w:val="en-GB" w:eastAsia="de-DE"/>
        </w:rPr>
      </w:pPr>
      <w:r>
        <w:rPr>
          <w:lang w:val="en-GB"/>
        </w:rPr>
        <w:br w:type="page"/>
      </w:r>
    </w:p>
    <w:p w:rsidR="00476873" w:rsidRPr="00E27DDB" w:rsidRDefault="00A97498" w:rsidP="00476873">
      <w:pPr>
        <w:pStyle w:val="Heading1"/>
        <w:rPr>
          <w:rFonts w:eastAsiaTheme="minorHAnsi" w:cstheme="minorBidi"/>
          <w:lang w:val="en-GB"/>
        </w:rPr>
      </w:pPr>
      <w:r>
        <w:rPr>
          <w:lang w:val="en-GB"/>
        </w:rPr>
        <w:t>Supplementary tables</w:t>
      </w:r>
    </w:p>
    <w:p w:rsidR="001B269E" w:rsidRDefault="00317C5B" w:rsidP="00A06659">
      <w:pPr>
        <w:spacing w:line="360" w:lineRule="auto"/>
        <w:rPr>
          <w:rFonts w:cs="Times New Roman"/>
          <w:lang w:val="en-GB"/>
        </w:rPr>
      </w:pPr>
      <w:r w:rsidRPr="00317C5B">
        <w:rPr>
          <w:rFonts w:cs="Times New Roman"/>
          <w:noProof/>
          <w:lang w:eastAsia="de-DE"/>
        </w:rPr>
        <w:drawing>
          <wp:inline distT="0" distB="0" distL="0" distR="0">
            <wp:extent cx="5676900" cy="7248082"/>
            <wp:effectExtent l="19050" t="0" r="0" b="0"/>
            <wp:docPr id="4" name="Picture 3" descr="C:\Users\Kaetzel\Favorites\Publications\fNR1_CAM\WT DATA\Suppl Tables.xl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etzel\Favorites\Publications\fNR1_CAM\WT DATA\Suppl Tables.xlsx.jpg"/>
                    <pic:cNvPicPr>
                      <a:picLocks noChangeAspect="1" noChangeArrowheads="1"/>
                    </pic:cNvPicPr>
                  </pic:nvPicPr>
                  <pic:blipFill>
                    <a:blip r:embed="rId10" cstate="print"/>
                    <a:srcRect l="7987" t="6353" r="9651" b="19294"/>
                    <a:stretch>
                      <a:fillRect/>
                    </a:stretch>
                  </pic:blipFill>
                  <pic:spPr bwMode="auto">
                    <a:xfrm>
                      <a:off x="0" y="0"/>
                      <a:ext cx="5676900" cy="7248082"/>
                    </a:xfrm>
                    <a:prstGeom prst="rect">
                      <a:avLst/>
                    </a:prstGeom>
                    <a:noFill/>
                    <a:ln w="9525">
                      <a:noFill/>
                      <a:miter lim="800000"/>
                      <a:headEnd/>
                      <a:tailEnd/>
                    </a:ln>
                  </pic:spPr>
                </pic:pic>
              </a:graphicData>
            </a:graphic>
          </wp:inline>
        </w:drawing>
      </w:r>
    </w:p>
    <w:p w:rsidR="000D49CD" w:rsidRDefault="00317C5B" w:rsidP="00A97498">
      <w:pPr>
        <w:rPr>
          <w:sz w:val="24"/>
          <w:lang w:val="en-GB"/>
        </w:rPr>
      </w:pPr>
      <w:r w:rsidRPr="00A97498">
        <w:rPr>
          <w:b/>
          <w:sz w:val="24"/>
          <w:lang w:val="en-GB"/>
        </w:rPr>
        <w:t>Supplementary Table 1. Repeated-measures ANOVAs for behavioural tests.</w:t>
      </w:r>
      <w:r w:rsidRPr="00A97498">
        <w:rPr>
          <w:sz w:val="24"/>
          <w:lang w:val="en-GB"/>
        </w:rPr>
        <w:t xml:space="preserve"> The tested variables and the figure panel that displays the data (</w:t>
      </w:r>
      <w:r w:rsidR="00093154">
        <w:rPr>
          <w:sz w:val="24"/>
          <w:lang w:val="en-GB"/>
        </w:rPr>
        <w:t>“</w:t>
      </w:r>
      <w:r w:rsidRPr="00A97498">
        <w:rPr>
          <w:sz w:val="24"/>
          <w:lang w:val="en-GB"/>
        </w:rPr>
        <w:t>Fig.</w:t>
      </w:r>
      <w:r w:rsidR="00093154">
        <w:rPr>
          <w:sz w:val="24"/>
          <w:lang w:val="en-GB"/>
        </w:rPr>
        <w:t>”</w:t>
      </w:r>
      <w:r w:rsidRPr="00A97498">
        <w:rPr>
          <w:sz w:val="24"/>
          <w:lang w:val="en-GB"/>
        </w:rPr>
        <w:t>) are indicated in the two left columns</w:t>
      </w:r>
      <w:r w:rsidR="00A97498">
        <w:rPr>
          <w:sz w:val="24"/>
          <w:lang w:val="en-GB"/>
        </w:rPr>
        <w:t>; the experiment is identified in blue font</w:t>
      </w:r>
      <w:r w:rsidRPr="00A97498">
        <w:rPr>
          <w:sz w:val="24"/>
          <w:lang w:val="en-GB"/>
        </w:rPr>
        <w:t>. All data is taken from the primary male wildtype cohort (n = 2*12) but not all animals contributed to each experiment as described in the main text,</w:t>
      </w:r>
      <w:r w:rsidR="00136081" w:rsidRPr="00A97498">
        <w:rPr>
          <w:sz w:val="24"/>
          <w:lang w:val="en-GB"/>
        </w:rPr>
        <w:t xml:space="preserve"> hence degre</w:t>
      </w:r>
      <w:r w:rsidR="00A97498">
        <w:rPr>
          <w:sz w:val="24"/>
          <w:lang w:val="en-GB"/>
        </w:rPr>
        <w:t>e</w:t>
      </w:r>
      <w:r w:rsidR="00136081" w:rsidRPr="00A97498">
        <w:rPr>
          <w:sz w:val="24"/>
          <w:lang w:val="en-GB"/>
        </w:rPr>
        <w:t xml:space="preserve">s of freedom (df1, 2) differed. </w:t>
      </w:r>
      <w:r w:rsidR="00A97498">
        <w:rPr>
          <w:sz w:val="24"/>
          <w:lang w:val="en-GB"/>
        </w:rPr>
        <w:t>“</w:t>
      </w:r>
      <w:r w:rsidR="00136081" w:rsidRPr="00A97498">
        <w:rPr>
          <w:sz w:val="24"/>
          <w:lang w:val="en-GB"/>
        </w:rPr>
        <w:t>F</w:t>
      </w:r>
      <w:r w:rsidR="00A97498">
        <w:rPr>
          <w:sz w:val="24"/>
          <w:lang w:val="en-GB"/>
        </w:rPr>
        <w:t>”</w:t>
      </w:r>
      <w:r w:rsidR="00136081" w:rsidRPr="00A97498">
        <w:rPr>
          <w:sz w:val="24"/>
          <w:lang w:val="en-GB"/>
        </w:rPr>
        <w:t xml:space="preserve"> and </w:t>
      </w:r>
      <w:r w:rsidR="00A97498">
        <w:rPr>
          <w:sz w:val="24"/>
          <w:lang w:val="en-GB"/>
        </w:rPr>
        <w:t>“</w:t>
      </w:r>
      <w:r w:rsidR="00136081" w:rsidRPr="00A97498">
        <w:rPr>
          <w:sz w:val="24"/>
          <w:lang w:val="en-GB"/>
        </w:rPr>
        <w:t>p</w:t>
      </w:r>
      <w:r w:rsidR="00A97498">
        <w:rPr>
          <w:sz w:val="24"/>
          <w:lang w:val="en-GB"/>
        </w:rPr>
        <w:t>”</w:t>
      </w:r>
      <w:r w:rsidR="00136081" w:rsidRPr="00A97498">
        <w:rPr>
          <w:sz w:val="24"/>
          <w:lang w:val="en-GB"/>
        </w:rPr>
        <w:t xml:space="preserve"> columns render F- and </w:t>
      </w:r>
      <w:r w:rsidR="00136081" w:rsidRPr="00A97498">
        <w:rPr>
          <w:i/>
          <w:sz w:val="24"/>
          <w:lang w:val="en-GB"/>
        </w:rPr>
        <w:t>p</w:t>
      </w:r>
      <w:r w:rsidR="00136081" w:rsidRPr="00A97498">
        <w:rPr>
          <w:sz w:val="24"/>
          <w:lang w:val="en-GB"/>
        </w:rPr>
        <w:t xml:space="preserve">-values, respectively of the </w:t>
      </w:r>
      <w:r w:rsidR="00A97498">
        <w:rPr>
          <w:sz w:val="24"/>
          <w:lang w:val="en-GB"/>
        </w:rPr>
        <w:t xml:space="preserve">repeated-measures </w:t>
      </w:r>
      <w:r w:rsidR="00136081" w:rsidRPr="00A97498">
        <w:rPr>
          <w:sz w:val="24"/>
          <w:lang w:val="en-GB"/>
        </w:rPr>
        <w:t xml:space="preserve">ANOVA, whereby significant </w:t>
      </w:r>
      <w:r w:rsidR="00136081" w:rsidRPr="00093154">
        <w:rPr>
          <w:i/>
          <w:sz w:val="24"/>
          <w:lang w:val="en-GB"/>
        </w:rPr>
        <w:t>p</w:t>
      </w:r>
      <w:r w:rsidR="00136081" w:rsidRPr="00A97498">
        <w:rPr>
          <w:sz w:val="24"/>
          <w:lang w:val="en-GB"/>
        </w:rPr>
        <w:t>-values (&lt; 0.05) are highlighted green.</w:t>
      </w:r>
      <w:r w:rsidR="00A97498">
        <w:rPr>
          <w:sz w:val="24"/>
          <w:lang w:val="en-GB"/>
        </w:rPr>
        <w:t xml:space="preserve"> “Group” indicates the between-subject factor (SWM paradigm DMTP vs. DNMTP or house-light state: </w:t>
      </w:r>
      <w:r w:rsidR="00A97498" w:rsidRPr="00A97498">
        <w:rPr>
          <w:i/>
          <w:sz w:val="24"/>
          <w:lang w:val="en-GB"/>
        </w:rPr>
        <w:t>light</w:t>
      </w:r>
      <w:r w:rsidR="00A97498">
        <w:rPr>
          <w:sz w:val="24"/>
          <w:lang w:val="en-GB"/>
        </w:rPr>
        <w:t xml:space="preserve"> vs. </w:t>
      </w:r>
      <w:r w:rsidR="00A97498" w:rsidRPr="00A97498">
        <w:rPr>
          <w:i/>
          <w:sz w:val="24"/>
          <w:lang w:val="en-GB"/>
        </w:rPr>
        <w:t>dark</w:t>
      </w:r>
      <w:r w:rsidR="00A97498">
        <w:rPr>
          <w:sz w:val="24"/>
          <w:lang w:val="en-GB"/>
        </w:rPr>
        <w:t xml:space="preserve"> protocol). Block of training (first 7 vs. third 7 sessions), challenge-condition or drug-dose are within-subject factors, as indicated, and interactions are determined between both factors. For non-pharmacological tests, paired t-tests were calculated within the two groups separately, assessing significance for the respective within-subject factor; the resulting </w:t>
      </w:r>
      <w:r w:rsidR="00A97498" w:rsidRPr="00A97498">
        <w:rPr>
          <w:i/>
          <w:sz w:val="24"/>
          <w:lang w:val="en-GB"/>
        </w:rPr>
        <w:t>p</w:t>
      </w:r>
      <w:r w:rsidR="00A97498">
        <w:rPr>
          <w:sz w:val="24"/>
          <w:lang w:val="en-GB"/>
        </w:rPr>
        <w:t>-values are stated. SP, sample phase; CP, choice phase.</w:t>
      </w:r>
      <w:r w:rsidR="00773520">
        <w:rPr>
          <w:sz w:val="24"/>
          <w:lang w:val="en-GB"/>
        </w:rPr>
        <w:t xml:space="preserve"> </w:t>
      </w:r>
      <w:r w:rsidR="005018F8" w:rsidRPr="005018F8">
        <w:rPr>
          <w:sz w:val="24"/>
          <w:lang w:val="en-GB"/>
        </w:rPr>
        <w:t>Statistics for LSN 2463359 is not shown, since there were no significant or trend-level effects of dose or dose*group interactions (see Supplementary Figure 2).</w:t>
      </w:r>
    </w:p>
    <w:p w:rsidR="001830D9" w:rsidRDefault="001830D9" w:rsidP="00A97498">
      <w:pPr>
        <w:rPr>
          <w:sz w:val="24"/>
          <w:lang w:val="en-GB"/>
        </w:rPr>
      </w:pPr>
    </w:p>
    <w:p w:rsidR="001830D9" w:rsidRDefault="001830D9">
      <w:pPr>
        <w:spacing w:line="276" w:lineRule="auto"/>
        <w:jc w:val="left"/>
        <w:rPr>
          <w:sz w:val="24"/>
          <w:lang w:val="en-GB"/>
        </w:rPr>
      </w:pPr>
      <w:r>
        <w:rPr>
          <w:sz w:val="24"/>
          <w:lang w:val="en-GB"/>
        </w:rPr>
        <w:br w:type="page"/>
      </w:r>
    </w:p>
    <w:tbl>
      <w:tblPr>
        <w:tblStyle w:val="LightList-Accent1"/>
        <w:tblW w:w="0" w:type="auto"/>
        <w:tblLook w:val="04A0"/>
      </w:tblPr>
      <w:tblGrid>
        <w:gridCol w:w="1242"/>
        <w:gridCol w:w="5103"/>
        <w:gridCol w:w="2821"/>
      </w:tblGrid>
      <w:tr w:rsidR="00AC4722" w:rsidRPr="002F380C" w:rsidTr="00E54811">
        <w:trPr>
          <w:cnfStyle w:val="100000000000"/>
        </w:trPr>
        <w:tc>
          <w:tcPr>
            <w:cnfStyle w:val="001000000000"/>
            <w:tcW w:w="1242" w:type="dxa"/>
          </w:tcPr>
          <w:p w:rsidR="00AC4722" w:rsidRPr="002F380C" w:rsidRDefault="00D13986" w:rsidP="00D13986">
            <w:pPr>
              <w:spacing w:line="240" w:lineRule="auto"/>
              <w:rPr>
                <w:rFonts w:cs="Times New Roman"/>
                <w:sz w:val="18"/>
                <w:lang w:val="en-GB"/>
              </w:rPr>
            </w:pPr>
            <w:r w:rsidRPr="002F380C">
              <w:rPr>
                <w:rFonts w:cs="Times New Roman"/>
                <w:sz w:val="18"/>
                <w:lang w:val="en-GB"/>
              </w:rPr>
              <w:t>Stage</w:t>
            </w:r>
          </w:p>
        </w:tc>
        <w:tc>
          <w:tcPr>
            <w:tcW w:w="5103" w:type="dxa"/>
          </w:tcPr>
          <w:p w:rsidR="00AC4722" w:rsidRPr="002F380C" w:rsidRDefault="00D13986" w:rsidP="00D13986">
            <w:pPr>
              <w:spacing w:line="240" w:lineRule="auto"/>
              <w:cnfStyle w:val="100000000000"/>
              <w:rPr>
                <w:rFonts w:cs="Times New Roman"/>
                <w:sz w:val="18"/>
                <w:lang w:val="en-GB"/>
              </w:rPr>
            </w:pPr>
            <w:r w:rsidRPr="002F380C">
              <w:rPr>
                <w:rFonts w:cs="Times New Roman"/>
                <w:sz w:val="18"/>
                <w:lang w:val="en-GB"/>
              </w:rPr>
              <w:t>Experimental step</w:t>
            </w:r>
          </w:p>
        </w:tc>
        <w:tc>
          <w:tcPr>
            <w:tcW w:w="2821" w:type="dxa"/>
          </w:tcPr>
          <w:p w:rsidR="00AC4722" w:rsidRPr="002F380C" w:rsidRDefault="00D13986" w:rsidP="00D13986">
            <w:pPr>
              <w:spacing w:line="240" w:lineRule="auto"/>
              <w:cnfStyle w:val="100000000000"/>
              <w:rPr>
                <w:rFonts w:cs="Times New Roman"/>
                <w:sz w:val="18"/>
                <w:lang w:val="en-GB"/>
              </w:rPr>
            </w:pPr>
            <w:r w:rsidRPr="002F380C">
              <w:rPr>
                <w:rFonts w:cs="Times New Roman"/>
                <w:sz w:val="18"/>
                <w:lang w:val="en-GB"/>
              </w:rPr>
              <w:t>Important</w:t>
            </w:r>
          </w:p>
        </w:tc>
      </w:tr>
      <w:tr w:rsidR="00AC4722" w:rsidRPr="00362BB8" w:rsidTr="00E54811">
        <w:trPr>
          <w:cnfStyle w:val="000000100000"/>
        </w:trPr>
        <w:tc>
          <w:tcPr>
            <w:cnfStyle w:val="001000000000"/>
            <w:tcW w:w="1242" w:type="dxa"/>
          </w:tcPr>
          <w:p w:rsidR="00AC4722" w:rsidRPr="002F380C" w:rsidRDefault="00D13986" w:rsidP="00D13986">
            <w:pPr>
              <w:spacing w:line="240" w:lineRule="auto"/>
              <w:rPr>
                <w:rFonts w:cs="Times New Roman"/>
                <w:sz w:val="18"/>
                <w:lang w:val="en-GB"/>
              </w:rPr>
            </w:pPr>
            <w:r w:rsidRPr="002F380C">
              <w:rPr>
                <w:rFonts w:cs="Times New Roman"/>
                <w:sz w:val="18"/>
                <w:lang w:val="en-GB"/>
              </w:rPr>
              <w:t>Pre-habituation</w:t>
            </w:r>
          </w:p>
        </w:tc>
        <w:tc>
          <w:tcPr>
            <w:tcW w:w="5103" w:type="dxa"/>
          </w:tcPr>
          <w:p w:rsidR="00D13986" w:rsidRPr="002F380C" w:rsidRDefault="00D13986" w:rsidP="00B4443E">
            <w:pPr>
              <w:pStyle w:val="ListParagraph"/>
              <w:numPr>
                <w:ilvl w:val="0"/>
                <w:numId w:val="19"/>
              </w:numPr>
              <w:spacing w:after="0" w:line="240" w:lineRule="auto"/>
              <w:ind w:left="175" w:hanging="141"/>
              <w:cnfStyle w:val="000000100000"/>
              <w:rPr>
                <w:rFonts w:ascii="Times New Roman" w:hAnsi="Times New Roman" w:cs="Times New Roman"/>
                <w:sz w:val="18"/>
                <w:lang w:val="en-GB"/>
              </w:rPr>
            </w:pPr>
            <w:r w:rsidRPr="002F380C">
              <w:rPr>
                <w:rFonts w:ascii="Times New Roman" w:hAnsi="Times New Roman" w:cs="Times New Roman"/>
                <w:sz w:val="18"/>
                <w:lang w:val="en-GB"/>
              </w:rPr>
              <w:t>Handling of mice (≥ 3 d)</w:t>
            </w:r>
          </w:p>
          <w:p w:rsidR="00AC4722" w:rsidRPr="002F380C" w:rsidRDefault="00D13986" w:rsidP="00B4443E">
            <w:pPr>
              <w:pStyle w:val="ListParagraph"/>
              <w:numPr>
                <w:ilvl w:val="0"/>
                <w:numId w:val="19"/>
              </w:numPr>
              <w:spacing w:after="0" w:line="240" w:lineRule="auto"/>
              <w:ind w:left="175" w:hanging="141"/>
              <w:cnfStyle w:val="000000100000"/>
              <w:rPr>
                <w:rFonts w:ascii="Times New Roman" w:hAnsi="Times New Roman" w:cs="Times New Roman"/>
                <w:sz w:val="18"/>
                <w:lang w:val="en-GB"/>
              </w:rPr>
            </w:pPr>
            <w:r w:rsidRPr="002F380C">
              <w:rPr>
                <w:rFonts w:ascii="Times New Roman" w:hAnsi="Times New Roman" w:cs="Times New Roman"/>
                <w:sz w:val="18"/>
                <w:lang w:val="en-GB"/>
              </w:rPr>
              <w:t>Measure</w:t>
            </w:r>
            <w:r w:rsidR="00B4443E" w:rsidRPr="002F380C">
              <w:rPr>
                <w:rFonts w:ascii="Times New Roman" w:hAnsi="Times New Roman" w:cs="Times New Roman"/>
                <w:sz w:val="18"/>
                <w:lang w:val="en-GB"/>
              </w:rPr>
              <w:t xml:space="preserve"> free-fed</w:t>
            </w:r>
            <w:r w:rsidRPr="002F380C">
              <w:rPr>
                <w:rFonts w:ascii="Times New Roman" w:hAnsi="Times New Roman" w:cs="Times New Roman"/>
                <w:sz w:val="18"/>
                <w:lang w:val="en-GB"/>
              </w:rPr>
              <w:t xml:space="preserve"> weights</w:t>
            </w:r>
            <w:r w:rsidR="00AC03F6" w:rsidRPr="002F380C">
              <w:rPr>
                <w:rFonts w:ascii="Times New Roman" w:hAnsi="Times New Roman" w:cs="Times New Roman"/>
                <w:sz w:val="18"/>
                <w:lang w:val="en-GB"/>
              </w:rPr>
              <w:t xml:space="preserve"> (FFW)</w:t>
            </w:r>
            <w:r w:rsidRPr="002F380C">
              <w:rPr>
                <w:rFonts w:ascii="Times New Roman" w:hAnsi="Times New Roman" w:cs="Times New Roman"/>
                <w:sz w:val="18"/>
                <w:lang w:val="en-GB"/>
              </w:rPr>
              <w:t xml:space="preserve"> at same time of day (3 d)</w:t>
            </w:r>
          </w:p>
          <w:p w:rsidR="00B4443E" w:rsidRPr="002F380C" w:rsidRDefault="00B4443E" w:rsidP="00B4443E">
            <w:pPr>
              <w:pStyle w:val="ListParagraph"/>
              <w:numPr>
                <w:ilvl w:val="0"/>
                <w:numId w:val="19"/>
              </w:numPr>
              <w:spacing w:after="0" w:line="240" w:lineRule="auto"/>
              <w:ind w:left="175" w:hanging="141"/>
              <w:cnfStyle w:val="000000100000"/>
              <w:rPr>
                <w:rFonts w:ascii="Times New Roman" w:hAnsi="Times New Roman" w:cs="Times New Roman"/>
                <w:sz w:val="18"/>
                <w:lang w:val="en-GB"/>
              </w:rPr>
            </w:pPr>
            <w:r w:rsidRPr="002F380C">
              <w:rPr>
                <w:rFonts w:ascii="Times New Roman" w:hAnsi="Times New Roman" w:cs="Times New Roman"/>
                <w:sz w:val="18"/>
                <w:lang w:val="en-GB"/>
              </w:rPr>
              <w:t>Remove regular</w:t>
            </w:r>
            <w:r w:rsidR="00F42312">
              <w:rPr>
                <w:rFonts w:ascii="Times New Roman" w:hAnsi="Times New Roman" w:cs="Times New Roman"/>
                <w:sz w:val="18"/>
                <w:lang w:val="en-GB"/>
              </w:rPr>
              <w:t xml:space="preserve"> food</w:t>
            </w:r>
            <w:r w:rsidRPr="002F380C">
              <w:rPr>
                <w:rFonts w:ascii="Times New Roman" w:hAnsi="Times New Roman" w:cs="Times New Roman"/>
                <w:sz w:val="18"/>
                <w:lang w:val="en-GB"/>
              </w:rPr>
              <w:t xml:space="preserve"> on 3</w:t>
            </w:r>
            <w:r w:rsidRPr="002F380C">
              <w:rPr>
                <w:rFonts w:ascii="Times New Roman" w:hAnsi="Times New Roman" w:cs="Times New Roman"/>
                <w:sz w:val="18"/>
                <w:vertAlign w:val="superscript"/>
                <w:lang w:val="en-GB"/>
              </w:rPr>
              <w:t>rd</w:t>
            </w:r>
            <w:r w:rsidRPr="002F380C">
              <w:rPr>
                <w:rFonts w:ascii="Times New Roman" w:hAnsi="Times New Roman" w:cs="Times New Roman"/>
                <w:sz w:val="18"/>
                <w:lang w:val="en-GB"/>
              </w:rPr>
              <w:t xml:space="preserve"> day of weighing</w:t>
            </w:r>
            <w:r w:rsidR="00F42312">
              <w:rPr>
                <w:rFonts w:ascii="Times New Roman" w:hAnsi="Times New Roman" w:cs="Times New Roman"/>
                <w:sz w:val="18"/>
                <w:lang w:val="en-GB"/>
              </w:rPr>
              <w:t xml:space="preserve"> (evening)</w:t>
            </w:r>
          </w:p>
          <w:p w:rsidR="00B4443E" w:rsidRPr="002F380C" w:rsidRDefault="00D13986" w:rsidP="00B4443E">
            <w:pPr>
              <w:pStyle w:val="ListParagraph"/>
              <w:numPr>
                <w:ilvl w:val="0"/>
                <w:numId w:val="19"/>
              </w:numPr>
              <w:spacing w:after="0" w:line="240" w:lineRule="auto"/>
              <w:ind w:left="175" w:hanging="141"/>
              <w:cnfStyle w:val="000000100000"/>
              <w:rPr>
                <w:rFonts w:ascii="Times New Roman" w:hAnsi="Times New Roman" w:cs="Times New Roman"/>
                <w:sz w:val="18"/>
                <w:lang w:val="en-GB"/>
              </w:rPr>
            </w:pPr>
            <w:r w:rsidRPr="002F380C">
              <w:rPr>
                <w:rFonts w:ascii="Times New Roman" w:hAnsi="Times New Roman" w:cs="Times New Roman"/>
                <w:sz w:val="18"/>
                <w:lang w:val="en-GB"/>
              </w:rPr>
              <w:t>Provide strawberry milk reward in home cage</w:t>
            </w:r>
            <w:r w:rsidR="00B4443E" w:rsidRPr="002F380C">
              <w:rPr>
                <w:rFonts w:ascii="Times New Roman" w:hAnsi="Times New Roman" w:cs="Times New Roman"/>
                <w:sz w:val="18"/>
                <w:lang w:val="en-GB"/>
              </w:rPr>
              <w:t xml:space="preserve"> (weighing boat) on last days of weighing</w:t>
            </w:r>
            <w:r w:rsidRPr="002F380C">
              <w:rPr>
                <w:rFonts w:ascii="Times New Roman" w:hAnsi="Times New Roman" w:cs="Times New Roman"/>
                <w:sz w:val="18"/>
                <w:lang w:val="en-GB"/>
              </w:rPr>
              <w:t xml:space="preserve"> until animals</w:t>
            </w:r>
            <w:r w:rsidR="00B4443E" w:rsidRPr="002F380C">
              <w:rPr>
                <w:rFonts w:ascii="Times New Roman" w:hAnsi="Times New Roman" w:cs="Times New Roman"/>
                <w:sz w:val="18"/>
                <w:lang w:val="en-GB"/>
              </w:rPr>
              <w:t xml:space="preserve"> drink within ca. 60 min</w:t>
            </w:r>
          </w:p>
        </w:tc>
        <w:tc>
          <w:tcPr>
            <w:tcW w:w="2821" w:type="dxa"/>
          </w:tcPr>
          <w:p w:rsidR="00AC4722" w:rsidRPr="00632CFA" w:rsidRDefault="00B4443E" w:rsidP="00E54811">
            <w:pPr>
              <w:pStyle w:val="ListParagraph"/>
              <w:numPr>
                <w:ilvl w:val="0"/>
                <w:numId w:val="19"/>
              </w:numPr>
              <w:spacing w:after="0" w:line="240" w:lineRule="auto"/>
              <w:ind w:left="176" w:hanging="142"/>
              <w:cnfStyle w:val="000000100000"/>
              <w:rPr>
                <w:rFonts w:ascii="Times New Roman" w:hAnsi="Times New Roman" w:cs="Times New Roman"/>
                <w:sz w:val="18"/>
                <w:lang w:val="en-GB"/>
              </w:rPr>
            </w:pPr>
            <w:r w:rsidRPr="00632CFA">
              <w:rPr>
                <w:rFonts w:ascii="Times New Roman" w:hAnsi="Times New Roman" w:cs="Times New Roman"/>
                <w:sz w:val="18"/>
                <w:lang w:val="en-GB"/>
              </w:rPr>
              <w:t>Animals need be calm at in</w:t>
            </w:r>
            <w:r w:rsidR="00AC03F6" w:rsidRPr="00632CFA">
              <w:rPr>
                <w:rFonts w:ascii="Times New Roman" w:hAnsi="Times New Roman" w:cs="Times New Roman"/>
                <w:sz w:val="18"/>
                <w:lang w:val="en-GB"/>
              </w:rPr>
              <w:t>t</w:t>
            </w:r>
            <w:r w:rsidRPr="00632CFA">
              <w:rPr>
                <w:rFonts w:ascii="Times New Roman" w:hAnsi="Times New Roman" w:cs="Times New Roman"/>
                <w:sz w:val="18"/>
                <w:lang w:val="en-GB"/>
              </w:rPr>
              <w:t>eraction with experimenter and consume milk reward</w:t>
            </w:r>
            <w:r w:rsidR="00C40C00">
              <w:rPr>
                <w:rFonts w:ascii="Times New Roman" w:hAnsi="Times New Roman" w:cs="Times New Roman"/>
                <w:sz w:val="18"/>
                <w:lang w:val="en-GB"/>
              </w:rPr>
              <w:t xml:space="preserve"> in their home cage</w:t>
            </w:r>
          </w:p>
        </w:tc>
      </w:tr>
      <w:tr w:rsidR="00AC4722" w:rsidRPr="00362BB8" w:rsidTr="00E54811">
        <w:tc>
          <w:tcPr>
            <w:cnfStyle w:val="001000000000"/>
            <w:tcW w:w="1242" w:type="dxa"/>
          </w:tcPr>
          <w:p w:rsidR="00AC4722" w:rsidRPr="002F380C" w:rsidRDefault="00B4443E" w:rsidP="00D13986">
            <w:pPr>
              <w:spacing w:line="240" w:lineRule="auto"/>
              <w:rPr>
                <w:rFonts w:cs="Times New Roman"/>
                <w:sz w:val="18"/>
                <w:lang w:val="en-GB"/>
              </w:rPr>
            </w:pPr>
            <w:r w:rsidRPr="002F380C">
              <w:rPr>
                <w:rFonts w:cs="Times New Roman"/>
                <w:sz w:val="18"/>
                <w:lang w:val="en-GB"/>
              </w:rPr>
              <w:t>Box-habituation</w:t>
            </w:r>
          </w:p>
        </w:tc>
        <w:tc>
          <w:tcPr>
            <w:tcW w:w="5103" w:type="dxa"/>
          </w:tcPr>
          <w:p w:rsidR="00AC03F6" w:rsidRPr="002F380C" w:rsidRDefault="00AC03F6" w:rsidP="00B4443E">
            <w:pPr>
              <w:pStyle w:val="ListParagraph"/>
              <w:numPr>
                <w:ilvl w:val="0"/>
                <w:numId w:val="20"/>
              </w:numPr>
              <w:spacing w:after="0" w:line="240" w:lineRule="auto"/>
              <w:ind w:left="175" w:hanging="141"/>
              <w:cnfStyle w:val="000000000000"/>
              <w:rPr>
                <w:rFonts w:ascii="Times New Roman" w:hAnsi="Times New Roman" w:cs="Times New Roman"/>
                <w:sz w:val="18"/>
                <w:lang w:val="en-GB"/>
              </w:rPr>
            </w:pPr>
            <w:r w:rsidRPr="002F380C">
              <w:rPr>
                <w:rFonts w:ascii="Times New Roman" w:hAnsi="Times New Roman" w:cs="Times New Roman"/>
                <w:sz w:val="18"/>
                <w:lang w:val="en-GB"/>
              </w:rPr>
              <w:t>Assign each animal to one operant box</w:t>
            </w:r>
            <w:r w:rsidR="002F380C">
              <w:rPr>
                <w:rFonts w:ascii="Times New Roman" w:hAnsi="Times New Roman" w:cs="Times New Roman"/>
                <w:sz w:val="18"/>
                <w:lang w:val="en-GB"/>
              </w:rPr>
              <w:t xml:space="preserve"> (for all stages)</w:t>
            </w:r>
          </w:p>
          <w:p w:rsidR="00AC4722" w:rsidRPr="002F380C" w:rsidRDefault="00B4443E" w:rsidP="00B4443E">
            <w:pPr>
              <w:pStyle w:val="ListParagraph"/>
              <w:numPr>
                <w:ilvl w:val="0"/>
                <w:numId w:val="20"/>
              </w:numPr>
              <w:spacing w:after="0" w:line="240" w:lineRule="auto"/>
              <w:ind w:left="175" w:hanging="141"/>
              <w:cnfStyle w:val="000000000000"/>
              <w:rPr>
                <w:rFonts w:ascii="Times New Roman" w:hAnsi="Times New Roman" w:cs="Times New Roman"/>
                <w:sz w:val="18"/>
                <w:lang w:val="en-GB"/>
              </w:rPr>
            </w:pPr>
            <w:r w:rsidRPr="002F380C">
              <w:rPr>
                <w:rFonts w:ascii="Times New Roman" w:hAnsi="Times New Roman" w:cs="Times New Roman"/>
                <w:sz w:val="18"/>
                <w:lang w:val="en-GB"/>
              </w:rPr>
              <w:t>Insert mice into operant box for 10 min with milk reward provided in illuminated receptacle; refill receptacle if mice finished the reward – repeat 2-3x/d until animals fully consume the reward in the box</w:t>
            </w:r>
          </w:p>
          <w:p w:rsidR="00B4443E" w:rsidRPr="002F380C" w:rsidRDefault="00B4443E" w:rsidP="00AC03F6">
            <w:pPr>
              <w:pStyle w:val="ListParagraph"/>
              <w:numPr>
                <w:ilvl w:val="0"/>
                <w:numId w:val="20"/>
              </w:numPr>
              <w:spacing w:after="0" w:line="240" w:lineRule="auto"/>
              <w:ind w:left="175" w:hanging="141"/>
              <w:cnfStyle w:val="000000000000"/>
              <w:rPr>
                <w:rFonts w:ascii="Times New Roman" w:hAnsi="Times New Roman" w:cs="Times New Roman"/>
                <w:sz w:val="18"/>
                <w:lang w:val="en-GB"/>
              </w:rPr>
            </w:pPr>
            <w:r w:rsidRPr="002F380C">
              <w:rPr>
                <w:rFonts w:ascii="Times New Roman" w:hAnsi="Times New Roman" w:cs="Times New Roman"/>
                <w:sz w:val="18"/>
                <w:lang w:val="en-GB"/>
              </w:rPr>
              <w:t>Simultaneously</w:t>
            </w:r>
            <w:r w:rsidR="002F380C">
              <w:rPr>
                <w:rFonts w:ascii="Times New Roman" w:hAnsi="Times New Roman" w:cs="Times New Roman"/>
                <w:sz w:val="18"/>
                <w:lang w:val="en-GB"/>
              </w:rPr>
              <w:t>,</w:t>
            </w:r>
            <w:r w:rsidRPr="002F380C">
              <w:rPr>
                <w:rFonts w:ascii="Times New Roman" w:hAnsi="Times New Roman" w:cs="Times New Roman"/>
                <w:sz w:val="18"/>
                <w:lang w:val="en-GB"/>
              </w:rPr>
              <w:t xml:space="preserve"> animal weights should gradually approach 85-90 % of </w:t>
            </w:r>
            <w:r w:rsidR="00AC03F6" w:rsidRPr="002F380C">
              <w:rPr>
                <w:rFonts w:ascii="Times New Roman" w:hAnsi="Times New Roman" w:cs="Times New Roman"/>
                <w:sz w:val="18"/>
                <w:lang w:val="en-GB"/>
              </w:rPr>
              <w:t>FFW; weigh mice daily at same time from now on</w:t>
            </w:r>
            <w:r w:rsidR="002F380C">
              <w:rPr>
                <w:rFonts w:ascii="Times New Roman" w:hAnsi="Times New Roman" w:cs="Times New Roman"/>
                <w:sz w:val="18"/>
                <w:lang w:val="en-GB"/>
              </w:rPr>
              <w:t>; extra-feed individual mice in separate cages 1-3 h per day before daily feeding of complete cage if necessary due to excessive weight drops/divergence</w:t>
            </w:r>
          </w:p>
        </w:tc>
        <w:tc>
          <w:tcPr>
            <w:tcW w:w="2821" w:type="dxa"/>
          </w:tcPr>
          <w:p w:rsidR="00AC03F6" w:rsidRPr="00632CFA" w:rsidRDefault="00AC03F6" w:rsidP="00E54811">
            <w:pPr>
              <w:pStyle w:val="ListParagraph"/>
              <w:numPr>
                <w:ilvl w:val="0"/>
                <w:numId w:val="20"/>
              </w:numPr>
              <w:spacing w:after="0" w:line="240" w:lineRule="auto"/>
              <w:ind w:left="176" w:hanging="176"/>
              <w:cnfStyle w:val="000000000000"/>
              <w:rPr>
                <w:rFonts w:ascii="Times New Roman" w:hAnsi="Times New Roman" w:cs="Times New Roman"/>
                <w:sz w:val="18"/>
                <w:lang w:val="en-GB"/>
              </w:rPr>
            </w:pPr>
            <w:r w:rsidRPr="00632CFA">
              <w:rPr>
                <w:rFonts w:ascii="Times New Roman" w:hAnsi="Times New Roman" w:cs="Times New Roman"/>
                <w:sz w:val="18"/>
                <w:lang w:val="en-GB"/>
              </w:rPr>
              <w:t>Animals need to consume milk reward (ca. 100-200 </w:t>
            </w:r>
            <w:r w:rsidRPr="00632CFA">
              <w:rPr>
                <w:rFonts w:ascii="Symbol" w:hAnsi="Symbol" w:cs="Times New Roman"/>
                <w:sz w:val="18"/>
                <w:lang w:val="en-GB"/>
              </w:rPr>
              <w:t></w:t>
            </w:r>
            <w:r w:rsidRPr="00632CFA">
              <w:rPr>
                <w:rFonts w:ascii="Times New Roman" w:hAnsi="Times New Roman" w:cs="Times New Roman"/>
                <w:sz w:val="18"/>
                <w:lang w:val="en-GB"/>
              </w:rPr>
              <w:t>l per session) inside the operant box</w:t>
            </w:r>
          </w:p>
          <w:p w:rsidR="00AC03F6" w:rsidRPr="00E54811" w:rsidRDefault="00AC03F6" w:rsidP="00E54811">
            <w:pPr>
              <w:pStyle w:val="ListParagraph"/>
              <w:numPr>
                <w:ilvl w:val="0"/>
                <w:numId w:val="20"/>
              </w:numPr>
              <w:spacing w:after="0" w:line="240" w:lineRule="auto"/>
              <w:ind w:left="176" w:hanging="176"/>
              <w:cnfStyle w:val="000000000000"/>
              <w:rPr>
                <w:rFonts w:cs="Times New Roman"/>
                <w:sz w:val="18"/>
                <w:lang w:val="en-GB"/>
              </w:rPr>
            </w:pPr>
            <w:r w:rsidRPr="00632CFA">
              <w:rPr>
                <w:rFonts w:ascii="Times New Roman" w:hAnsi="Times New Roman" w:cs="Times New Roman"/>
                <w:sz w:val="18"/>
                <w:lang w:val="en-GB"/>
              </w:rPr>
              <w:t>Limit weight divergence – and esp. weight drops below 85 % FFW – by extra-feeding lighter mice 1-3 h after training</w:t>
            </w:r>
          </w:p>
        </w:tc>
      </w:tr>
      <w:tr w:rsidR="00AC4722" w:rsidRPr="00362BB8" w:rsidTr="00E54811">
        <w:trPr>
          <w:cnfStyle w:val="000000100000"/>
        </w:trPr>
        <w:tc>
          <w:tcPr>
            <w:cnfStyle w:val="001000000000"/>
            <w:tcW w:w="1242" w:type="dxa"/>
          </w:tcPr>
          <w:p w:rsidR="00AC4722" w:rsidRPr="002F380C" w:rsidRDefault="00AC03F6" w:rsidP="00D13986">
            <w:pPr>
              <w:spacing w:line="240" w:lineRule="auto"/>
              <w:rPr>
                <w:rFonts w:cs="Times New Roman"/>
                <w:sz w:val="18"/>
                <w:lang w:val="en-GB"/>
              </w:rPr>
            </w:pPr>
            <w:r w:rsidRPr="002F380C">
              <w:rPr>
                <w:rFonts w:cs="Times New Roman"/>
                <w:sz w:val="18"/>
                <w:lang w:val="en-GB"/>
              </w:rPr>
              <w:t>Operant habituation training</w:t>
            </w:r>
          </w:p>
        </w:tc>
        <w:tc>
          <w:tcPr>
            <w:tcW w:w="5103" w:type="dxa"/>
          </w:tcPr>
          <w:p w:rsidR="00AC4722" w:rsidRDefault="00AC03F6" w:rsidP="00E54811">
            <w:pPr>
              <w:pStyle w:val="ListParagraph"/>
              <w:numPr>
                <w:ilvl w:val="0"/>
                <w:numId w:val="21"/>
              </w:numPr>
              <w:spacing w:after="0" w:line="240" w:lineRule="auto"/>
              <w:ind w:left="175" w:hanging="141"/>
              <w:cnfStyle w:val="000000100000"/>
              <w:rPr>
                <w:rFonts w:ascii="Times New Roman" w:hAnsi="Times New Roman" w:cs="Times New Roman"/>
                <w:sz w:val="18"/>
                <w:lang w:val="en-GB"/>
              </w:rPr>
            </w:pPr>
            <w:r w:rsidRPr="002F380C">
              <w:rPr>
                <w:rFonts w:ascii="Times New Roman" w:hAnsi="Times New Roman" w:cs="Times New Roman"/>
                <w:sz w:val="18"/>
                <w:lang w:val="en-GB"/>
              </w:rPr>
              <w:t xml:space="preserve">1 daily 30 min session of operant training: all 5 holes are illuminated until mice poke one of them, </w:t>
            </w:r>
            <w:r w:rsidR="002F380C" w:rsidRPr="002F380C">
              <w:rPr>
                <w:rFonts w:ascii="Times New Roman" w:hAnsi="Times New Roman" w:cs="Times New Roman"/>
                <w:sz w:val="18"/>
                <w:lang w:val="en-GB"/>
              </w:rPr>
              <w:t xml:space="preserve">for </w:t>
            </w:r>
            <w:r w:rsidRPr="002F380C">
              <w:rPr>
                <w:rFonts w:ascii="Times New Roman" w:hAnsi="Times New Roman" w:cs="Times New Roman"/>
                <w:sz w:val="18"/>
                <w:lang w:val="en-GB"/>
              </w:rPr>
              <w:t xml:space="preserve">which </w:t>
            </w:r>
            <w:r w:rsidR="002F380C" w:rsidRPr="002F380C">
              <w:rPr>
                <w:rFonts w:ascii="Times New Roman" w:hAnsi="Times New Roman" w:cs="Times New Roman"/>
                <w:sz w:val="18"/>
                <w:lang w:val="en-GB"/>
              </w:rPr>
              <w:t>they obtain a 20 </w:t>
            </w:r>
            <w:r w:rsidR="002F380C" w:rsidRPr="002F380C">
              <w:rPr>
                <w:rFonts w:ascii="Symbol" w:hAnsi="Symbol" w:cs="Times New Roman"/>
                <w:sz w:val="18"/>
                <w:lang w:val="en-GB"/>
              </w:rPr>
              <w:t></w:t>
            </w:r>
            <w:r w:rsidR="002F380C" w:rsidRPr="002F380C">
              <w:rPr>
                <w:rFonts w:ascii="Times New Roman" w:hAnsi="Times New Roman" w:cs="Times New Roman"/>
                <w:sz w:val="18"/>
                <w:lang w:val="en-GB"/>
              </w:rPr>
              <w:t>l milk reward in then-illuminated receptacle</w:t>
            </w:r>
            <w:r w:rsidR="00E54811">
              <w:rPr>
                <w:rFonts w:ascii="Times New Roman" w:hAnsi="Times New Roman" w:cs="Times New Roman"/>
                <w:sz w:val="18"/>
                <w:lang w:val="en-GB"/>
              </w:rPr>
              <w:t>; consumption of the reward restarts a new cycle without delay</w:t>
            </w:r>
          </w:p>
          <w:p w:rsidR="00E54811" w:rsidRDefault="00E54811" w:rsidP="00E54811">
            <w:pPr>
              <w:pStyle w:val="ListParagraph"/>
              <w:numPr>
                <w:ilvl w:val="0"/>
                <w:numId w:val="21"/>
              </w:numPr>
              <w:spacing w:after="0" w:line="240" w:lineRule="auto"/>
              <w:ind w:left="175" w:hanging="141"/>
              <w:cnfStyle w:val="000000100000"/>
              <w:rPr>
                <w:rFonts w:ascii="Times New Roman" w:hAnsi="Times New Roman" w:cs="Times New Roman"/>
                <w:sz w:val="18"/>
                <w:lang w:val="en-GB"/>
              </w:rPr>
            </w:pPr>
            <w:r>
              <w:rPr>
                <w:rFonts w:ascii="Times New Roman" w:hAnsi="Times New Roman" w:cs="Times New Roman"/>
                <w:sz w:val="18"/>
                <w:lang w:val="en-GB"/>
              </w:rPr>
              <w:t>Mice are trained until they obtain 40 rewards (trials) per session for 3 consecutive days</w:t>
            </w:r>
          </w:p>
          <w:p w:rsidR="00E54811" w:rsidRPr="002F380C" w:rsidRDefault="00E54811" w:rsidP="00E54811">
            <w:pPr>
              <w:pStyle w:val="ListParagraph"/>
              <w:numPr>
                <w:ilvl w:val="0"/>
                <w:numId w:val="21"/>
              </w:numPr>
              <w:spacing w:after="0" w:line="240" w:lineRule="auto"/>
              <w:ind w:left="175" w:hanging="141"/>
              <w:cnfStyle w:val="000000100000"/>
              <w:rPr>
                <w:rFonts w:ascii="Times New Roman" w:hAnsi="Times New Roman" w:cs="Times New Roman"/>
                <w:sz w:val="18"/>
                <w:lang w:val="en-GB"/>
              </w:rPr>
            </w:pPr>
            <w:r>
              <w:rPr>
                <w:rFonts w:ascii="Times New Roman" w:hAnsi="Times New Roman" w:cs="Times New Roman"/>
                <w:sz w:val="18"/>
                <w:lang w:val="en-GB"/>
              </w:rPr>
              <w:t xml:space="preserve">Mice can be trained a few (!) sessions further than criterion to allow moving multiple mice to the next stage </w:t>
            </w:r>
            <w:r w:rsidRPr="00632CFA">
              <w:rPr>
                <w:rFonts w:ascii="Times New Roman" w:hAnsi="Times New Roman" w:cs="Times New Roman"/>
                <w:i/>
                <w:sz w:val="18"/>
                <w:lang w:val="en-GB"/>
              </w:rPr>
              <w:t>en-bloc</w:t>
            </w:r>
          </w:p>
        </w:tc>
        <w:tc>
          <w:tcPr>
            <w:tcW w:w="2821" w:type="dxa"/>
          </w:tcPr>
          <w:p w:rsidR="00AC4722" w:rsidRPr="00E54811" w:rsidRDefault="00E54811" w:rsidP="00E54811">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sidRPr="00E54811">
              <w:rPr>
                <w:rFonts w:ascii="Times New Roman" w:hAnsi="Times New Roman" w:cs="Times New Roman"/>
                <w:sz w:val="18"/>
                <w:lang w:val="en-GB"/>
              </w:rPr>
              <w:t>Mice should not be over-trained on this paradigm, as they have to unlearn it</w:t>
            </w:r>
            <w:r w:rsidR="002D4964">
              <w:rPr>
                <w:rFonts w:ascii="Times New Roman" w:hAnsi="Times New Roman" w:cs="Times New Roman"/>
                <w:sz w:val="18"/>
                <w:lang w:val="en-GB"/>
              </w:rPr>
              <w:t xml:space="preserve"> later</w:t>
            </w:r>
            <w:r w:rsidRPr="00E54811">
              <w:rPr>
                <w:rFonts w:ascii="Times New Roman" w:hAnsi="Times New Roman" w:cs="Times New Roman"/>
                <w:sz w:val="18"/>
                <w:lang w:val="en-GB"/>
              </w:rPr>
              <w:t xml:space="preserve"> (in our experience mice tend to rather associate </w:t>
            </w:r>
            <w:r w:rsidRPr="002D4964">
              <w:rPr>
                <w:rFonts w:ascii="Times New Roman" w:hAnsi="Times New Roman" w:cs="Times New Roman"/>
                <w:i/>
                <w:sz w:val="18"/>
                <w:lang w:val="en-GB"/>
              </w:rPr>
              <w:t>poking holes</w:t>
            </w:r>
            <w:r w:rsidRPr="00E54811">
              <w:rPr>
                <w:rFonts w:ascii="Times New Roman" w:hAnsi="Times New Roman" w:cs="Times New Roman"/>
                <w:sz w:val="18"/>
                <w:lang w:val="en-GB"/>
              </w:rPr>
              <w:t xml:space="preserve"> with reward, not </w:t>
            </w:r>
            <w:r w:rsidRPr="00C40C00">
              <w:rPr>
                <w:rFonts w:ascii="Times New Roman" w:hAnsi="Times New Roman" w:cs="Times New Roman"/>
                <w:i/>
                <w:sz w:val="18"/>
                <w:lang w:val="en-GB"/>
              </w:rPr>
              <w:t>illuminated</w:t>
            </w:r>
            <w:r w:rsidRPr="00E54811">
              <w:rPr>
                <w:rFonts w:ascii="Times New Roman" w:hAnsi="Times New Roman" w:cs="Times New Roman"/>
                <w:sz w:val="18"/>
                <w:lang w:val="en-GB"/>
              </w:rPr>
              <w:t xml:space="preserve"> holes specifically!)</w:t>
            </w:r>
          </w:p>
          <w:p w:rsidR="00E54811" w:rsidRPr="00E54811" w:rsidRDefault="00E54811" w:rsidP="00E54811">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sidRPr="00E54811">
              <w:rPr>
                <w:rFonts w:ascii="Times New Roman" w:hAnsi="Times New Roman" w:cs="Times New Roman"/>
                <w:sz w:val="18"/>
                <w:lang w:val="en-GB"/>
              </w:rPr>
              <w:t>If necessary rather relax criterion to 30 trials &amp; 2 consecutive days</w:t>
            </w:r>
          </w:p>
        </w:tc>
      </w:tr>
      <w:tr w:rsidR="00AC4722" w:rsidRPr="00362BB8" w:rsidTr="00E54811">
        <w:tc>
          <w:tcPr>
            <w:cnfStyle w:val="001000000000"/>
            <w:tcW w:w="1242" w:type="dxa"/>
          </w:tcPr>
          <w:p w:rsidR="00AC4722" w:rsidRDefault="00F42312" w:rsidP="00D13986">
            <w:pPr>
              <w:spacing w:line="240" w:lineRule="auto"/>
              <w:rPr>
                <w:rFonts w:cs="Times New Roman"/>
                <w:sz w:val="18"/>
                <w:lang w:val="en-GB"/>
              </w:rPr>
            </w:pPr>
            <w:r>
              <w:rPr>
                <w:rFonts w:cs="Times New Roman"/>
                <w:sz w:val="18"/>
                <w:lang w:val="en-GB"/>
              </w:rPr>
              <w:t>5-CSWM</w:t>
            </w:r>
          </w:p>
          <w:p w:rsidR="00F42312" w:rsidRPr="002F380C" w:rsidRDefault="00F42312" w:rsidP="00D13986">
            <w:pPr>
              <w:spacing w:line="240" w:lineRule="auto"/>
              <w:rPr>
                <w:rFonts w:cs="Times New Roman"/>
                <w:sz w:val="18"/>
                <w:lang w:val="en-GB"/>
              </w:rPr>
            </w:pPr>
            <w:r>
              <w:rPr>
                <w:rFonts w:cs="Times New Roman"/>
                <w:sz w:val="18"/>
                <w:lang w:val="en-GB"/>
              </w:rPr>
              <w:t>Stage 1</w:t>
            </w:r>
          </w:p>
        </w:tc>
        <w:tc>
          <w:tcPr>
            <w:tcW w:w="5103" w:type="dxa"/>
          </w:tcPr>
          <w:p w:rsidR="00AC4722" w:rsidRDefault="00F42312" w:rsidP="00632CFA">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Train mice in 5-CSWM cycle (see Methods) with 20 s SD in SP and CP, 2 s delay and 15</w:t>
            </w:r>
            <w:r w:rsidR="00C40C00">
              <w:rPr>
                <w:rFonts w:ascii="Times New Roman" w:hAnsi="Times New Roman" w:cs="Times New Roman"/>
                <w:sz w:val="18"/>
                <w:lang w:val="en-GB"/>
              </w:rPr>
              <w:t> </w:t>
            </w:r>
            <w:r>
              <w:rPr>
                <w:rFonts w:ascii="Times New Roman" w:hAnsi="Times New Roman" w:cs="Times New Roman"/>
                <w:sz w:val="18"/>
                <w:lang w:val="en-GB"/>
              </w:rPr>
              <w:t>s ITI; reward sizes are 20 </w:t>
            </w:r>
            <w:r w:rsidRPr="00F42312">
              <w:rPr>
                <w:rFonts w:ascii="Symbol" w:hAnsi="Symbol" w:cs="Times New Roman"/>
                <w:sz w:val="18"/>
                <w:lang w:val="en-GB"/>
              </w:rPr>
              <w:t></w:t>
            </w:r>
            <w:r>
              <w:rPr>
                <w:rFonts w:ascii="Times New Roman" w:hAnsi="Times New Roman" w:cs="Times New Roman"/>
                <w:sz w:val="18"/>
                <w:lang w:val="en-GB"/>
              </w:rPr>
              <w:t>l (SP, initially) and 60 </w:t>
            </w:r>
            <w:r w:rsidRPr="00F42312">
              <w:rPr>
                <w:rFonts w:ascii="Symbol" w:hAnsi="Symbol" w:cs="Times New Roman"/>
                <w:sz w:val="18"/>
                <w:lang w:val="en-GB"/>
              </w:rPr>
              <w:t></w:t>
            </w:r>
            <w:r>
              <w:rPr>
                <w:rFonts w:ascii="Times New Roman" w:hAnsi="Times New Roman" w:cs="Times New Roman"/>
                <w:sz w:val="18"/>
                <w:lang w:val="en-GB"/>
              </w:rPr>
              <w:t>l; omissions and incorrect responses in each phase are punished by omission of reward and immediate switch of houselight state for 5 s after which a new ITI and trial starts</w:t>
            </w:r>
          </w:p>
          <w:p w:rsidR="00F42312" w:rsidRDefault="00F42312" w:rsidP="00632CFA">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 xml:space="preserve">We recommend training in the DMTP paradigm and the </w:t>
            </w:r>
            <w:r w:rsidRPr="00F42312">
              <w:rPr>
                <w:rFonts w:ascii="Times New Roman" w:hAnsi="Times New Roman" w:cs="Times New Roman"/>
                <w:i/>
                <w:sz w:val="18"/>
                <w:lang w:val="en-GB"/>
              </w:rPr>
              <w:t>dark</w:t>
            </w:r>
            <w:r>
              <w:rPr>
                <w:rFonts w:ascii="Times New Roman" w:hAnsi="Times New Roman" w:cs="Times New Roman"/>
                <w:sz w:val="18"/>
                <w:lang w:val="en-GB"/>
              </w:rPr>
              <w:t xml:space="preserve"> protocol (houselight off by default, only on for time-outs)</w:t>
            </w:r>
          </w:p>
          <w:p w:rsidR="00F42312" w:rsidRDefault="00F42312" w:rsidP="00632CFA">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SP-reward size is decreased to 10 </w:t>
            </w:r>
            <w:r w:rsidRPr="00F42312">
              <w:rPr>
                <w:rFonts w:ascii="Symbol" w:hAnsi="Symbol" w:cs="Times New Roman"/>
                <w:sz w:val="18"/>
                <w:lang w:val="en-GB"/>
              </w:rPr>
              <w:t></w:t>
            </w:r>
            <w:r>
              <w:rPr>
                <w:rFonts w:ascii="Times New Roman" w:hAnsi="Times New Roman" w:cs="Times New Roman"/>
                <w:sz w:val="18"/>
                <w:lang w:val="en-GB"/>
              </w:rPr>
              <w:t>l and (</w:t>
            </w:r>
            <w:r w:rsidRPr="00E11437">
              <w:rPr>
                <w:rFonts w:ascii="Times New Roman" w:hAnsi="Times New Roman" w:cs="Times New Roman"/>
                <w:i/>
                <w:sz w:val="18"/>
                <w:lang w:val="en-GB"/>
              </w:rPr>
              <w:t>optionally</w:t>
            </w:r>
            <w:r>
              <w:rPr>
                <w:rFonts w:ascii="Times New Roman" w:hAnsi="Times New Roman" w:cs="Times New Roman"/>
                <w:sz w:val="18"/>
                <w:lang w:val="en-GB"/>
              </w:rPr>
              <w:t>) 0 </w:t>
            </w:r>
            <w:r w:rsidRPr="00F42312">
              <w:rPr>
                <w:rFonts w:ascii="Symbol" w:hAnsi="Symbol" w:cs="Times New Roman"/>
                <w:sz w:val="18"/>
                <w:lang w:val="en-GB"/>
              </w:rPr>
              <w:t></w:t>
            </w:r>
            <w:r>
              <w:rPr>
                <w:rFonts w:ascii="Times New Roman" w:hAnsi="Times New Roman" w:cs="Times New Roman"/>
                <w:sz w:val="18"/>
                <w:lang w:val="en-GB"/>
              </w:rPr>
              <w:t>l if mice have obtained ≥25 #correct in the SP</w:t>
            </w:r>
            <w:r w:rsidR="00D47F2C">
              <w:rPr>
                <w:rFonts w:ascii="Times New Roman" w:hAnsi="Times New Roman" w:cs="Times New Roman"/>
                <w:sz w:val="18"/>
                <w:lang w:val="en-GB"/>
              </w:rPr>
              <w:t xml:space="preserve"> on 3 consecutive days</w:t>
            </w:r>
          </w:p>
          <w:p w:rsidR="006E21E0" w:rsidRPr="00632CFA" w:rsidRDefault="006E21E0" w:rsidP="00632CFA">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Mice need to achieve ≥10 #correct and ≥70 % accuracy</w:t>
            </w:r>
            <w:r>
              <w:rPr>
                <w:rFonts w:ascii="Times New Roman" w:hAnsi="Times New Roman" w:cs="Times New Roman"/>
                <w:sz w:val="18"/>
                <w:vertAlign w:val="subscript"/>
                <w:lang w:val="en-GB"/>
              </w:rPr>
              <w:t>lit</w:t>
            </w:r>
            <w:r>
              <w:rPr>
                <w:rFonts w:ascii="Times New Roman" w:hAnsi="Times New Roman" w:cs="Times New Roman"/>
                <w:sz w:val="18"/>
                <w:lang w:val="en-GB"/>
              </w:rPr>
              <w:t xml:space="preserve"> on 3 consecutive days to transition to Stage 2</w:t>
            </w:r>
          </w:p>
        </w:tc>
        <w:tc>
          <w:tcPr>
            <w:tcW w:w="2821" w:type="dxa"/>
          </w:tcPr>
          <w:p w:rsidR="00AC4722" w:rsidRDefault="006A3CCE" w:rsidP="00632CFA">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Weigh &amp; train animals at the same time of day</w:t>
            </w:r>
          </w:p>
          <w:p w:rsidR="00F42312" w:rsidRDefault="00F42312" w:rsidP="00632CFA">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The ITI can also be shortened to 10 s after CP and 5 s after time-out in SP</w:t>
            </w:r>
            <w:r w:rsidR="006E21E0">
              <w:rPr>
                <w:rFonts w:ascii="Times New Roman" w:hAnsi="Times New Roman" w:cs="Times New Roman"/>
                <w:sz w:val="18"/>
                <w:lang w:val="en-GB"/>
              </w:rPr>
              <w:t xml:space="preserve"> (throughout stages)</w:t>
            </w:r>
          </w:p>
          <w:p w:rsidR="00F42312" w:rsidRPr="00632CFA" w:rsidRDefault="00F42312" w:rsidP="006A3CCE">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The key goal</w:t>
            </w:r>
            <w:r w:rsidR="009D1A0A">
              <w:rPr>
                <w:rFonts w:ascii="Times New Roman" w:hAnsi="Times New Roman" w:cs="Times New Roman"/>
                <w:sz w:val="18"/>
                <w:lang w:val="en-GB"/>
              </w:rPr>
              <w:t xml:space="preserve"> at this stage</w:t>
            </w:r>
            <w:r>
              <w:rPr>
                <w:rFonts w:ascii="Times New Roman" w:hAnsi="Times New Roman" w:cs="Times New Roman"/>
                <w:sz w:val="18"/>
                <w:lang w:val="en-GB"/>
              </w:rPr>
              <w:t xml:space="preserve"> is for the animals to obtain </w:t>
            </w:r>
            <w:r w:rsidR="006A3CCE">
              <w:rPr>
                <w:rFonts w:ascii="Times New Roman" w:hAnsi="Times New Roman" w:cs="Times New Roman"/>
                <w:i/>
                <w:sz w:val="18"/>
                <w:lang w:val="en-GB"/>
              </w:rPr>
              <w:t>many</w:t>
            </w:r>
            <w:r>
              <w:rPr>
                <w:rFonts w:ascii="Times New Roman" w:hAnsi="Times New Roman" w:cs="Times New Roman"/>
                <w:sz w:val="18"/>
                <w:lang w:val="en-GB"/>
              </w:rPr>
              <w:t xml:space="preserve"> trial</w:t>
            </w:r>
            <w:r w:rsidR="006A3CCE">
              <w:rPr>
                <w:rFonts w:ascii="Times New Roman" w:hAnsi="Times New Roman" w:cs="Times New Roman"/>
                <w:sz w:val="18"/>
                <w:lang w:val="en-GB"/>
              </w:rPr>
              <w:t>s</w:t>
            </w:r>
            <w:r>
              <w:rPr>
                <w:rFonts w:ascii="Times New Roman" w:hAnsi="Times New Roman" w:cs="Times New Roman"/>
                <w:sz w:val="18"/>
                <w:lang w:val="en-GB"/>
              </w:rPr>
              <w:t xml:space="preserve"> &amp; #correct</w:t>
            </w:r>
            <w:r w:rsidR="00293A52">
              <w:rPr>
                <w:rFonts w:ascii="Times New Roman" w:hAnsi="Times New Roman" w:cs="Times New Roman"/>
                <w:sz w:val="18"/>
                <w:lang w:val="en-GB"/>
              </w:rPr>
              <w:t xml:space="preserve"> to facilitate training progress</w:t>
            </w:r>
          </w:p>
        </w:tc>
      </w:tr>
      <w:tr w:rsidR="00AC4722" w:rsidRPr="00362BB8" w:rsidTr="00E54811">
        <w:trPr>
          <w:cnfStyle w:val="000000100000"/>
        </w:trPr>
        <w:tc>
          <w:tcPr>
            <w:cnfStyle w:val="001000000000"/>
            <w:tcW w:w="1242" w:type="dxa"/>
          </w:tcPr>
          <w:p w:rsidR="00AC4722" w:rsidRDefault="00D47F2C" w:rsidP="00D13986">
            <w:pPr>
              <w:spacing w:line="240" w:lineRule="auto"/>
              <w:rPr>
                <w:rFonts w:cs="Times New Roman"/>
                <w:sz w:val="18"/>
                <w:lang w:val="en-GB"/>
              </w:rPr>
            </w:pPr>
            <w:r>
              <w:rPr>
                <w:rFonts w:cs="Times New Roman"/>
                <w:sz w:val="18"/>
                <w:lang w:val="en-GB"/>
              </w:rPr>
              <w:t>5-CSWM</w:t>
            </w:r>
          </w:p>
          <w:p w:rsidR="00D47F2C" w:rsidRPr="002F380C" w:rsidRDefault="00D47F2C" w:rsidP="00D13986">
            <w:pPr>
              <w:spacing w:line="240" w:lineRule="auto"/>
              <w:rPr>
                <w:rFonts w:cs="Times New Roman"/>
                <w:sz w:val="18"/>
                <w:lang w:val="en-GB"/>
              </w:rPr>
            </w:pPr>
            <w:r>
              <w:rPr>
                <w:rFonts w:cs="Times New Roman"/>
                <w:sz w:val="18"/>
                <w:lang w:val="en-GB"/>
              </w:rPr>
              <w:t>Stage 2</w:t>
            </w:r>
          </w:p>
        </w:tc>
        <w:tc>
          <w:tcPr>
            <w:tcW w:w="5103" w:type="dxa"/>
          </w:tcPr>
          <w:p w:rsidR="00AC4722" w:rsidRDefault="006E21E0" w:rsidP="006E21E0">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Pr>
                <w:rFonts w:ascii="Times New Roman" w:hAnsi="Times New Roman" w:cs="Times New Roman"/>
                <w:sz w:val="18"/>
                <w:lang w:val="en-GB"/>
              </w:rPr>
              <w:t>Training as stage 1, but with more CP configurations and SP-reward of 10 </w:t>
            </w:r>
            <w:r w:rsidRPr="00F42312">
              <w:rPr>
                <w:rFonts w:ascii="Symbol" w:hAnsi="Symbol" w:cs="Times New Roman"/>
                <w:sz w:val="18"/>
                <w:lang w:val="en-GB"/>
              </w:rPr>
              <w:t></w:t>
            </w:r>
            <w:r>
              <w:rPr>
                <w:rFonts w:ascii="Times New Roman" w:hAnsi="Times New Roman" w:cs="Times New Roman"/>
                <w:sz w:val="18"/>
                <w:lang w:val="en-GB"/>
              </w:rPr>
              <w:t>l or (</w:t>
            </w:r>
            <w:r w:rsidRPr="00E11437">
              <w:rPr>
                <w:rFonts w:ascii="Times New Roman" w:hAnsi="Times New Roman" w:cs="Times New Roman"/>
                <w:i/>
                <w:sz w:val="18"/>
                <w:lang w:val="en-GB"/>
              </w:rPr>
              <w:t>optionally</w:t>
            </w:r>
            <w:r>
              <w:rPr>
                <w:rFonts w:ascii="Times New Roman" w:hAnsi="Times New Roman" w:cs="Times New Roman"/>
                <w:sz w:val="18"/>
                <w:lang w:val="en-GB"/>
              </w:rPr>
              <w:t>) 0 </w:t>
            </w:r>
            <w:r w:rsidRPr="00F42312">
              <w:rPr>
                <w:rFonts w:ascii="Symbol" w:hAnsi="Symbol" w:cs="Times New Roman"/>
                <w:sz w:val="18"/>
                <w:lang w:val="en-GB"/>
              </w:rPr>
              <w:t></w:t>
            </w:r>
            <w:r>
              <w:rPr>
                <w:rFonts w:ascii="Times New Roman" w:hAnsi="Times New Roman" w:cs="Times New Roman"/>
                <w:sz w:val="18"/>
                <w:lang w:val="en-GB"/>
              </w:rPr>
              <w:t>l (see Methods)</w:t>
            </w:r>
          </w:p>
          <w:p w:rsidR="006A3CCE" w:rsidRPr="00632CFA" w:rsidRDefault="006A3CCE" w:rsidP="006E21E0">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Pr>
                <w:rFonts w:ascii="Times New Roman" w:hAnsi="Times New Roman" w:cs="Times New Roman"/>
                <w:sz w:val="18"/>
                <w:lang w:val="en-GB"/>
              </w:rPr>
              <w:t>Mice need to achieve ≥10 #correct and ≥70 % accuracy</w:t>
            </w:r>
            <w:r>
              <w:rPr>
                <w:rFonts w:ascii="Times New Roman" w:hAnsi="Times New Roman" w:cs="Times New Roman"/>
                <w:sz w:val="18"/>
                <w:vertAlign w:val="subscript"/>
                <w:lang w:val="en-GB"/>
              </w:rPr>
              <w:t>lit</w:t>
            </w:r>
            <w:r>
              <w:rPr>
                <w:rFonts w:ascii="Times New Roman" w:hAnsi="Times New Roman" w:cs="Times New Roman"/>
                <w:sz w:val="18"/>
                <w:lang w:val="en-GB"/>
              </w:rPr>
              <w:t xml:space="preserve"> on 3 consecutive days to transition to Stage 3</w:t>
            </w:r>
          </w:p>
        </w:tc>
        <w:tc>
          <w:tcPr>
            <w:tcW w:w="2821" w:type="dxa"/>
          </w:tcPr>
          <w:p w:rsidR="00AC4722" w:rsidRPr="00632CFA" w:rsidRDefault="006A3CCE" w:rsidP="00632CFA">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Pr>
                <w:rFonts w:ascii="Times New Roman" w:hAnsi="Times New Roman" w:cs="Times New Roman"/>
                <w:sz w:val="18"/>
                <w:lang w:val="en-GB"/>
              </w:rPr>
              <w:t>If animals take many sessions (&gt;100) to reach criterion, this stage can also be used a</w:t>
            </w:r>
            <w:r w:rsidR="009D1A0A">
              <w:rPr>
                <w:rFonts w:ascii="Times New Roman" w:hAnsi="Times New Roman" w:cs="Times New Roman"/>
                <w:sz w:val="18"/>
                <w:lang w:val="en-GB"/>
              </w:rPr>
              <w:t>s</w:t>
            </w:r>
            <w:r>
              <w:rPr>
                <w:rFonts w:ascii="Times New Roman" w:hAnsi="Times New Roman" w:cs="Times New Roman"/>
                <w:sz w:val="18"/>
                <w:lang w:val="en-GB"/>
              </w:rPr>
              <w:t xml:space="preserve"> final</w:t>
            </w:r>
          </w:p>
        </w:tc>
      </w:tr>
      <w:tr w:rsidR="00AC4722" w:rsidRPr="00362BB8" w:rsidTr="00E54811">
        <w:tc>
          <w:tcPr>
            <w:cnfStyle w:val="001000000000"/>
            <w:tcW w:w="1242" w:type="dxa"/>
          </w:tcPr>
          <w:p w:rsidR="006A3CCE" w:rsidRDefault="006A3CCE" w:rsidP="006A3CCE">
            <w:pPr>
              <w:spacing w:line="240" w:lineRule="auto"/>
              <w:rPr>
                <w:rFonts w:cs="Times New Roman"/>
                <w:sz w:val="18"/>
                <w:lang w:val="en-GB"/>
              </w:rPr>
            </w:pPr>
            <w:r>
              <w:rPr>
                <w:rFonts w:cs="Times New Roman"/>
                <w:sz w:val="18"/>
                <w:lang w:val="en-GB"/>
              </w:rPr>
              <w:t>5-CSWM</w:t>
            </w:r>
          </w:p>
          <w:p w:rsidR="00AC4722" w:rsidRPr="002F380C" w:rsidRDefault="006A3CCE" w:rsidP="006A3CCE">
            <w:pPr>
              <w:spacing w:line="240" w:lineRule="auto"/>
              <w:rPr>
                <w:rFonts w:cs="Times New Roman"/>
                <w:sz w:val="18"/>
                <w:lang w:val="en-GB"/>
              </w:rPr>
            </w:pPr>
            <w:r>
              <w:rPr>
                <w:rFonts w:cs="Times New Roman"/>
                <w:sz w:val="18"/>
                <w:lang w:val="en-GB"/>
              </w:rPr>
              <w:t>Stage 3</w:t>
            </w:r>
          </w:p>
        </w:tc>
        <w:tc>
          <w:tcPr>
            <w:tcW w:w="5103" w:type="dxa"/>
          </w:tcPr>
          <w:p w:rsidR="006A3CCE" w:rsidRDefault="006A3CCE" w:rsidP="006A3CCE">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Training as stage 2, but with more CP configurations and SP-reward of 0 </w:t>
            </w:r>
            <w:r w:rsidRPr="00F42312">
              <w:rPr>
                <w:rFonts w:ascii="Symbol" w:hAnsi="Symbol" w:cs="Times New Roman"/>
                <w:sz w:val="18"/>
                <w:lang w:val="en-GB"/>
              </w:rPr>
              <w:t></w:t>
            </w:r>
            <w:r>
              <w:rPr>
                <w:rFonts w:ascii="Times New Roman" w:hAnsi="Times New Roman" w:cs="Times New Roman"/>
                <w:sz w:val="18"/>
                <w:lang w:val="en-GB"/>
              </w:rPr>
              <w:t>l (see Methods)</w:t>
            </w:r>
          </w:p>
          <w:p w:rsidR="00293A52" w:rsidRDefault="00293A52" w:rsidP="006A3CCE">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SP-SD is reduced to 8 s if SP-accuracy is ≥80 %</w:t>
            </w:r>
          </w:p>
          <w:p w:rsidR="00AC4722" w:rsidRDefault="006A3CCE" w:rsidP="006A3CCE">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Mice need to achieve ≥10 #correct and ≥70 % accuracy</w:t>
            </w:r>
            <w:r>
              <w:rPr>
                <w:rFonts w:ascii="Times New Roman" w:hAnsi="Times New Roman" w:cs="Times New Roman"/>
                <w:sz w:val="18"/>
                <w:vertAlign w:val="subscript"/>
                <w:lang w:val="en-GB"/>
              </w:rPr>
              <w:t>lit</w:t>
            </w:r>
            <w:r>
              <w:rPr>
                <w:rFonts w:ascii="Times New Roman" w:hAnsi="Times New Roman" w:cs="Times New Roman"/>
                <w:sz w:val="18"/>
                <w:lang w:val="en-GB"/>
              </w:rPr>
              <w:t xml:space="preserve"> on 3 consecutive days to transition to challenges</w:t>
            </w:r>
          </w:p>
          <w:p w:rsidR="00293A52" w:rsidRPr="00BB2C66" w:rsidRDefault="00293A52" w:rsidP="00293A52">
            <w:pPr>
              <w:spacing w:line="240" w:lineRule="auto"/>
              <w:ind w:left="34"/>
              <w:cnfStyle w:val="000000000000"/>
              <w:rPr>
                <w:rFonts w:cs="Times New Roman"/>
                <w:i/>
                <w:sz w:val="18"/>
                <w:u w:val="single"/>
                <w:lang w:val="en-GB"/>
              </w:rPr>
            </w:pPr>
            <w:r w:rsidRPr="00BB2C66">
              <w:rPr>
                <w:rFonts w:cs="Times New Roman"/>
                <w:i/>
                <w:sz w:val="18"/>
                <w:u w:val="single"/>
                <w:lang w:val="en-GB"/>
              </w:rPr>
              <w:t>Optional:</w:t>
            </w:r>
          </w:p>
          <w:p w:rsidR="006A3CCE" w:rsidRDefault="006A3CCE" w:rsidP="006A3CCE">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 xml:space="preserve">The number of CP-configurations might be increased further by also adding those with neighbouring holes (e.g. </w:t>
            </w:r>
            <w:r w:rsidR="009D1A0A">
              <w:rPr>
                <w:rFonts w:ascii="Times New Roman" w:hAnsi="Times New Roman" w:cs="Times New Roman"/>
                <w:sz w:val="18"/>
                <w:lang w:val="en-GB"/>
              </w:rPr>
              <w:t xml:space="preserve">holes </w:t>
            </w:r>
            <w:r>
              <w:rPr>
                <w:rFonts w:ascii="Times New Roman" w:hAnsi="Times New Roman" w:cs="Times New Roman"/>
                <w:sz w:val="18"/>
                <w:lang w:val="en-GB"/>
              </w:rPr>
              <w:t>3</w:t>
            </w:r>
            <w:r w:rsidR="009D1A0A">
              <w:rPr>
                <w:rFonts w:ascii="Times New Roman" w:hAnsi="Times New Roman" w:cs="Times New Roman"/>
                <w:sz w:val="18"/>
                <w:lang w:val="en-GB"/>
              </w:rPr>
              <w:t xml:space="preserve"> </w:t>
            </w:r>
            <w:r>
              <w:rPr>
                <w:rFonts w:ascii="Times New Roman" w:hAnsi="Times New Roman" w:cs="Times New Roman"/>
                <w:sz w:val="18"/>
                <w:lang w:val="en-GB"/>
              </w:rPr>
              <w:t>&amp;</w:t>
            </w:r>
            <w:r w:rsidR="009D1A0A">
              <w:rPr>
                <w:rFonts w:ascii="Times New Roman" w:hAnsi="Times New Roman" w:cs="Times New Roman"/>
                <w:sz w:val="18"/>
                <w:lang w:val="en-GB"/>
              </w:rPr>
              <w:t xml:space="preserve"> </w:t>
            </w:r>
            <w:r>
              <w:rPr>
                <w:rFonts w:ascii="Times New Roman" w:hAnsi="Times New Roman" w:cs="Times New Roman"/>
                <w:sz w:val="18"/>
                <w:lang w:val="en-GB"/>
              </w:rPr>
              <w:t>4)</w:t>
            </w:r>
          </w:p>
          <w:p w:rsidR="00293A52" w:rsidRPr="00632CFA" w:rsidRDefault="00293A52" w:rsidP="00293A52">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 xml:space="preserve"> SP-SD and CP-SD can be reduced further (e.g. to 4 s) without affecting accuracies much – check response latencies to see how much time animals actually need</w:t>
            </w:r>
            <w:r w:rsidR="009D1A0A">
              <w:rPr>
                <w:rFonts w:ascii="Times New Roman" w:hAnsi="Times New Roman" w:cs="Times New Roman"/>
                <w:sz w:val="18"/>
                <w:lang w:val="en-GB"/>
              </w:rPr>
              <w:t>!</w:t>
            </w:r>
          </w:p>
        </w:tc>
        <w:tc>
          <w:tcPr>
            <w:tcW w:w="2821" w:type="dxa"/>
          </w:tcPr>
          <w:p w:rsidR="00AC4722" w:rsidRDefault="006A3CCE" w:rsidP="006A3CCE">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a SP-reward of 10 </w:t>
            </w:r>
            <w:r w:rsidRPr="00F42312">
              <w:rPr>
                <w:rFonts w:ascii="Symbol" w:hAnsi="Symbol" w:cs="Times New Roman"/>
                <w:sz w:val="18"/>
                <w:lang w:val="en-GB"/>
              </w:rPr>
              <w:t></w:t>
            </w:r>
            <w:r>
              <w:rPr>
                <w:rFonts w:ascii="Times New Roman" w:hAnsi="Times New Roman" w:cs="Times New Roman"/>
                <w:sz w:val="18"/>
                <w:lang w:val="en-GB"/>
              </w:rPr>
              <w:t xml:space="preserve">l might also be used in Stages 2&amp;3 and further, e.g. to </w:t>
            </w:r>
            <w:r w:rsidR="009D1A0A">
              <w:rPr>
                <w:rFonts w:ascii="Times New Roman" w:hAnsi="Times New Roman" w:cs="Times New Roman"/>
                <w:sz w:val="18"/>
                <w:lang w:val="en-GB"/>
              </w:rPr>
              <w:t>enforce/</w:t>
            </w:r>
            <w:r>
              <w:rPr>
                <w:rFonts w:ascii="Times New Roman" w:hAnsi="Times New Roman" w:cs="Times New Roman"/>
                <w:sz w:val="18"/>
                <w:lang w:val="en-GB"/>
              </w:rPr>
              <w:t xml:space="preserve">motivate receptacle entries at the </w:t>
            </w:r>
            <w:r w:rsidRPr="006A3CCE">
              <w:rPr>
                <w:rFonts w:ascii="Times New Roman" w:hAnsi="Times New Roman" w:cs="Times New Roman"/>
                <w:i/>
                <w:sz w:val="18"/>
                <w:lang w:val="en-GB"/>
              </w:rPr>
              <w:t>end</w:t>
            </w:r>
            <w:r>
              <w:rPr>
                <w:rFonts w:ascii="Times New Roman" w:hAnsi="Times New Roman" w:cs="Times New Roman"/>
                <w:sz w:val="18"/>
                <w:lang w:val="en-GB"/>
              </w:rPr>
              <w:t xml:space="preserve"> of the delay phase when extending the delay in challenge protocols</w:t>
            </w:r>
          </w:p>
          <w:p w:rsidR="00293A52" w:rsidRPr="00632CFA" w:rsidRDefault="00293A52" w:rsidP="00293A52">
            <w:pPr>
              <w:pStyle w:val="ListParagraph"/>
              <w:numPr>
                <w:ilvl w:val="0"/>
                <w:numId w:val="21"/>
              </w:numPr>
              <w:spacing w:after="0" w:line="240" w:lineRule="auto"/>
              <w:ind w:left="176" w:hanging="142"/>
              <w:cnfStyle w:val="000000000000"/>
              <w:rPr>
                <w:rFonts w:ascii="Times New Roman" w:hAnsi="Times New Roman" w:cs="Times New Roman"/>
                <w:sz w:val="18"/>
                <w:lang w:val="en-GB"/>
              </w:rPr>
            </w:pPr>
            <w:r>
              <w:rPr>
                <w:rFonts w:ascii="Times New Roman" w:hAnsi="Times New Roman" w:cs="Times New Roman"/>
                <w:sz w:val="18"/>
                <w:lang w:val="en-GB"/>
              </w:rPr>
              <w:t>reduction of SDs helps to standardize encoding and decision times, eliminating trials where mice don’t participate in the task; also allows to test attention by reducing SP-SD to 1 s as a challenge later</w:t>
            </w:r>
          </w:p>
        </w:tc>
      </w:tr>
      <w:tr w:rsidR="00AC4722" w:rsidRPr="00362BB8" w:rsidTr="00E54811">
        <w:trPr>
          <w:cnfStyle w:val="000000100000"/>
        </w:trPr>
        <w:tc>
          <w:tcPr>
            <w:cnfStyle w:val="001000000000"/>
            <w:tcW w:w="1242" w:type="dxa"/>
          </w:tcPr>
          <w:p w:rsidR="00AC4722" w:rsidRPr="002F380C" w:rsidRDefault="00293A52" w:rsidP="00D13986">
            <w:pPr>
              <w:spacing w:line="240" w:lineRule="auto"/>
              <w:rPr>
                <w:rFonts w:cs="Times New Roman"/>
                <w:sz w:val="18"/>
                <w:lang w:val="en-GB"/>
              </w:rPr>
            </w:pPr>
            <w:r>
              <w:rPr>
                <w:rFonts w:cs="Times New Roman"/>
                <w:sz w:val="18"/>
                <w:lang w:val="en-GB"/>
              </w:rPr>
              <w:t>Challenge protocols</w:t>
            </w:r>
          </w:p>
        </w:tc>
        <w:tc>
          <w:tcPr>
            <w:tcW w:w="5103" w:type="dxa"/>
          </w:tcPr>
          <w:p w:rsidR="00AC4722" w:rsidRDefault="00293A52" w:rsidP="009258E3">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Pr>
                <w:rFonts w:ascii="Times New Roman" w:hAnsi="Times New Roman" w:cs="Times New Roman"/>
                <w:sz w:val="18"/>
                <w:lang w:val="en-GB"/>
              </w:rPr>
              <w:t xml:space="preserve">run challenge protocols on 1 or 2 consecutive days per challenge with training </w:t>
            </w:r>
            <w:r w:rsidR="009258E3">
              <w:rPr>
                <w:rFonts w:ascii="Times New Roman" w:hAnsi="Times New Roman" w:cs="Times New Roman"/>
                <w:sz w:val="18"/>
                <w:lang w:val="en-GB"/>
              </w:rPr>
              <w:t>in</w:t>
            </w:r>
            <w:r>
              <w:rPr>
                <w:rFonts w:ascii="Times New Roman" w:hAnsi="Times New Roman" w:cs="Times New Roman"/>
                <w:sz w:val="18"/>
                <w:lang w:val="en-GB"/>
              </w:rPr>
              <w:t xml:space="preserve"> baseline</w:t>
            </w:r>
            <w:r w:rsidR="009258E3">
              <w:rPr>
                <w:rFonts w:ascii="Times New Roman" w:hAnsi="Times New Roman" w:cs="Times New Roman"/>
                <w:sz w:val="18"/>
                <w:lang w:val="en-GB"/>
              </w:rPr>
              <w:t xml:space="preserve"> protocol</w:t>
            </w:r>
            <w:r>
              <w:rPr>
                <w:rFonts w:ascii="Times New Roman" w:hAnsi="Times New Roman" w:cs="Times New Roman"/>
                <w:sz w:val="18"/>
                <w:lang w:val="en-GB"/>
              </w:rPr>
              <w:t xml:space="preserve"> (Stage 3)</w:t>
            </w:r>
            <w:r w:rsidR="009258E3">
              <w:rPr>
                <w:rFonts w:ascii="Times New Roman" w:hAnsi="Times New Roman" w:cs="Times New Roman"/>
                <w:sz w:val="18"/>
                <w:lang w:val="en-GB"/>
              </w:rPr>
              <w:t xml:space="preserve"> on ≥2 d in between different challenges</w:t>
            </w:r>
          </w:p>
          <w:p w:rsidR="009258E3" w:rsidRDefault="009258E3" w:rsidP="009258E3">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sidRPr="009D1A0A">
              <w:rPr>
                <w:rFonts w:ascii="Times New Roman" w:hAnsi="Times New Roman" w:cs="Times New Roman"/>
                <w:i/>
                <w:sz w:val="18"/>
                <w:lang w:val="en-GB"/>
              </w:rPr>
              <w:t>Delay challenge</w:t>
            </w:r>
            <w:r>
              <w:rPr>
                <w:rFonts w:ascii="Times New Roman" w:hAnsi="Times New Roman" w:cs="Times New Roman"/>
                <w:sz w:val="18"/>
                <w:lang w:val="en-GB"/>
              </w:rPr>
              <w:t>: increase delay to 5 s, 10 s and/or 20 s</w:t>
            </w:r>
            <w:r w:rsidR="00BB2C66">
              <w:rPr>
                <w:rFonts w:ascii="Times New Roman" w:hAnsi="Times New Roman" w:cs="Times New Roman"/>
                <w:sz w:val="18"/>
                <w:lang w:val="en-GB"/>
              </w:rPr>
              <w:t xml:space="preserve"> before or after required receptacle entry</w:t>
            </w:r>
          </w:p>
          <w:p w:rsidR="00BB2C66" w:rsidRPr="00BB2C66" w:rsidRDefault="00BB2C66" w:rsidP="00BB2C66">
            <w:pPr>
              <w:spacing w:line="240" w:lineRule="auto"/>
              <w:ind w:left="34"/>
              <w:cnfStyle w:val="000000100000"/>
              <w:rPr>
                <w:rFonts w:cs="Times New Roman"/>
                <w:i/>
                <w:sz w:val="18"/>
                <w:u w:val="single"/>
                <w:lang w:val="en-GB"/>
              </w:rPr>
            </w:pPr>
            <w:r w:rsidRPr="00BB2C66">
              <w:rPr>
                <w:rFonts w:cs="Times New Roman"/>
                <w:i/>
                <w:sz w:val="18"/>
                <w:u w:val="single"/>
                <w:lang w:val="en-GB"/>
              </w:rPr>
              <w:t>Theoretical further options:</w:t>
            </w:r>
          </w:p>
          <w:p w:rsidR="009258E3" w:rsidRDefault="009258E3" w:rsidP="009258E3">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sidRPr="009D1A0A">
              <w:rPr>
                <w:rFonts w:ascii="Times New Roman" w:hAnsi="Times New Roman" w:cs="Times New Roman"/>
                <w:i/>
                <w:sz w:val="18"/>
                <w:lang w:val="en-GB"/>
              </w:rPr>
              <w:t>Distraction</w:t>
            </w:r>
            <w:r>
              <w:rPr>
                <w:rFonts w:ascii="Times New Roman" w:hAnsi="Times New Roman" w:cs="Times New Roman"/>
                <w:sz w:val="18"/>
                <w:lang w:val="en-GB"/>
              </w:rPr>
              <w:t>: briefly switch the houselight (0.5-1.0 s) 1-2x at random times or present a tone during delay</w:t>
            </w:r>
          </w:p>
          <w:p w:rsidR="00243A9B" w:rsidRDefault="00243A9B" w:rsidP="009258E3">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sidRPr="009D1A0A">
              <w:rPr>
                <w:rFonts w:ascii="Times New Roman" w:hAnsi="Times New Roman" w:cs="Times New Roman"/>
                <w:i/>
                <w:sz w:val="18"/>
                <w:lang w:val="en-GB"/>
              </w:rPr>
              <w:t>Attention challenge</w:t>
            </w:r>
            <w:r w:rsidR="00BB2C66">
              <w:rPr>
                <w:rFonts w:ascii="Times New Roman" w:hAnsi="Times New Roman" w:cs="Times New Roman"/>
                <w:i/>
                <w:sz w:val="18"/>
                <w:lang w:val="en-GB"/>
              </w:rPr>
              <w:t xml:space="preserve"> (analogous to 5-CSRTT)</w:t>
            </w:r>
            <w:r>
              <w:rPr>
                <w:rFonts w:ascii="Times New Roman" w:hAnsi="Times New Roman" w:cs="Times New Roman"/>
                <w:sz w:val="18"/>
                <w:lang w:val="en-GB"/>
              </w:rPr>
              <w:t>: reduce SP-SD to 1 s (from a baseline of 4 or 2 s)</w:t>
            </w:r>
          </w:p>
          <w:p w:rsidR="009258E3" w:rsidRPr="00632CFA" w:rsidRDefault="009258E3" w:rsidP="009258E3">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Pr>
                <w:rFonts w:ascii="Times New Roman" w:hAnsi="Times New Roman" w:cs="Times New Roman"/>
                <w:sz w:val="18"/>
                <w:lang w:val="en-GB"/>
              </w:rPr>
              <w:t>Use challenges esp. when conducting potentially WM-enhancing manipulations (e.g. pharmacology)</w:t>
            </w:r>
          </w:p>
        </w:tc>
        <w:tc>
          <w:tcPr>
            <w:tcW w:w="2821" w:type="dxa"/>
          </w:tcPr>
          <w:p w:rsidR="00AC4722" w:rsidRDefault="009258E3" w:rsidP="00632CFA">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Pr>
                <w:rFonts w:ascii="Times New Roman" w:hAnsi="Times New Roman" w:cs="Times New Roman"/>
                <w:sz w:val="18"/>
                <w:lang w:val="en-GB"/>
              </w:rPr>
              <w:t xml:space="preserve">Delay challenges are key, but animals </w:t>
            </w:r>
            <w:r w:rsidR="009D1A0A">
              <w:rPr>
                <w:rFonts w:ascii="Times New Roman" w:hAnsi="Times New Roman" w:cs="Times New Roman"/>
                <w:sz w:val="18"/>
                <w:lang w:val="en-GB"/>
              </w:rPr>
              <w:t>may</w:t>
            </w:r>
            <w:r>
              <w:rPr>
                <w:rFonts w:ascii="Times New Roman" w:hAnsi="Times New Roman" w:cs="Times New Roman"/>
                <w:sz w:val="18"/>
                <w:lang w:val="en-GB"/>
              </w:rPr>
              <w:t xml:space="preserve"> adapt to it upon multiple replications</w:t>
            </w:r>
          </w:p>
          <w:p w:rsidR="00BB2C66" w:rsidRDefault="00BB2C66" w:rsidP="00632CFA">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Pr>
                <w:rFonts w:ascii="Times New Roman" w:hAnsi="Times New Roman" w:cs="Times New Roman"/>
                <w:sz w:val="18"/>
                <w:lang w:val="en-GB"/>
              </w:rPr>
              <w:t>Adding more CP-configurations (pairs of holes) &amp; proximity do not have a strong challenging effect after Stage 3</w:t>
            </w:r>
          </w:p>
          <w:p w:rsidR="009258E3" w:rsidRPr="00BB2C66" w:rsidRDefault="009258E3" w:rsidP="00BB2C66">
            <w:pPr>
              <w:pStyle w:val="ListParagraph"/>
              <w:numPr>
                <w:ilvl w:val="0"/>
                <w:numId w:val="21"/>
              </w:numPr>
              <w:spacing w:after="0" w:line="240" w:lineRule="auto"/>
              <w:ind w:left="176" w:hanging="142"/>
              <w:cnfStyle w:val="000000100000"/>
              <w:rPr>
                <w:rFonts w:ascii="Times New Roman" w:hAnsi="Times New Roman" w:cs="Times New Roman"/>
                <w:sz w:val="18"/>
                <w:lang w:val="en-GB"/>
              </w:rPr>
            </w:pPr>
            <w:r>
              <w:rPr>
                <w:rFonts w:ascii="Times New Roman" w:hAnsi="Times New Roman" w:cs="Times New Roman"/>
                <w:sz w:val="18"/>
                <w:lang w:val="en-GB"/>
              </w:rPr>
              <w:t xml:space="preserve">For distraction, monitor orienting response as older mice might be deaf; don’t use </w:t>
            </w:r>
            <w:r w:rsidR="00243A9B">
              <w:rPr>
                <w:rFonts w:ascii="Times New Roman" w:hAnsi="Times New Roman" w:cs="Times New Roman"/>
                <w:sz w:val="18"/>
                <w:lang w:val="en-GB"/>
              </w:rPr>
              <w:t>illumination of all 5 holes as</w:t>
            </w:r>
            <w:r>
              <w:rPr>
                <w:rFonts w:ascii="Times New Roman" w:hAnsi="Times New Roman" w:cs="Times New Roman"/>
                <w:sz w:val="18"/>
                <w:lang w:val="en-GB"/>
              </w:rPr>
              <w:t xml:space="preserve"> distraction, as it is mist</w:t>
            </w:r>
            <w:r w:rsidR="00243A9B">
              <w:rPr>
                <w:rFonts w:ascii="Times New Roman" w:hAnsi="Times New Roman" w:cs="Times New Roman"/>
                <w:sz w:val="18"/>
                <w:lang w:val="en-GB"/>
              </w:rPr>
              <w:t xml:space="preserve">aken as </w:t>
            </w:r>
            <w:r>
              <w:rPr>
                <w:rFonts w:ascii="Times New Roman" w:hAnsi="Times New Roman" w:cs="Times New Roman"/>
                <w:sz w:val="18"/>
                <w:lang w:val="en-GB"/>
              </w:rPr>
              <w:t>G</w:t>
            </w:r>
            <w:r w:rsidR="00243A9B">
              <w:rPr>
                <w:rFonts w:ascii="Times New Roman" w:hAnsi="Times New Roman" w:cs="Times New Roman"/>
                <w:sz w:val="18"/>
                <w:lang w:val="en-GB"/>
              </w:rPr>
              <w:t>O</w:t>
            </w:r>
            <w:r>
              <w:rPr>
                <w:rFonts w:ascii="Times New Roman" w:hAnsi="Times New Roman" w:cs="Times New Roman"/>
                <w:sz w:val="18"/>
                <w:lang w:val="en-GB"/>
              </w:rPr>
              <w:t xml:space="preserve">-signal (i.e. </w:t>
            </w:r>
            <w:r w:rsidR="00243A9B">
              <w:rPr>
                <w:rFonts w:ascii="Times New Roman" w:hAnsi="Times New Roman" w:cs="Times New Roman"/>
                <w:sz w:val="18"/>
                <w:lang w:val="en-GB"/>
              </w:rPr>
              <w:t>a</w:t>
            </w:r>
            <w:r>
              <w:rPr>
                <w:rFonts w:ascii="Times New Roman" w:hAnsi="Times New Roman" w:cs="Times New Roman"/>
                <w:sz w:val="18"/>
                <w:lang w:val="en-GB"/>
              </w:rPr>
              <w:t xml:space="preserve"> CP)</w:t>
            </w:r>
          </w:p>
        </w:tc>
      </w:tr>
    </w:tbl>
    <w:p w:rsidR="001830D9" w:rsidRPr="00BB2C66" w:rsidRDefault="001830D9" w:rsidP="00A97498">
      <w:pPr>
        <w:rPr>
          <w:sz w:val="24"/>
          <w:lang w:val="en-GB"/>
        </w:rPr>
      </w:pPr>
      <w:r w:rsidRPr="00BB2C66">
        <w:rPr>
          <w:b/>
          <w:sz w:val="24"/>
          <w:lang w:val="en-GB"/>
        </w:rPr>
        <w:t xml:space="preserve">Supplementary Table 2. </w:t>
      </w:r>
      <w:r w:rsidR="00243A9B" w:rsidRPr="00BB2C66">
        <w:rPr>
          <w:b/>
          <w:sz w:val="24"/>
          <w:lang w:val="en-GB"/>
        </w:rPr>
        <w:t>Training schedule and c</w:t>
      </w:r>
      <w:r w:rsidRPr="00BB2C66">
        <w:rPr>
          <w:b/>
          <w:sz w:val="24"/>
          <w:lang w:val="en-GB"/>
        </w:rPr>
        <w:t>hecklist for setting up the 5-CSWM task.</w:t>
      </w:r>
      <w:r w:rsidR="00243A9B" w:rsidRPr="00BB2C66">
        <w:rPr>
          <w:b/>
          <w:sz w:val="24"/>
          <w:lang w:val="en-GB"/>
        </w:rPr>
        <w:t xml:space="preserve"> </w:t>
      </w:r>
      <w:r w:rsidR="00243A9B" w:rsidRPr="00BB2C66">
        <w:rPr>
          <w:sz w:val="24"/>
          <w:lang w:val="en-GB"/>
        </w:rPr>
        <w:t>The training stages are listed in the order of their succession during the training of a cohort, with the main parameters and instructions for their conduct (middle column) and important points to be aware off (right column). Note that multiple other challenges might be tried, e.g. using more than 2 illuminated holes as CP-configurations (might need to be explicitly trained though), combinations of the challenges</w:t>
      </w:r>
      <w:r w:rsidR="00243A9B" w:rsidRPr="00BB2C66">
        <w:rPr>
          <w:rFonts w:cs="Times New Roman"/>
          <w:sz w:val="24"/>
          <w:szCs w:val="24"/>
          <w:lang w:val="en-GB"/>
        </w:rPr>
        <w:t xml:space="preserve">, or variable delays within one session. For data acquisition, ensure that for the </w:t>
      </w:r>
      <w:r w:rsidR="00243A9B" w:rsidRPr="00BB2C66">
        <w:rPr>
          <w:rFonts w:cs="Times New Roman"/>
          <w:i/>
          <w:sz w:val="24"/>
          <w:szCs w:val="24"/>
          <w:lang w:val="en-GB"/>
        </w:rPr>
        <w:t>sample phase</w:t>
      </w:r>
      <w:r w:rsidR="00243A9B" w:rsidRPr="00BB2C66">
        <w:rPr>
          <w:rFonts w:cs="Times New Roman"/>
          <w:sz w:val="24"/>
          <w:szCs w:val="24"/>
          <w:lang w:val="en-GB"/>
        </w:rPr>
        <w:t xml:space="preserve"> </w:t>
      </w:r>
      <w:r w:rsidR="00243A9B" w:rsidRPr="00BB2C66">
        <w:rPr>
          <w:rFonts w:cs="Times New Roman"/>
          <w:sz w:val="24"/>
          <w:szCs w:val="24"/>
          <w:lang w:val="en-US"/>
        </w:rPr>
        <w:t xml:space="preserve">number of total, correct, incorrect and omitted trials, reward and response latencies (the latter separately for incorrect and correct trials), and for the </w:t>
      </w:r>
      <w:r w:rsidR="00243A9B" w:rsidRPr="00BB2C66">
        <w:rPr>
          <w:rFonts w:cs="Times New Roman"/>
          <w:i/>
          <w:sz w:val="24"/>
          <w:szCs w:val="24"/>
          <w:lang w:val="en-US"/>
        </w:rPr>
        <w:t>choice phase</w:t>
      </w:r>
      <w:r w:rsidR="00243A9B" w:rsidRPr="00BB2C66">
        <w:rPr>
          <w:rFonts w:cs="Times New Roman"/>
          <w:sz w:val="24"/>
          <w:szCs w:val="24"/>
          <w:lang w:val="en-US"/>
        </w:rPr>
        <w:t xml:space="preserve"> number of total, correct, incorrect (separately for response to illuminated and non-illuminated holes) and omitted trials, reward and response latencies (separately for incorrect and correct trials), and premature responses (separately for incorrect and correct CPs) are recorded.</w:t>
      </w:r>
      <w:r w:rsidR="00C40C00" w:rsidRPr="00BB2C66">
        <w:rPr>
          <w:rFonts w:cs="Times New Roman"/>
          <w:sz w:val="24"/>
          <w:szCs w:val="24"/>
          <w:lang w:val="en-US"/>
        </w:rPr>
        <w:t xml:space="preserve"> </w:t>
      </w:r>
      <w:r w:rsidR="00C40C00" w:rsidRPr="00BB2C66">
        <w:rPr>
          <w:rFonts w:cs="Times New Roman"/>
          <w:i/>
          <w:sz w:val="24"/>
          <w:szCs w:val="24"/>
          <w:lang w:val="en-US"/>
        </w:rPr>
        <w:t>Abbreviations:</w:t>
      </w:r>
      <w:r w:rsidR="00C40C00" w:rsidRPr="00BB2C66">
        <w:rPr>
          <w:rFonts w:cs="Times New Roman"/>
          <w:sz w:val="24"/>
          <w:szCs w:val="24"/>
          <w:lang w:val="en-US"/>
        </w:rPr>
        <w:t xml:space="preserve"> CP, choice phase; FFW, free-feeding weight (baseline weight established before food deprivation); ITI, inter-trial interval; SD, stimulus duration; SP, sample phase.</w:t>
      </w:r>
    </w:p>
    <w:p w:rsidR="001830D9" w:rsidRDefault="001830D9" w:rsidP="00A97498">
      <w:pPr>
        <w:rPr>
          <w:sz w:val="24"/>
          <w:lang w:val="en-GB"/>
        </w:rPr>
      </w:pPr>
    </w:p>
    <w:p w:rsidR="00BB2C66" w:rsidRDefault="00BB2C66">
      <w:pPr>
        <w:spacing w:line="276" w:lineRule="auto"/>
        <w:jc w:val="left"/>
        <w:rPr>
          <w:rFonts w:eastAsia="Times New Roman" w:cs="Times New Roman"/>
          <w:b/>
          <w:bCs/>
          <w:kern w:val="36"/>
          <w:sz w:val="28"/>
          <w:szCs w:val="48"/>
          <w:lang w:val="en-GB" w:eastAsia="de-DE"/>
        </w:rPr>
      </w:pPr>
      <w:r>
        <w:rPr>
          <w:lang w:val="en-GB"/>
        </w:rPr>
        <w:br w:type="page"/>
      </w:r>
    </w:p>
    <w:p w:rsidR="004D78BB" w:rsidRDefault="004D78BB" w:rsidP="004D78BB">
      <w:pPr>
        <w:pStyle w:val="Heading1"/>
        <w:rPr>
          <w:lang w:val="en-GB"/>
        </w:rPr>
      </w:pPr>
      <w:r>
        <w:rPr>
          <w:lang w:val="en-GB"/>
        </w:rPr>
        <w:t>Supplementary References</w:t>
      </w:r>
    </w:p>
    <w:p w:rsidR="005018F8" w:rsidRPr="005018F8" w:rsidRDefault="004100F7" w:rsidP="005018F8">
      <w:pPr>
        <w:pStyle w:val="Bibliography"/>
        <w:rPr>
          <w:rFonts w:cs="Times New Roman"/>
          <w:sz w:val="24"/>
          <w:lang w:val="en-GB"/>
        </w:rPr>
      </w:pPr>
      <w:r w:rsidRPr="004100F7">
        <w:rPr>
          <w:lang w:val="en-GB"/>
        </w:rPr>
        <w:fldChar w:fldCharType="begin"/>
      </w:r>
      <w:r w:rsidR="005018F8">
        <w:rPr>
          <w:lang w:val="en-GB"/>
        </w:rPr>
        <w:instrText xml:space="preserve"> ADDIN ZOTERO_BIBL {"custom":[]} CSL_BIBLIOGRAPHY </w:instrText>
      </w:r>
      <w:r w:rsidRPr="004100F7">
        <w:rPr>
          <w:lang w:val="en-GB"/>
        </w:rPr>
        <w:fldChar w:fldCharType="separate"/>
      </w:r>
      <w:r w:rsidR="005018F8" w:rsidRPr="005018F8">
        <w:rPr>
          <w:rFonts w:cs="Times New Roman"/>
          <w:sz w:val="24"/>
          <w:lang w:val="en-GB"/>
        </w:rPr>
        <w:t xml:space="preserve">Béracochéa, D., Cagnard, B., Célérier, A., le Merrer, J., Pérès, M., and Piérard, C. (2001). First evidence of a delay-dependent working memory-enhancing effect of modafinil in mice. </w:t>
      </w:r>
      <w:r w:rsidR="005018F8" w:rsidRPr="005018F8">
        <w:rPr>
          <w:rFonts w:cs="Times New Roman"/>
          <w:i/>
          <w:iCs/>
          <w:sz w:val="24"/>
          <w:lang w:val="en-GB"/>
        </w:rPr>
        <w:t>Neuroreport</w:t>
      </w:r>
      <w:r w:rsidR="005018F8" w:rsidRPr="005018F8">
        <w:rPr>
          <w:rFonts w:cs="Times New Roman"/>
          <w:sz w:val="24"/>
          <w:lang w:val="en-GB"/>
        </w:rPr>
        <w:t xml:space="preserve"> 12, 375–8.</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Bygrave, A. M., Masiulis, S., Nicholson, E., Berkemann, M., Sprengel, R., Harrison, P., et al. (2016). Knockout of NMDA-receptors from parvalbumin interneurons sensitizes to schizophrenia-related deficits induced by MK-801. </w:t>
      </w:r>
      <w:r w:rsidRPr="005018F8">
        <w:rPr>
          <w:rFonts w:cs="Times New Roman"/>
          <w:i/>
          <w:iCs/>
          <w:sz w:val="24"/>
          <w:lang w:val="en-GB"/>
        </w:rPr>
        <w:t>Transl. Psychiatry</w:t>
      </w:r>
      <w:r w:rsidRPr="005018F8">
        <w:rPr>
          <w:rFonts w:cs="Times New Roman"/>
          <w:sz w:val="24"/>
          <w:lang w:val="en-GB"/>
        </w:rPr>
        <w:t xml:space="preserve"> 6, e778.</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Chudasama, Y., Dalley, J. W., Nathwani, F., Bouger, P., and Robbins, T. W. (2004). Cholinergic modulation of visual attention and working memory: dissociable effects of basal forebrain 192 IgG-saporin, lesions and intraprefrontal infusion of scopolamine. </w:t>
      </w:r>
      <w:r w:rsidRPr="005018F8">
        <w:rPr>
          <w:rFonts w:cs="Times New Roman"/>
          <w:i/>
          <w:iCs/>
          <w:sz w:val="24"/>
          <w:lang w:val="en-GB"/>
        </w:rPr>
        <w:t>Learn. Mem.</w:t>
      </w:r>
      <w:r w:rsidRPr="005018F8">
        <w:rPr>
          <w:rFonts w:cs="Times New Roman"/>
          <w:sz w:val="24"/>
          <w:lang w:val="en-GB"/>
        </w:rPr>
        <w:t xml:space="preserve"> 11, 78–86. doi:10.1101/lm.70904.such.</w:t>
      </w:r>
    </w:p>
    <w:p w:rsidR="005018F8" w:rsidRPr="00362BB8" w:rsidRDefault="005018F8" w:rsidP="005018F8">
      <w:pPr>
        <w:pStyle w:val="Bibliography"/>
        <w:rPr>
          <w:rFonts w:cs="Times New Roman"/>
          <w:sz w:val="24"/>
          <w:lang w:val="en-GB"/>
        </w:rPr>
      </w:pPr>
      <w:r w:rsidRPr="005018F8">
        <w:rPr>
          <w:rFonts w:cs="Times New Roman"/>
          <w:sz w:val="24"/>
          <w:lang w:val="en-GB"/>
        </w:rPr>
        <w:t xml:space="preserve">Chudasama, Y., Nathwani, F., and Robbins, T. W. (2005). d-Amphetamine remediates attentional performance in rats with dorsal prefrontal lesions. </w:t>
      </w:r>
      <w:r w:rsidRPr="00362BB8">
        <w:rPr>
          <w:rFonts w:cs="Times New Roman"/>
          <w:i/>
          <w:iCs/>
          <w:sz w:val="24"/>
          <w:lang w:val="en-GB"/>
        </w:rPr>
        <w:t>Behav. Brain Res.</w:t>
      </w:r>
      <w:r w:rsidRPr="00362BB8">
        <w:rPr>
          <w:rFonts w:cs="Times New Roman"/>
          <w:sz w:val="24"/>
          <w:lang w:val="en-GB"/>
        </w:rPr>
        <w:t xml:space="preserve"> 158, 97–107.</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Chudasama, Y., and Robbins, T. W. (2004). Dopaminergic Modulation of Visual Attention and Working Memory in the Rodent Prefrontal Cortex. </w:t>
      </w:r>
      <w:r w:rsidRPr="005018F8">
        <w:rPr>
          <w:rFonts w:cs="Times New Roman"/>
          <w:i/>
          <w:iCs/>
          <w:sz w:val="24"/>
          <w:lang w:val="en-GB"/>
        </w:rPr>
        <w:t>Neuropsychopharmacology</w:t>
      </w:r>
      <w:r w:rsidRPr="005018F8">
        <w:rPr>
          <w:rFonts w:cs="Times New Roman"/>
          <w:sz w:val="24"/>
          <w:lang w:val="en-GB"/>
        </w:rPr>
        <w:t xml:space="preserve"> 29, 1628–1636. doi:10.1038/sj.npp.1300490.</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Franowicz, J. S., Kessler, L. E., Borja, C. M. D., Kobilka, B. K., Limbird, L. E., and Arnsten, A. F. T. (2002). Mutation of the </w:t>
      </w:r>
      <w:r w:rsidRPr="005018F8">
        <w:rPr>
          <w:rFonts w:cs="Times New Roman"/>
          <w:sz w:val="24"/>
        </w:rPr>
        <w:t>α</w:t>
      </w:r>
      <w:r w:rsidRPr="005018F8">
        <w:rPr>
          <w:rFonts w:cs="Times New Roman"/>
          <w:sz w:val="24"/>
          <w:lang w:val="en-GB"/>
        </w:rPr>
        <w:t xml:space="preserve">2A-Adrenoceptor Impairs Working Memory Performance and Annuls Cognitive Enhancement by Guanfacine. </w:t>
      </w:r>
      <w:r w:rsidRPr="005018F8">
        <w:rPr>
          <w:rFonts w:cs="Times New Roman"/>
          <w:i/>
          <w:iCs/>
          <w:sz w:val="24"/>
          <w:lang w:val="en-GB"/>
        </w:rPr>
        <w:t>J. Neurosci.</w:t>
      </w:r>
      <w:r w:rsidRPr="005018F8">
        <w:rPr>
          <w:rFonts w:cs="Times New Roman"/>
          <w:sz w:val="24"/>
          <w:lang w:val="en-GB"/>
        </w:rPr>
        <w:t xml:space="preserve"> 22, 8771–8777.</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Gastambide, F., Gilmour, G., Robbins, T. W., and Tricklebank, M. D. (2013). The mGlu5 positive allosteric modulator LSN2463359 differentially modulates motor, instrumental and cognitive effects of NMDA receptor antagonists in the rat. </w:t>
      </w:r>
      <w:r w:rsidRPr="005018F8">
        <w:rPr>
          <w:rFonts w:cs="Times New Roman"/>
          <w:i/>
          <w:iCs/>
          <w:sz w:val="24"/>
          <w:lang w:val="en-GB"/>
        </w:rPr>
        <w:t>Neuropharmacology</w:t>
      </w:r>
      <w:r w:rsidRPr="005018F8">
        <w:rPr>
          <w:rFonts w:cs="Times New Roman"/>
          <w:sz w:val="24"/>
          <w:lang w:val="en-GB"/>
        </w:rPr>
        <w:t xml:space="preserve"> 64, 240–247. doi:10.1016/j.neuropharm.2012.07.039.</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Gilmour, G., Broad, L. M., Wafford, K. A., Britton, T., Colvin, E. M., Fivush, A., et al. (2013). In vitro characterisation of the novel positive allosteric modulators of the mGlu5 receptor, LSN2463359 and LSN2814617, and their effects on sleep architecture and operant responding in the rat. </w:t>
      </w:r>
      <w:r w:rsidRPr="005018F8">
        <w:rPr>
          <w:rFonts w:cs="Times New Roman"/>
          <w:i/>
          <w:iCs/>
          <w:sz w:val="24"/>
          <w:lang w:val="en-GB"/>
        </w:rPr>
        <w:t>Neuropharmacology</w:t>
      </w:r>
      <w:r w:rsidRPr="005018F8">
        <w:rPr>
          <w:rFonts w:cs="Times New Roman"/>
          <w:sz w:val="24"/>
          <w:lang w:val="en-GB"/>
        </w:rPr>
        <w:t xml:space="preserve"> 64, 224–239. doi:10.1016/j.neuropharm.2012.07.030.</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González, B., Raineri, M., Cadet, J. L., García-Rill, E., Urbano, F. J., and Bisagno, V. (2014). Modafinil improves methamphetamine-induced object recognition deficits and restores prefrontal cortex ERK signaling in mice. </w:t>
      </w:r>
      <w:r w:rsidRPr="005018F8">
        <w:rPr>
          <w:rFonts w:cs="Times New Roman"/>
          <w:i/>
          <w:iCs/>
          <w:sz w:val="24"/>
          <w:lang w:val="en-GB"/>
        </w:rPr>
        <w:t>Neuropharmacology</w:t>
      </w:r>
      <w:r w:rsidRPr="005018F8">
        <w:rPr>
          <w:rFonts w:cs="Times New Roman"/>
          <w:sz w:val="24"/>
          <w:lang w:val="en-GB"/>
        </w:rPr>
        <w:t>. doi:10.1016/j.neuropharm.2014.02.002.</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Grimm, C. M., Aksamaz, S., Schulz, S., Teutsch, J., Sicinski, P., Liss, B., et al. (2018). Schizophrenia-related cognitive dysfunction in the Cyclin-D2 knockout mouse model of ventral hippocampal hyperactivity. </w:t>
      </w:r>
      <w:r w:rsidRPr="005018F8">
        <w:rPr>
          <w:rFonts w:cs="Times New Roman"/>
          <w:i/>
          <w:iCs/>
          <w:sz w:val="24"/>
          <w:lang w:val="en-GB"/>
        </w:rPr>
        <w:t>Transl. Psychiatry</w:t>
      </w:r>
      <w:r w:rsidRPr="005018F8">
        <w:rPr>
          <w:rFonts w:cs="Times New Roman"/>
          <w:sz w:val="24"/>
          <w:lang w:val="en-GB"/>
        </w:rPr>
        <w:t xml:space="preserve"> 8, 212. doi:10.1038/s41398-018-0268-6.</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Kellendonk, C., Simpson, E. H., and Kandel, E. R. (2009). Modeling cognitive endophenotypes of schizophrenia in mice. </w:t>
      </w:r>
      <w:r w:rsidRPr="005018F8">
        <w:rPr>
          <w:rFonts w:cs="Times New Roman"/>
          <w:i/>
          <w:iCs/>
          <w:sz w:val="24"/>
          <w:lang w:val="en-GB"/>
        </w:rPr>
        <w:t>Trends Neurosci.</w:t>
      </w:r>
      <w:r w:rsidRPr="005018F8">
        <w:rPr>
          <w:rFonts w:cs="Times New Roman"/>
          <w:sz w:val="24"/>
          <w:lang w:val="en-GB"/>
        </w:rPr>
        <w:t xml:space="preserve"> 32, 347–58. doi:10.1016/j.tins.2009.02.003.</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Morgan, R. E., Crowley, J. M., Smith, R. H., LaRoche, R. B., and Dopheide, M. M. (2007). Modafinil improves attention, inhibitory control, and reaction time in healthy, middle-aged rats. </w:t>
      </w:r>
      <w:r w:rsidRPr="005018F8">
        <w:rPr>
          <w:rFonts w:cs="Times New Roman"/>
          <w:i/>
          <w:iCs/>
          <w:sz w:val="24"/>
          <w:lang w:val="en-GB"/>
        </w:rPr>
        <w:t>Pharmacol. Biochem. Behav.</w:t>
      </w:r>
      <w:r w:rsidRPr="005018F8">
        <w:rPr>
          <w:rFonts w:cs="Times New Roman"/>
          <w:sz w:val="24"/>
          <w:lang w:val="en-GB"/>
        </w:rPr>
        <w:t xml:space="preserve"> 86, 531–541. doi:10.1016/j.pbb.2007.01.015.</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Murphy, H. M., Ekstrand, D., Tarchick, M., and Wideman, C. H. (2015). Modafinil as a cognitive enhancer of spatial working memory in rats. </w:t>
      </w:r>
      <w:r w:rsidRPr="005018F8">
        <w:rPr>
          <w:rFonts w:cs="Times New Roman"/>
          <w:i/>
          <w:iCs/>
          <w:sz w:val="24"/>
          <w:lang w:val="en-GB"/>
        </w:rPr>
        <w:t>Physiol. Behav.</w:t>
      </w:r>
      <w:r w:rsidRPr="005018F8">
        <w:rPr>
          <w:rFonts w:cs="Times New Roman"/>
          <w:sz w:val="24"/>
          <w:lang w:val="en-GB"/>
        </w:rPr>
        <w:t xml:space="preserve"> 142, 126–130. doi:10.1016/j.physbeh.2015.02.003.</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Piérard, C., Liscia, P., Philippin, J.-N., Mons, N., Lafon, T., Chauveau, F., et al. (2007). Modafinil restores memory performance and neural activity impaired by sleep deprivation in mice. </w:t>
      </w:r>
      <w:r w:rsidRPr="005018F8">
        <w:rPr>
          <w:rFonts w:cs="Times New Roman"/>
          <w:i/>
          <w:iCs/>
          <w:sz w:val="24"/>
          <w:lang w:val="en-GB"/>
        </w:rPr>
        <w:t>Pharmacol. Biochem. Behav.</w:t>
      </w:r>
      <w:r w:rsidRPr="005018F8">
        <w:rPr>
          <w:rFonts w:cs="Times New Roman"/>
          <w:sz w:val="24"/>
          <w:lang w:val="en-GB"/>
        </w:rPr>
        <w:t xml:space="preserve"> 88, 55–63. doi:10.1016/j.pbb.2007.07.006.</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Pillidge, K., Porter, A. J., Dudley, J. A., Tsai, Y.-C., Heal, D. J., and Stanford, S. C. (2014). The behavioural response of mice lacking NK1 receptors to guanfacine resembles its clinical profile in treatment of ADHD. </w:t>
      </w:r>
      <w:r w:rsidRPr="005018F8">
        <w:rPr>
          <w:rFonts w:cs="Times New Roman"/>
          <w:i/>
          <w:iCs/>
          <w:sz w:val="24"/>
          <w:lang w:val="en-GB"/>
        </w:rPr>
        <w:t>Br. J. Pharmacol.</w:t>
      </w:r>
      <w:r w:rsidRPr="005018F8">
        <w:rPr>
          <w:rFonts w:cs="Times New Roman"/>
          <w:sz w:val="24"/>
          <w:lang w:val="en-GB"/>
        </w:rPr>
        <w:t xml:space="preserve"> 171, 4785–4796. doi:10.1111/bph.12860.</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Wolff, M., Benhassine, N., Costet, P., Hen, R., Segu, L., and Buhot, M.-C. (2003). Delay-Dependent Working Memory Impairment in Young-Adult and Aged 5-HT1BKO Mice as Assessed in a Radial-Arm Water Maze. </w:t>
      </w:r>
      <w:r w:rsidRPr="005018F8">
        <w:rPr>
          <w:rFonts w:cs="Times New Roman"/>
          <w:i/>
          <w:iCs/>
          <w:sz w:val="24"/>
          <w:lang w:val="en-GB"/>
        </w:rPr>
        <w:t>Learn. Mem.</w:t>
      </w:r>
      <w:r w:rsidRPr="005018F8">
        <w:rPr>
          <w:rFonts w:cs="Times New Roman"/>
          <w:sz w:val="24"/>
          <w:lang w:val="en-GB"/>
        </w:rPr>
        <w:t xml:space="preserve"> 10, 401–409. doi:10.1101/lm.60103.</w:t>
      </w:r>
    </w:p>
    <w:p w:rsidR="005018F8" w:rsidRPr="005018F8" w:rsidRDefault="005018F8" w:rsidP="005018F8">
      <w:pPr>
        <w:pStyle w:val="Bibliography"/>
        <w:rPr>
          <w:rFonts w:cs="Times New Roman"/>
          <w:sz w:val="24"/>
          <w:lang w:val="en-GB"/>
        </w:rPr>
      </w:pPr>
      <w:r w:rsidRPr="005018F8">
        <w:rPr>
          <w:rFonts w:cs="Times New Roman"/>
          <w:sz w:val="24"/>
          <w:lang w:val="en-GB"/>
        </w:rPr>
        <w:t xml:space="preserve">Young, J. W., Kooistra, K., and Geyer, M. A. (2011). Dopamine Receptor Mediation of the Exploratory/Hyperactivity Effects of Modafinil. </w:t>
      </w:r>
      <w:r w:rsidRPr="005018F8">
        <w:rPr>
          <w:rFonts w:cs="Times New Roman"/>
          <w:i/>
          <w:iCs/>
          <w:sz w:val="24"/>
          <w:lang w:val="en-GB"/>
        </w:rPr>
        <w:t>Neuropsychopharmacology</w:t>
      </w:r>
      <w:r w:rsidRPr="005018F8">
        <w:rPr>
          <w:rFonts w:cs="Times New Roman"/>
          <w:sz w:val="24"/>
          <w:lang w:val="en-GB"/>
        </w:rPr>
        <w:t xml:space="preserve"> 36, 1385–1396. doi:10.1038/npp.2011.23.</w:t>
      </w:r>
    </w:p>
    <w:p w:rsidR="005018F8" w:rsidRPr="005018F8" w:rsidRDefault="005018F8" w:rsidP="005018F8">
      <w:pPr>
        <w:pStyle w:val="Bibliography"/>
        <w:rPr>
          <w:rFonts w:cs="Times New Roman"/>
          <w:sz w:val="24"/>
        </w:rPr>
      </w:pPr>
      <w:r w:rsidRPr="005018F8">
        <w:rPr>
          <w:rFonts w:cs="Times New Roman"/>
          <w:sz w:val="24"/>
          <w:lang w:val="en-GB"/>
        </w:rPr>
        <w:t xml:space="preserve">Zhang, X.-H., Liu, S.-S., Yi, F., Zhuo, M., and Li, B.-M. (2013). Delay-dependent impairment of spatial working memory with inhibition of NR2B-containing NMDA receptors in hippocampal CA1 region of rats. </w:t>
      </w:r>
      <w:r w:rsidRPr="005018F8">
        <w:rPr>
          <w:rFonts w:cs="Times New Roman"/>
          <w:i/>
          <w:iCs/>
          <w:sz w:val="24"/>
        </w:rPr>
        <w:t>Mol. Brain</w:t>
      </w:r>
      <w:r w:rsidRPr="005018F8">
        <w:rPr>
          <w:rFonts w:cs="Times New Roman"/>
          <w:sz w:val="24"/>
        </w:rPr>
        <w:t xml:space="preserve"> 6, 13. doi:10.1186/1756-6606-6-13.</w:t>
      </w:r>
    </w:p>
    <w:p w:rsidR="004D78BB" w:rsidRPr="00A97498" w:rsidRDefault="004100F7" w:rsidP="00A97498">
      <w:pPr>
        <w:rPr>
          <w:sz w:val="24"/>
          <w:lang w:val="en-GB"/>
        </w:rPr>
      </w:pPr>
      <w:r>
        <w:rPr>
          <w:sz w:val="24"/>
          <w:lang w:val="en-GB"/>
        </w:rPr>
        <w:fldChar w:fldCharType="end"/>
      </w:r>
    </w:p>
    <w:p w:rsidR="000D49CD" w:rsidRPr="00A06659" w:rsidRDefault="000D49CD" w:rsidP="00A06659">
      <w:pPr>
        <w:spacing w:line="360" w:lineRule="auto"/>
        <w:rPr>
          <w:rFonts w:cs="Times New Roman"/>
          <w:lang w:val="en-GB"/>
        </w:rPr>
      </w:pPr>
    </w:p>
    <w:sectPr w:rsidR="000D49CD" w:rsidRPr="00A06659" w:rsidSect="007A7315">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7CA" w:rsidRDefault="00AE17CA" w:rsidP="00EC4F78">
      <w:pPr>
        <w:spacing w:after="0" w:line="240" w:lineRule="auto"/>
      </w:pPr>
      <w:r>
        <w:separator/>
      </w:r>
    </w:p>
  </w:endnote>
  <w:endnote w:type="continuationSeparator" w:id="0">
    <w:p w:rsidR="00AE17CA" w:rsidRDefault="00AE17CA" w:rsidP="00EC4F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9757907"/>
      <w:docPartObj>
        <w:docPartGallery w:val="Page Numbers (Bottom of Page)"/>
        <w:docPartUnique/>
      </w:docPartObj>
    </w:sdtPr>
    <w:sdtContent>
      <w:p w:rsidR="00E33830" w:rsidRDefault="004100F7">
        <w:pPr>
          <w:pStyle w:val="Footer"/>
          <w:jc w:val="center"/>
        </w:pPr>
        <w:fldSimple w:instr=" PAGE   \* MERGEFORMAT ">
          <w:r w:rsidR="00AE17CA">
            <w:rPr>
              <w:noProof/>
            </w:rPr>
            <w:t>1</w:t>
          </w:r>
        </w:fldSimple>
      </w:p>
    </w:sdtContent>
  </w:sdt>
  <w:p w:rsidR="00E33830" w:rsidRDefault="00E338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7CA" w:rsidRDefault="00AE17CA" w:rsidP="00EC4F78">
      <w:pPr>
        <w:spacing w:after="0" w:line="240" w:lineRule="auto"/>
      </w:pPr>
      <w:r>
        <w:separator/>
      </w:r>
    </w:p>
  </w:footnote>
  <w:footnote w:type="continuationSeparator" w:id="0">
    <w:p w:rsidR="00AE17CA" w:rsidRDefault="00AE17CA" w:rsidP="00EC4F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45ED2"/>
    <w:multiLevelType w:val="hybridMultilevel"/>
    <w:tmpl w:val="E71A73CC"/>
    <w:lvl w:ilvl="0" w:tplc="0809000F">
      <w:start w:val="1"/>
      <w:numFmt w:val="decimal"/>
      <w:lvlText w:val="%1."/>
      <w:lvlJc w:val="left"/>
      <w:pPr>
        <w:ind w:left="1512" w:hanging="360"/>
      </w:p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1">
    <w:nsid w:val="0DC45742"/>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nsid w:val="16B42E93"/>
    <w:multiLevelType w:val="hybridMultilevel"/>
    <w:tmpl w:val="FA149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335E5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992BD7"/>
    <w:multiLevelType w:val="multilevel"/>
    <w:tmpl w:val="0407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788" w:hanging="504"/>
      </w:p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B124F4"/>
    <w:multiLevelType w:val="hybridMultilevel"/>
    <w:tmpl w:val="0C7C5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D322BC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6402A25"/>
    <w:multiLevelType w:val="hybridMultilevel"/>
    <w:tmpl w:val="F25C6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1943AA"/>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
    <w:nsid w:val="2C4F026C"/>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
    <w:nsid w:val="2EDA308C"/>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1">
    <w:nsid w:val="2FA92F51"/>
    <w:multiLevelType w:val="hybridMultilevel"/>
    <w:tmpl w:val="885CC96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CE3052D"/>
    <w:multiLevelType w:val="hybridMultilevel"/>
    <w:tmpl w:val="F2B83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EDC4777"/>
    <w:multiLevelType w:val="hybridMultilevel"/>
    <w:tmpl w:val="B9A44FD0"/>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4">
    <w:nsid w:val="5E1E6973"/>
    <w:multiLevelType w:val="hybridMultilevel"/>
    <w:tmpl w:val="3DD2334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nsid w:val="6CCB7D1F"/>
    <w:multiLevelType w:val="hybridMultilevel"/>
    <w:tmpl w:val="70CA9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F252CF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19B1929"/>
    <w:multiLevelType w:val="multilevel"/>
    <w:tmpl w:val="0407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322322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92E2E19"/>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0">
    <w:nsid w:val="7B386D1A"/>
    <w:multiLevelType w:val="hybridMultilevel"/>
    <w:tmpl w:val="B8121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8"/>
  </w:num>
  <w:num w:numId="3">
    <w:abstractNumId w:val="11"/>
  </w:num>
  <w:num w:numId="4">
    <w:abstractNumId w:val="14"/>
  </w:num>
  <w:num w:numId="5">
    <w:abstractNumId w:val="4"/>
  </w:num>
  <w:num w:numId="6">
    <w:abstractNumId w:val="16"/>
  </w:num>
  <w:num w:numId="7">
    <w:abstractNumId w:val="7"/>
  </w:num>
  <w:num w:numId="8">
    <w:abstractNumId w:val="0"/>
  </w:num>
  <w:num w:numId="9">
    <w:abstractNumId w:val="20"/>
  </w:num>
  <w:num w:numId="10">
    <w:abstractNumId w:val="13"/>
  </w:num>
  <w:num w:numId="11">
    <w:abstractNumId w:val="8"/>
  </w:num>
  <w:num w:numId="12">
    <w:abstractNumId w:val="3"/>
  </w:num>
  <w:num w:numId="13">
    <w:abstractNumId w:val="2"/>
  </w:num>
  <w:num w:numId="14">
    <w:abstractNumId w:val="19"/>
  </w:num>
  <w:num w:numId="15">
    <w:abstractNumId w:val="10"/>
  </w:num>
  <w:num w:numId="16">
    <w:abstractNumId w:val="1"/>
  </w:num>
  <w:num w:numId="17">
    <w:abstractNumId w:val="9"/>
  </w:num>
  <w:num w:numId="18">
    <w:abstractNumId w:val="17"/>
  </w:num>
  <w:num w:numId="19">
    <w:abstractNumId w:val="15"/>
  </w:num>
  <w:num w:numId="20">
    <w:abstractNumId w:val="12"/>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EC4032"/>
    <w:rsid w:val="00022C50"/>
    <w:rsid w:val="00037BEB"/>
    <w:rsid w:val="0004164D"/>
    <w:rsid w:val="000759BE"/>
    <w:rsid w:val="000767EF"/>
    <w:rsid w:val="00083399"/>
    <w:rsid w:val="00091693"/>
    <w:rsid w:val="00093154"/>
    <w:rsid w:val="00096C15"/>
    <w:rsid w:val="000A4DBF"/>
    <w:rsid w:val="000C6C4D"/>
    <w:rsid w:val="000D49CD"/>
    <w:rsid w:val="000E73CD"/>
    <w:rsid w:val="001022FE"/>
    <w:rsid w:val="001136B7"/>
    <w:rsid w:val="00132D27"/>
    <w:rsid w:val="0013435C"/>
    <w:rsid w:val="00136081"/>
    <w:rsid w:val="001534AC"/>
    <w:rsid w:val="001647C6"/>
    <w:rsid w:val="00170B9E"/>
    <w:rsid w:val="001830D9"/>
    <w:rsid w:val="00196566"/>
    <w:rsid w:val="001976B4"/>
    <w:rsid w:val="001A2156"/>
    <w:rsid w:val="001A3904"/>
    <w:rsid w:val="001A3E11"/>
    <w:rsid w:val="001A644A"/>
    <w:rsid w:val="001B269E"/>
    <w:rsid w:val="001B43CB"/>
    <w:rsid w:val="001D5838"/>
    <w:rsid w:val="00200EE1"/>
    <w:rsid w:val="00205173"/>
    <w:rsid w:val="00211713"/>
    <w:rsid w:val="00243A9B"/>
    <w:rsid w:val="0025229C"/>
    <w:rsid w:val="00252DE9"/>
    <w:rsid w:val="00255568"/>
    <w:rsid w:val="002709EF"/>
    <w:rsid w:val="002749D0"/>
    <w:rsid w:val="0029051E"/>
    <w:rsid w:val="002918DB"/>
    <w:rsid w:val="00291BBE"/>
    <w:rsid w:val="00293A52"/>
    <w:rsid w:val="002A0ABA"/>
    <w:rsid w:val="002A4883"/>
    <w:rsid w:val="002A5D7F"/>
    <w:rsid w:val="002B2B62"/>
    <w:rsid w:val="002C4E95"/>
    <w:rsid w:val="002D4964"/>
    <w:rsid w:val="002F380C"/>
    <w:rsid w:val="00300A18"/>
    <w:rsid w:val="00302403"/>
    <w:rsid w:val="00307263"/>
    <w:rsid w:val="003079A0"/>
    <w:rsid w:val="00317C5B"/>
    <w:rsid w:val="00325AB0"/>
    <w:rsid w:val="00340BE7"/>
    <w:rsid w:val="00345BE4"/>
    <w:rsid w:val="003519A1"/>
    <w:rsid w:val="00356A3C"/>
    <w:rsid w:val="00362BB8"/>
    <w:rsid w:val="00364114"/>
    <w:rsid w:val="0038363D"/>
    <w:rsid w:val="00390B8C"/>
    <w:rsid w:val="003A3DCD"/>
    <w:rsid w:val="003B452D"/>
    <w:rsid w:val="003B6C09"/>
    <w:rsid w:val="003D3AD4"/>
    <w:rsid w:val="003D68FF"/>
    <w:rsid w:val="003E4195"/>
    <w:rsid w:val="00401DD6"/>
    <w:rsid w:val="004100F7"/>
    <w:rsid w:val="00433B76"/>
    <w:rsid w:val="00462F6E"/>
    <w:rsid w:val="00474D4B"/>
    <w:rsid w:val="00476873"/>
    <w:rsid w:val="00483B97"/>
    <w:rsid w:val="004912FD"/>
    <w:rsid w:val="004B092D"/>
    <w:rsid w:val="004B3E80"/>
    <w:rsid w:val="004C6CD2"/>
    <w:rsid w:val="004D78BB"/>
    <w:rsid w:val="004F39DD"/>
    <w:rsid w:val="005018F8"/>
    <w:rsid w:val="005135D2"/>
    <w:rsid w:val="00516F16"/>
    <w:rsid w:val="0053064F"/>
    <w:rsid w:val="00562951"/>
    <w:rsid w:val="00596B3C"/>
    <w:rsid w:val="005A4C44"/>
    <w:rsid w:val="005B26BF"/>
    <w:rsid w:val="005B5DB3"/>
    <w:rsid w:val="005C6F23"/>
    <w:rsid w:val="005D0D40"/>
    <w:rsid w:val="005D3DF2"/>
    <w:rsid w:val="005E0BA9"/>
    <w:rsid w:val="005E0EE2"/>
    <w:rsid w:val="005F3287"/>
    <w:rsid w:val="00632CFA"/>
    <w:rsid w:val="00646744"/>
    <w:rsid w:val="00651062"/>
    <w:rsid w:val="00675CA6"/>
    <w:rsid w:val="00697C9B"/>
    <w:rsid w:val="006A1BFE"/>
    <w:rsid w:val="006A325F"/>
    <w:rsid w:val="006A3CCE"/>
    <w:rsid w:val="006D40A2"/>
    <w:rsid w:val="006E21E0"/>
    <w:rsid w:val="006F266E"/>
    <w:rsid w:val="006F4174"/>
    <w:rsid w:val="006F77AA"/>
    <w:rsid w:val="0070695E"/>
    <w:rsid w:val="007207D8"/>
    <w:rsid w:val="00732799"/>
    <w:rsid w:val="007548E7"/>
    <w:rsid w:val="00760DAC"/>
    <w:rsid w:val="0076326F"/>
    <w:rsid w:val="00773520"/>
    <w:rsid w:val="00780359"/>
    <w:rsid w:val="00786C88"/>
    <w:rsid w:val="00786E09"/>
    <w:rsid w:val="00794D67"/>
    <w:rsid w:val="007A7315"/>
    <w:rsid w:val="007C13CC"/>
    <w:rsid w:val="007F49F7"/>
    <w:rsid w:val="007F5AE4"/>
    <w:rsid w:val="007F6DF0"/>
    <w:rsid w:val="0083504A"/>
    <w:rsid w:val="00847456"/>
    <w:rsid w:val="0085656D"/>
    <w:rsid w:val="00864207"/>
    <w:rsid w:val="00870A81"/>
    <w:rsid w:val="00870E76"/>
    <w:rsid w:val="00873647"/>
    <w:rsid w:val="00894DA0"/>
    <w:rsid w:val="008A24FA"/>
    <w:rsid w:val="008A669C"/>
    <w:rsid w:val="008D4600"/>
    <w:rsid w:val="008E6695"/>
    <w:rsid w:val="00914391"/>
    <w:rsid w:val="009231FB"/>
    <w:rsid w:val="009258E3"/>
    <w:rsid w:val="0095279B"/>
    <w:rsid w:val="009552B4"/>
    <w:rsid w:val="009824E8"/>
    <w:rsid w:val="00984B82"/>
    <w:rsid w:val="009A61F9"/>
    <w:rsid w:val="009B7B06"/>
    <w:rsid w:val="009D1A0A"/>
    <w:rsid w:val="009F7E7E"/>
    <w:rsid w:val="00A009FB"/>
    <w:rsid w:val="00A06659"/>
    <w:rsid w:val="00A26D36"/>
    <w:rsid w:val="00A32A71"/>
    <w:rsid w:val="00A57602"/>
    <w:rsid w:val="00A630C9"/>
    <w:rsid w:val="00A71711"/>
    <w:rsid w:val="00A71F92"/>
    <w:rsid w:val="00A864FB"/>
    <w:rsid w:val="00A904C4"/>
    <w:rsid w:val="00A945D0"/>
    <w:rsid w:val="00A97498"/>
    <w:rsid w:val="00A97799"/>
    <w:rsid w:val="00AA47D9"/>
    <w:rsid w:val="00AC03F6"/>
    <w:rsid w:val="00AC2486"/>
    <w:rsid w:val="00AC4722"/>
    <w:rsid w:val="00AE17CA"/>
    <w:rsid w:val="00AE53C8"/>
    <w:rsid w:val="00AF50F2"/>
    <w:rsid w:val="00B0590E"/>
    <w:rsid w:val="00B100B0"/>
    <w:rsid w:val="00B157CB"/>
    <w:rsid w:val="00B17F3D"/>
    <w:rsid w:val="00B26338"/>
    <w:rsid w:val="00B26BDC"/>
    <w:rsid w:val="00B27695"/>
    <w:rsid w:val="00B355C5"/>
    <w:rsid w:val="00B41345"/>
    <w:rsid w:val="00B4443E"/>
    <w:rsid w:val="00B75958"/>
    <w:rsid w:val="00B85467"/>
    <w:rsid w:val="00BB2C66"/>
    <w:rsid w:val="00BB360C"/>
    <w:rsid w:val="00BC417D"/>
    <w:rsid w:val="00BD14CB"/>
    <w:rsid w:val="00C039F6"/>
    <w:rsid w:val="00C04A3C"/>
    <w:rsid w:val="00C069FE"/>
    <w:rsid w:val="00C40C00"/>
    <w:rsid w:val="00C435BB"/>
    <w:rsid w:val="00C43C25"/>
    <w:rsid w:val="00C51BCB"/>
    <w:rsid w:val="00C52293"/>
    <w:rsid w:val="00C55D4E"/>
    <w:rsid w:val="00C61359"/>
    <w:rsid w:val="00C855B1"/>
    <w:rsid w:val="00C877DB"/>
    <w:rsid w:val="00CA0530"/>
    <w:rsid w:val="00CB1CE3"/>
    <w:rsid w:val="00CC04D3"/>
    <w:rsid w:val="00CC32BC"/>
    <w:rsid w:val="00CC78D2"/>
    <w:rsid w:val="00CD4980"/>
    <w:rsid w:val="00D0538A"/>
    <w:rsid w:val="00D109AD"/>
    <w:rsid w:val="00D13986"/>
    <w:rsid w:val="00D209E1"/>
    <w:rsid w:val="00D258DC"/>
    <w:rsid w:val="00D35614"/>
    <w:rsid w:val="00D455CC"/>
    <w:rsid w:val="00D47F2C"/>
    <w:rsid w:val="00D572A3"/>
    <w:rsid w:val="00D73F68"/>
    <w:rsid w:val="00D76BDC"/>
    <w:rsid w:val="00DA11A1"/>
    <w:rsid w:val="00DA3763"/>
    <w:rsid w:val="00DA39DF"/>
    <w:rsid w:val="00DB1A6C"/>
    <w:rsid w:val="00DC06D4"/>
    <w:rsid w:val="00DC1A4A"/>
    <w:rsid w:val="00DC6A40"/>
    <w:rsid w:val="00DC77FA"/>
    <w:rsid w:val="00DD39CB"/>
    <w:rsid w:val="00DF090D"/>
    <w:rsid w:val="00DF3A44"/>
    <w:rsid w:val="00E11437"/>
    <w:rsid w:val="00E12C76"/>
    <w:rsid w:val="00E176E1"/>
    <w:rsid w:val="00E27DDB"/>
    <w:rsid w:val="00E33830"/>
    <w:rsid w:val="00E51D5D"/>
    <w:rsid w:val="00E53131"/>
    <w:rsid w:val="00E54811"/>
    <w:rsid w:val="00E65E3F"/>
    <w:rsid w:val="00E76599"/>
    <w:rsid w:val="00EA1AB5"/>
    <w:rsid w:val="00EA3001"/>
    <w:rsid w:val="00EA5DC3"/>
    <w:rsid w:val="00EB1C84"/>
    <w:rsid w:val="00EC3583"/>
    <w:rsid w:val="00EC4032"/>
    <w:rsid w:val="00EC4F78"/>
    <w:rsid w:val="00EF5AEB"/>
    <w:rsid w:val="00EF79E5"/>
    <w:rsid w:val="00F16A0F"/>
    <w:rsid w:val="00F20582"/>
    <w:rsid w:val="00F251E9"/>
    <w:rsid w:val="00F41150"/>
    <w:rsid w:val="00F42312"/>
    <w:rsid w:val="00F5129E"/>
    <w:rsid w:val="00F64246"/>
    <w:rsid w:val="00F74F57"/>
    <w:rsid w:val="00F82DE5"/>
    <w:rsid w:val="00FD444B"/>
    <w:rsid w:val="00FE68A3"/>
    <w:rsid w:val="00FF502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359"/>
    <w:pPr>
      <w:spacing w:line="480" w:lineRule="auto"/>
      <w:jc w:val="both"/>
    </w:pPr>
    <w:rPr>
      <w:rFonts w:ascii="Times New Roman" w:hAnsi="Times New Roman"/>
    </w:rPr>
  </w:style>
  <w:style w:type="paragraph" w:styleId="Heading1">
    <w:name w:val="heading 1"/>
    <w:basedOn w:val="Normal"/>
    <w:link w:val="Heading1Char"/>
    <w:uiPriority w:val="9"/>
    <w:qFormat/>
    <w:rsid w:val="00F20582"/>
    <w:pPr>
      <w:spacing w:before="100" w:beforeAutospacing="1" w:after="100" w:afterAutospacing="1" w:line="240" w:lineRule="auto"/>
      <w:outlineLvl w:val="0"/>
    </w:pPr>
    <w:rPr>
      <w:rFonts w:eastAsia="Times New Roman" w:cs="Times New Roman"/>
      <w:b/>
      <w:bCs/>
      <w:kern w:val="36"/>
      <w:sz w:val="28"/>
      <w:szCs w:val="48"/>
      <w:lang w:eastAsia="de-DE"/>
    </w:rPr>
  </w:style>
  <w:style w:type="paragraph" w:styleId="Heading2">
    <w:name w:val="heading 2"/>
    <w:basedOn w:val="Normal"/>
    <w:next w:val="Normal"/>
    <w:link w:val="Heading2Char"/>
    <w:uiPriority w:val="9"/>
    <w:unhideWhenUsed/>
    <w:qFormat/>
    <w:rsid w:val="00F20582"/>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2918DB"/>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B269E"/>
    <w:pPr>
      <w:keepNext/>
      <w:keepLines/>
      <w:spacing w:before="200" w:after="0" w:line="259" w:lineRule="auto"/>
      <w:jc w:val="left"/>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B269E"/>
    <w:pPr>
      <w:keepNext/>
      <w:keepLines/>
      <w:spacing w:before="200" w:after="0" w:line="259" w:lineRule="auto"/>
      <w:jc w:val="left"/>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582"/>
    <w:rPr>
      <w:rFonts w:ascii="Times New Roman" w:eastAsia="Times New Roman" w:hAnsi="Times New Roman" w:cs="Times New Roman"/>
      <w:b/>
      <w:bCs/>
      <w:kern w:val="36"/>
      <w:sz w:val="28"/>
      <w:szCs w:val="48"/>
      <w:lang w:eastAsia="de-DE"/>
    </w:rPr>
  </w:style>
  <w:style w:type="character" w:customStyle="1" w:styleId="Heading2Char">
    <w:name w:val="Heading 2 Char"/>
    <w:basedOn w:val="DefaultParagraphFont"/>
    <w:link w:val="Heading2"/>
    <w:uiPriority w:val="9"/>
    <w:rsid w:val="00F20582"/>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918DB"/>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B269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B269E"/>
    <w:rPr>
      <w:rFonts w:asciiTheme="majorHAnsi" w:eastAsiaTheme="majorEastAsia" w:hAnsiTheme="majorHAnsi" w:cstheme="majorBidi"/>
      <w:color w:val="243F60" w:themeColor="accent1" w:themeShade="7F"/>
    </w:rPr>
  </w:style>
  <w:style w:type="paragraph" w:styleId="Bibliography">
    <w:name w:val="Bibliography"/>
    <w:basedOn w:val="Normal"/>
    <w:next w:val="Normal"/>
    <w:uiPriority w:val="37"/>
    <w:unhideWhenUsed/>
    <w:rsid w:val="00B157CB"/>
    <w:pPr>
      <w:spacing w:after="240" w:line="240" w:lineRule="auto"/>
      <w:ind w:left="720" w:hanging="720"/>
    </w:pPr>
  </w:style>
  <w:style w:type="paragraph" w:styleId="Title">
    <w:name w:val="Title"/>
    <w:basedOn w:val="Normal"/>
    <w:next w:val="Normal"/>
    <w:link w:val="TitleChar"/>
    <w:uiPriority w:val="10"/>
    <w:qFormat/>
    <w:rsid w:val="00B17F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7F3D"/>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A06659"/>
    <w:rPr>
      <w:sz w:val="16"/>
      <w:szCs w:val="16"/>
    </w:rPr>
  </w:style>
  <w:style w:type="paragraph" w:styleId="CommentText">
    <w:name w:val="annotation text"/>
    <w:basedOn w:val="Normal"/>
    <w:link w:val="CommentTextChar"/>
    <w:uiPriority w:val="99"/>
    <w:semiHidden/>
    <w:unhideWhenUsed/>
    <w:rsid w:val="00A06659"/>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A06659"/>
    <w:rPr>
      <w:rFonts w:ascii="Times New Roman" w:hAnsi="Times New Roman"/>
      <w:sz w:val="20"/>
      <w:szCs w:val="20"/>
      <w:lang w:val="en-GB"/>
    </w:rPr>
  </w:style>
  <w:style w:type="paragraph" w:styleId="BalloonText">
    <w:name w:val="Balloon Text"/>
    <w:basedOn w:val="Normal"/>
    <w:link w:val="BalloonTextChar"/>
    <w:uiPriority w:val="99"/>
    <w:semiHidden/>
    <w:unhideWhenUsed/>
    <w:rsid w:val="00A06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659"/>
    <w:rPr>
      <w:rFonts w:ascii="Tahoma" w:hAnsi="Tahoma" w:cs="Tahoma"/>
      <w:sz w:val="16"/>
      <w:szCs w:val="16"/>
    </w:rPr>
  </w:style>
  <w:style w:type="character" w:customStyle="1" w:styleId="name">
    <w:name w:val="name"/>
    <w:basedOn w:val="DefaultParagraphFont"/>
    <w:rsid w:val="000A4DBF"/>
  </w:style>
  <w:style w:type="paragraph" w:styleId="FootnoteText">
    <w:name w:val="footnote text"/>
    <w:basedOn w:val="Normal"/>
    <w:link w:val="FootnoteTextChar"/>
    <w:uiPriority w:val="99"/>
    <w:semiHidden/>
    <w:unhideWhenUsed/>
    <w:rsid w:val="001B269E"/>
    <w:pPr>
      <w:spacing w:after="0" w:line="240" w:lineRule="auto"/>
      <w:jc w:val="left"/>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1B269E"/>
    <w:rPr>
      <w:sz w:val="20"/>
      <w:szCs w:val="20"/>
    </w:rPr>
  </w:style>
  <w:style w:type="paragraph" w:styleId="Caption">
    <w:name w:val="caption"/>
    <w:basedOn w:val="Normal"/>
    <w:next w:val="Normal"/>
    <w:uiPriority w:val="35"/>
    <w:unhideWhenUsed/>
    <w:qFormat/>
    <w:rsid w:val="001B269E"/>
    <w:pPr>
      <w:spacing w:line="240" w:lineRule="auto"/>
      <w:jc w:val="left"/>
    </w:pPr>
    <w:rPr>
      <w:rFonts w:asciiTheme="minorHAnsi" w:hAnsiTheme="minorHAnsi"/>
      <w:i/>
      <w:iCs/>
      <w:color w:val="1F497D" w:themeColor="text2"/>
      <w:sz w:val="18"/>
      <w:szCs w:val="18"/>
    </w:rPr>
  </w:style>
  <w:style w:type="paragraph" w:styleId="Header">
    <w:name w:val="header"/>
    <w:basedOn w:val="Normal"/>
    <w:link w:val="HeaderChar"/>
    <w:uiPriority w:val="99"/>
    <w:unhideWhenUsed/>
    <w:rsid w:val="001B269E"/>
    <w:pPr>
      <w:tabs>
        <w:tab w:val="center" w:pos="4536"/>
        <w:tab w:val="right" w:pos="9072"/>
      </w:tabs>
      <w:spacing w:after="0" w:line="240" w:lineRule="auto"/>
      <w:jc w:val="left"/>
    </w:pPr>
    <w:rPr>
      <w:rFonts w:asciiTheme="minorHAnsi" w:hAnsiTheme="minorHAnsi"/>
    </w:rPr>
  </w:style>
  <w:style w:type="character" w:customStyle="1" w:styleId="HeaderChar">
    <w:name w:val="Header Char"/>
    <w:basedOn w:val="DefaultParagraphFont"/>
    <w:link w:val="Header"/>
    <w:uiPriority w:val="99"/>
    <w:rsid w:val="001B269E"/>
  </w:style>
  <w:style w:type="paragraph" w:styleId="Footer">
    <w:name w:val="footer"/>
    <w:basedOn w:val="Normal"/>
    <w:link w:val="FooterChar"/>
    <w:uiPriority w:val="99"/>
    <w:unhideWhenUsed/>
    <w:rsid w:val="001B269E"/>
    <w:pPr>
      <w:tabs>
        <w:tab w:val="center" w:pos="4536"/>
        <w:tab w:val="right" w:pos="9072"/>
      </w:tabs>
      <w:spacing w:after="0" w:line="240" w:lineRule="auto"/>
      <w:jc w:val="left"/>
    </w:pPr>
    <w:rPr>
      <w:rFonts w:asciiTheme="minorHAnsi" w:hAnsiTheme="minorHAnsi"/>
    </w:rPr>
  </w:style>
  <w:style w:type="character" w:customStyle="1" w:styleId="FooterChar">
    <w:name w:val="Footer Char"/>
    <w:basedOn w:val="DefaultParagraphFont"/>
    <w:link w:val="Footer"/>
    <w:uiPriority w:val="99"/>
    <w:rsid w:val="001B269E"/>
  </w:style>
  <w:style w:type="table" w:styleId="TableGrid">
    <w:name w:val="Table Grid"/>
    <w:basedOn w:val="TableNormal"/>
    <w:uiPriority w:val="39"/>
    <w:rsid w:val="001B26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wrap">
    <w:name w:val="nowrap"/>
    <w:basedOn w:val="DefaultParagraphFont"/>
    <w:rsid w:val="001B269E"/>
  </w:style>
  <w:style w:type="character" w:styleId="Hyperlink">
    <w:name w:val="Hyperlink"/>
    <w:basedOn w:val="DefaultParagraphFont"/>
    <w:uiPriority w:val="99"/>
    <w:unhideWhenUsed/>
    <w:rsid w:val="001B269E"/>
    <w:rPr>
      <w:color w:val="0000FF" w:themeColor="hyperlink"/>
      <w:u w:val="single"/>
    </w:rPr>
  </w:style>
  <w:style w:type="paragraph" w:styleId="ListParagraph">
    <w:name w:val="List Paragraph"/>
    <w:basedOn w:val="Normal"/>
    <w:uiPriority w:val="34"/>
    <w:qFormat/>
    <w:rsid w:val="001B269E"/>
    <w:pPr>
      <w:spacing w:after="160" w:line="259" w:lineRule="auto"/>
      <w:ind w:left="720"/>
      <w:contextualSpacing/>
      <w:jc w:val="left"/>
    </w:pPr>
    <w:rPr>
      <w:rFonts w:asciiTheme="minorHAnsi" w:hAnsiTheme="minorHAnsi"/>
    </w:rPr>
  </w:style>
  <w:style w:type="character" w:customStyle="1" w:styleId="CommentSubjectChar">
    <w:name w:val="Comment Subject Char"/>
    <w:basedOn w:val="CommentTextChar"/>
    <w:link w:val="CommentSubject"/>
    <w:uiPriority w:val="99"/>
    <w:semiHidden/>
    <w:rsid w:val="001B269E"/>
    <w:rPr>
      <w:b/>
      <w:bCs/>
    </w:rPr>
  </w:style>
  <w:style w:type="paragraph" w:styleId="CommentSubject">
    <w:name w:val="annotation subject"/>
    <w:basedOn w:val="CommentText"/>
    <w:next w:val="CommentText"/>
    <w:link w:val="CommentSubjectChar"/>
    <w:uiPriority w:val="99"/>
    <w:semiHidden/>
    <w:unhideWhenUsed/>
    <w:rsid w:val="001B269E"/>
    <w:pPr>
      <w:spacing w:after="160"/>
      <w:jc w:val="left"/>
    </w:pPr>
    <w:rPr>
      <w:rFonts w:asciiTheme="minorHAnsi" w:hAnsiTheme="minorHAnsi"/>
      <w:b/>
      <w:bCs/>
      <w:lang w:val="de-DE"/>
    </w:rPr>
  </w:style>
  <w:style w:type="paragraph" w:styleId="Subtitle">
    <w:name w:val="Subtitle"/>
    <w:basedOn w:val="Normal"/>
    <w:next w:val="Normal"/>
    <w:link w:val="SubtitleChar"/>
    <w:uiPriority w:val="11"/>
    <w:qFormat/>
    <w:rsid w:val="001B269E"/>
    <w:pPr>
      <w:numPr>
        <w:ilvl w:val="1"/>
      </w:numPr>
      <w:spacing w:after="160" w:line="259" w:lineRule="auto"/>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B269E"/>
    <w:rPr>
      <w:rFonts w:asciiTheme="majorHAnsi" w:eastAsiaTheme="majorEastAsia" w:hAnsiTheme="majorHAnsi" w:cstheme="majorBidi"/>
      <w:i/>
      <w:iCs/>
      <w:color w:val="4F81BD" w:themeColor="accent1"/>
      <w:spacing w:val="15"/>
      <w:sz w:val="24"/>
      <w:szCs w:val="24"/>
    </w:rPr>
  </w:style>
  <w:style w:type="table" w:customStyle="1" w:styleId="LightList1">
    <w:name w:val="Light List1"/>
    <w:basedOn w:val="TableNormal"/>
    <w:uiPriority w:val="61"/>
    <w:rsid w:val="007548E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C472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36676974">
      <w:bodyDiv w:val="1"/>
      <w:marLeft w:val="0"/>
      <w:marRight w:val="0"/>
      <w:marTop w:val="0"/>
      <w:marBottom w:val="0"/>
      <w:divBdr>
        <w:top w:val="none" w:sz="0" w:space="0" w:color="auto"/>
        <w:left w:val="none" w:sz="0" w:space="0" w:color="auto"/>
        <w:bottom w:val="none" w:sz="0" w:space="0" w:color="auto"/>
        <w:right w:val="none" w:sz="0" w:space="0" w:color="auto"/>
      </w:divBdr>
    </w:div>
    <w:div w:id="827600344">
      <w:bodyDiv w:val="1"/>
      <w:marLeft w:val="0"/>
      <w:marRight w:val="0"/>
      <w:marTop w:val="0"/>
      <w:marBottom w:val="0"/>
      <w:divBdr>
        <w:top w:val="none" w:sz="0" w:space="0" w:color="auto"/>
        <w:left w:val="none" w:sz="0" w:space="0" w:color="auto"/>
        <w:bottom w:val="none" w:sz="0" w:space="0" w:color="auto"/>
        <w:right w:val="none" w:sz="0" w:space="0" w:color="auto"/>
      </w:divBdr>
    </w:div>
    <w:div w:id="160977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13125</Words>
  <Characters>82689</Characters>
  <Application>Microsoft Office Word</Application>
  <DocSecurity>0</DocSecurity>
  <Lines>689</Lines>
  <Paragraphs>191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Operant assessment of DMTP spatial working memory in mice</vt:lpstr>
      <vt:lpstr>Supplememtary Methods</vt:lpstr>
      <vt:lpstr>    Animal models</vt:lpstr>
      <vt:lpstr>    5-CSWM task based operant working memory training for mice</vt:lpstr>
      <vt:lpstr>        Habituation stages</vt:lpstr>
      <vt:lpstr>        5-CSWM task design</vt:lpstr>
      <vt:lpstr>        5-CSWM task training</vt:lpstr>
      <vt:lpstr>        Challenges in the 5-CSWM</vt:lpstr>
      <vt:lpstr>        Pharmacological experiments in the 5-CSWM task</vt:lpstr>
      <vt:lpstr>        Statistical analysis</vt:lpstr>
      <vt:lpstr>Supplementary figures</vt:lpstr>
      <vt:lpstr>Supplementary tables</vt:lpstr>
      <vt:lpstr>Supplementary References</vt:lpstr>
    </vt:vector>
  </TitlesOfParts>
  <Company/>
  <LinksUpToDate>false</LinksUpToDate>
  <CharactersWithSpaces>95623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Kaetzel</dc:creator>
  <cp:lastModifiedBy>Dennis Kaetzel</cp:lastModifiedBy>
  <cp:revision>9</cp:revision>
  <dcterms:created xsi:type="dcterms:W3CDTF">2019-07-26T08:00:00Z</dcterms:created>
  <dcterms:modified xsi:type="dcterms:W3CDTF">2019-07-29T18:32:00Z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id="ulOMYp9W"/&gt;&lt;style id="http://www.zotero.org/styles/frontiers-in-behavioral-neuroscience" hasBibliography="1" bibliographyStyleHasBeenSet="1"/&gt;&lt;prefs&gt;&lt;pref name="fieldType" value="Field"/&gt;&lt;pref </vt:lpwstr>
  </property>
  <property fmtid="{D5CDD505-2E9C-101B-9397-08002B2CF9AE}" pid="3" name="ZOTERO_PREF_2">
    <vt:lpwstr>name="storeReferences" value="true"/&gt;&lt;pref name="automaticJournalAbbreviations" value="true"/&gt;&lt;pref name="noteType" value=""/&gt;&lt;/prefs&gt;&lt;/data&gt;</vt:lpwstr>
  </property>
</Properties>
</file>