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B6" w:rsidRPr="000A5AB6" w:rsidRDefault="000A5AB6" w:rsidP="000A5AB6">
      <w:pPr>
        <w:pStyle w:val="MDPI12title"/>
        <w:spacing w:line="480" w:lineRule="auto"/>
        <w:jc w:val="center"/>
        <w:rPr>
          <w:rFonts w:ascii="AdvTT5235d5a9" w:eastAsiaTheme="minorEastAsia" w:hAnsi="AdvTT5235d5a9"/>
          <w:b w:val="0"/>
          <w:sz w:val="20"/>
          <w:lang w:eastAsia="zh-CN"/>
        </w:rPr>
      </w:pPr>
      <w:bookmarkStart w:id="0" w:name="_Hlk529092909"/>
      <w:r w:rsidRPr="000A5AB6">
        <w:rPr>
          <w:rFonts w:ascii="AdvTT5235d5a9" w:eastAsiaTheme="minorEastAsia" w:hAnsi="AdvTT5235d5a9"/>
          <w:b w:val="0"/>
          <w:sz w:val="20"/>
          <w:lang w:eastAsia="zh-CN"/>
        </w:rPr>
        <w:t>Supplemental information for</w:t>
      </w:r>
    </w:p>
    <w:p w:rsidR="000A5AB6" w:rsidRPr="000A5AB6" w:rsidRDefault="00F321DA" w:rsidP="000A5AB6">
      <w:pPr>
        <w:pStyle w:val="MDPI12title"/>
        <w:spacing w:line="480" w:lineRule="auto"/>
        <w:jc w:val="center"/>
        <w:rPr>
          <w:rFonts w:ascii="AdvTT5235d5a9" w:hAnsi="AdvTT5235d5a9"/>
          <w:sz w:val="20"/>
        </w:rPr>
      </w:pPr>
      <w:r>
        <w:rPr>
          <w:rFonts w:ascii="AdvTT5235d5a9" w:eastAsiaTheme="minorEastAsia" w:hAnsi="AdvTT5235d5a9" w:hint="eastAsia"/>
          <w:sz w:val="20"/>
          <w:lang w:eastAsia="zh-CN"/>
        </w:rPr>
        <w:t>Macrophage</w:t>
      </w:r>
      <w:r w:rsidR="000A5AB6" w:rsidRPr="000A5AB6">
        <w:rPr>
          <w:rFonts w:ascii="AdvTT5235d5a9" w:eastAsiaTheme="minorEastAsia" w:hAnsi="AdvTT5235d5a9" w:hint="eastAsia"/>
          <w:sz w:val="20"/>
          <w:lang w:eastAsia="zh-CN"/>
        </w:rPr>
        <w:t>-derived l</w:t>
      </w:r>
      <w:r w:rsidR="000A5AB6" w:rsidRPr="000A5AB6">
        <w:rPr>
          <w:rFonts w:ascii="AdvTT5235d5a9" w:hAnsi="AdvTT5235d5a9"/>
          <w:sz w:val="20"/>
        </w:rPr>
        <w:t xml:space="preserve">et-7a-5p </w:t>
      </w:r>
      <w:r w:rsidR="000A5AB6" w:rsidRPr="000A5AB6">
        <w:rPr>
          <w:rFonts w:ascii="AdvTT5235d5a9" w:hAnsi="AdvTT5235d5a9" w:hint="eastAsia"/>
          <w:sz w:val="20"/>
        </w:rPr>
        <w:t>trigger</w:t>
      </w:r>
      <w:r w:rsidR="000A5AB6" w:rsidRPr="000A5AB6">
        <w:rPr>
          <w:rFonts w:ascii="AdvTT5235d5a9" w:hAnsi="AdvTT5235d5a9"/>
          <w:sz w:val="20"/>
        </w:rPr>
        <w:t xml:space="preserve">s lung cancer cell death </w:t>
      </w:r>
      <w:r w:rsidR="000A5AB6" w:rsidRPr="000A5AB6">
        <w:rPr>
          <w:rFonts w:ascii="AdvTT5235d5a9" w:eastAsiaTheme="minorEastAsia" w:hAnsi="AdvTT5235d5a9" w:hint="eastAsia"/>
          <w:sz w:val="20"/>
          <w:lang w:eastAsia="zh-CN"/>
        </w:rPr>
        <w:t>through</w:t>
      </w:r>
      <w:r w:rsidR="000A5AB6" w:rsidRPr="000A5AB6">
        <w:rPr>
          <w:rFonts w:ascii="AdvTT5235d5a9" w:hAnsi="AdvTT5235d5a9"/>
          <w:sz w:val="20"/>
        </w:rPr>
        <w:t xml:space="preserve"> </w:t>
      </w:r>
    </w:p>
    <w:p w:rsidR="000A5AB6" w:rsidRPr="000A5AB6" w:rsidRDefault="000A5AB6" w:rsidP="000A5AB6">
      <w:pPr>
        <w:pStyle w:val="MDPI12title"/>
        <w:spacing w:line="480" w:lineRule="auto"/>
        <w:jc w:val="center"/>
        <w:rPr>
          <w:rFonts w:ascii="AdvTT5235d5a9" w:hAnsi="AdvTT5235d5a9"/>
          <w:sz w:val="20"/>
        </w:rPr>
      </w:pPr>
      <w:r w:rsidRPr="000A5AB6">
        <w:rPr>
          <w:rFonts w:ascii="AdvTT5235d5a9" w:hAnsi="AdvTT5235d5a9"/>
          <w:sz w:val="20"/>
        </w:rPr>
        <w:t>targeting BCL2L1-mediated PI3K signaling</w:t>
      </w:r>
    </w:p>
    <w:p w:rsidR="000A5AB6" w:rsidRPr="00A10E32" w:rsidRDefault="000A5AB6" w:rsidP="000A5AB6">
      <w:pPr>
        <w:pStyle w:val="MDPI13authornames"/>
        <w:spacing w:line="480" w:lineRule="auto"/>
        <w:jc w:val="center"/>
        <w:rPr>
          <w:rFonts w:ascii="AdvTT5235d5a9" w:eastAsiaTheme="minorEastAsia" w:hAnsi="AdvTT5235d5a9"/>
          <w:b w:val="0"/>
          <w:szCs w:val="20"/>
          <w:vertAlign w:val="superscript"/>
          <w:lang w:eastAsia="zh-CN"/>
        </w:rPr>
      </w:pPr>
      <w:bookmarkStart w:id="1" w:name="_Hlk529041705"/>
      <w:bookmarkEnd w:id="0"/>
      <w:proofErr w:type="spellStart"/>
      <w:r w:rsidRPr="00A10E32">
        <w:rPr>
          <w:rFonts w:ascii="AdvTT5235d5a9" w:hAnsi="AdvTT5235d5a9"/>
          <w:b w:val="0"/>
          <w:szCs w:val="20"/>
        </w:rPr>
        <w:t>Shuyin</w:t>
      </w:r>
      <w:proofErr w:type="spellEnd"/>
      <w:r w:rsidRPr="00A10E32">
        <w:rPr>
          <w:rFonts w:ascii="AdvTT5235d5a9" w:hAnsi="AdvTT5235d5a9"/>
          <w:b w:val="0"/>
          <w:szCs w:val="20"/>
        </w:rPr>
        <w:t xml:space="preserve"> </w:t>
      </w:r>
      <w:proofErr w:type="spellStart"/>
      <w:r w:rsidRPr="00A10E32">
        <w:rPr>
          <w:rFonts w:ascii="AdvTT5235d5a9" w:hAnsi="AdvTT5235d5a9"/>
          <w:b w:val="0"/>
          <w:szCs w:val="20"/>
        </w:rPr>
        <w:t>Duan</w:t>
      </w:r>
      <w:proofErr w:type="spellEnd"/>
      <w:r w:rsidRPr="00A10E32">
        <w:rPr>
          <w:rFonts w:ascii="AdvTT5235d5a9" w:hAnsi="AdvTT5235d5a9"/>
          <w:b w:val="0"/>
          <w:szCs w:val="20"/>
        </w:rPr>
        <w:t>,</w:t>
      </w:r>
      <w:r w:rsidRPr="00A10E32">
        <w:rPr>
          <w:rFonts w:ascii="AdvTT5235d5a9" w:eastAsiaTheme="minorEastAsia" w:hAnsi="AdvTT5235d5a9"/>
          <w:b w:val="0"/>
          <w:szCs w:val="20"/>
          <w:lang w:eastAsia="zh-CN"/>
        </w:rPr>
        <w:t xml:space="preserve"> </w:t>
      </w:r>
      <w:proofErr w:type="spellStart"/>
      <w:r w:rsidRPr="00A10E32">
        <w:rPr>
          <w:rFonts w:ascii="AdvTT5235d5a9" w:hAnsi="AdvTT5235d5a9"/>
          <w:b w:val="0"/>
          <w:szCs w:val="20"/>
        </w:rPr>
        <w:t>Songcheng</w:t>
      </w:r>
      <w:proofErr w:type="spellEnd"/>
      <w:r w:rsidRPr="00A10E32">
        <w:rPr>
          <w:rFonts w:ascii="AdvTT5235d5a9" w:hAnsi="AdvTT5235d5a9"/>
          <w:b w:val="0"/>
          <w:szCs w:val="20"/>
        </w:rPr>
        <w:t xml:space="preserve"> Yu, </w:t>
      </w:r>
      <w:proofErr w:type="spellStart"/>
      <w:r w:rsidRPr="00A10E32">
        <w:rPr>
          <w:rFonts w:ascii="AdvTT5235d5a9" w:hAnsi="AdvTT5235d5a9"/>
          <w:b w:val="0"/>
          <w:szCs w:val="20"/>
        </w:rPr>
        <w:t>Teng</w:t>
      </w:r>
      <w:proofErr w:type="spellEnd"/>
      <w:r w:rsidRPr="00A10E32">
        <w:rPr>
          <w:rFonts w:ascii="AdvTT5235d5a9" w:hAnsi="AdvTT5235d5a9"/>
          <w:b w:val="0"/>
          <w:szCs w:val="20"/>
        </w:rPr>
        <w:t xml:space="preserve"> Yuan</w:t>
      </w:r>
      <w:r>
        <w:rPr>
          <w:rFonts w:ascii="AdvTT5235d5a9" w:eastAsiaTheme="minorEastAsia" w:hAnsi="AdvTT5235d5a9" w:hint="eastAsia"/>
          <w:b w:val="0"/>
          <w:szCs w:val="20"/>
          <w:lang w:eastAsia="zh-CN"/>
        </w:rPr>
        <w:t>,</w:t>
      </w:r>
      <w:r w:rsidRPr="00A10E32">
        <w:rPr>
          <w:rFonts w:ascii="AdvTT5235d5a9" w:eastAsiaTheme="minorEastAsia" w:hAnsi="AdvTT5235d5a9"/>
          <w:b w:val="0"/>
          <w:szCs w:val="20"/>
          <w:lang w:eastAsia="zh-CN"/>
        </w:rPr>
        <w:t xml:space="preserve"> </w:t>
      </w:r>
      <w:proofErr w:type="spellStart"/>
      <w:r w:rsidRPr="00A10E32">
        <w:rPr>
          <w:rFonts w:ascii="AdvTT5235d5a9" w:eastAsiaTheme="minorEastAsia" w:hAnsi="AdvTT5235d5a9"/>
          <w:b w:val="0"/>
          <w:szCs w:val="20"/>
          <w:lang w:eastAsia="zh-CN"/>
        </w:rPr>
        <w:t>Sanqiao</w:t>
      </w:r>
      <w:proofErr w:type="spellEnd"/>
      <w:r w:rsidRPr="00A10E32">
        <w:rPr>
          <w:rFonts w:ascii="AdvTT5235d5a9" w:eastAsiaTheme="minorEastAsia" w:hAnsi="AdvTT5235d5a9"/>
          <w:b w:val="0"/>
          <w:szCs w:val="20"/>
          <w:lang w:eastAsia="zh-CN"/>
        </w:rPr>
        <w:t xml:space="preserve"> Yao,</w:t>
      </w:r>
      <w:r w:rsidRPr="00FE1F12">
        <w:rPr>
          <w:rFonts w:ascii="AdvTT5235d5a9" w:eastAsiaTheme="minorEastAsia" w:hAnsi="AdvTT5235d5a9"/>
          <w:b w:val="0"/>
          <w:szCs w:val="20"/>
          <w:lang w:eastAsia="zh-CN"/>
        </w:rPr>
        <w:t xml:space="preserve"> </w:t>
      </w:r>
      <w:r w:rsidRPr="00A10E32">
        <w:rPr>
          <w:rFonts w:ascii="AdvTT5235d5a9" w:hAnsi="AdvTT5235d5a9"/>
          <w:b w:val="0"/>
          <w:szCs w:val="20"/>
        </w:rPr>
        <w:t>Lin Zhang</w:t>
      </w:r>
    </w:p>
    <w:bookmarkEnd w:id="1"/>
    <w:p w:rsidR="00C34917" w:rsidRDefault="00C34917" w:rsidP="00DA3A7F">
      <w:pPr>
        <w:pStyle w:val="MDPI41tablecaption"/>
        <w:spacing w:before="0" w:after="0" w:line="36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p w:rsidR="000A5AB6" w:rsidRDefault="000A5AB6" w:rsidP="00DA3A7F">
      <w:pPr>
        <w:pStyle w:val="MDPI41tablecaption"/>
        <w:spacing w:before="0" w:after="0" w:line="36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p w:rsidR="000A5AB6" w:rsidRDefault="000A5AB6" w:rsidP="00DA3A7F">
      <w:pPr>
        <w:pStyle w:val="MDPI41tablecaption"/>
        <w:spacing w:before="0" w:after="0" w:line="36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</w:p>
    <w:p w:rsid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</w:p>
    <w:p w:rsidR="000A5AB6" w:rsidRP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  <w:r w:rsidRPr="000A5AB6">
        <w:rPr>
          <w:rFonts w:ascii="AdvTT5235d5a9" w:eastAsiaTheme="minorEastAsia" w:hAnsi="AdvTT5235d5a9" w:hint="eastAsia"/>
          <w:sz w:val="20"/>
          <w:szCs w:val="20"/>
          <w:lang w:eastAsia="zh-CN"/>
        </w:rPr>
        <w:t>T</w:t>
      </w:r>
      <w:r w:rsidRPr="000A5AB6">
        <w:rPr>
          <w:rFonts w:ascii="AdvTT5235d5a9" w:eastAsiaTheme="minorEastAsia" w:hAnsi="AdvTT5235d5a9"/>
          <w:sz w:val="20"/>
          <w:szCs w:val="20"/>
          <w:lang w:eastAsia="zh-CN"/>
        </w:rPr>
        <w:t>his PDF includes:</w:t>
      </w:r>
    </w:p>
    <w:p w:rsidR="000A5AB6" w:rsidRP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  <w:r w:rsidRPr="000A5AB6">
        <w:rPr>
          <w:rFonts w:ascii="AdvTT5235d5a9" w:eastAsiaTheme="minorEastAsia" w:hAnsi="AdvTT5235d5a9" w:hint="eastAsia"/>
          <w:sz w:val="20"/>
          <w:szCs w:val="20"/>
          <w:lang w:eastAsia="zh-CN"/>
        </w:rPr>
        <w:t>S</w:t>
      </w:r>
      <w:r w:rsidRPr="000A5AB6">
        <w:rPr>
          <w:rFonts w:ascii="AdvTT5235d5a9" w:eastAsiaTheme="minorEastAsia" w:hAnsi="AdvTT5235d5a9"/>
          <w:sz w:val="20"/>
          <w:szCs w:val="20"/>
          <w:lang w:eastAsia="zh-CN"/>
        </w:rPr>
        <w:t>upplemental Table S1</w:t>
      </w:r>
    </w:p>
    <w:p w:rsidR="000A5AB6" w:rsidRDefault="000A5AB6" w:rsidP="00DA3A7F">
      <w:pPr>
        <w:pStyle w:val="MDPI41tablecaption"/>
        <w:spacing w:before="0" w:after="0" w:line="36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p w:rsidR="000A5AB6" w:rsidRDefault="000A5AB6" w:rsidP="00DA3A7F">
      <w:pPr>
        <w:pStyle w:val="MDPI41tablecaption"/>
        <w:spacing w:before="0" w:after="0" w:line="36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p w:rsidR="000A5AB6" w:rsidRDefault="000A5AB6" w:rsidP="00DA3A7F">
      <w:pPr>
        <w:pStyle w:val="MDPI41tablecaption"/>
        <w:spacing w:before="0" w:after="0" w:line="36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p w:rsidR="000A5AB6" w:rsidRPr="000A5AB6" w:rsidRDefault="000A5AB6" w:rsidP="00DA3A7F">
      <w:pPr>
        <w:pStyle w:val="MDPI41tablecaption"/>
        <w:spacing w:before="0" w:after="0" w:line="36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p w:rsidR="000A5AB6" w:rsidRDefault="000A5AB6" w:rsidP="005E1AF4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p w:rsidR="00AD3BF1" w:rsidRDefault="00AD3BF1" w:rsidP="005E1AF4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p w:rsidR="000E05BF" w:rsidRDefault="000E05BF" w:rsidP="005E1AF4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p w:rsidR="00DA3A7F" w:rsidRPr="00A10E32" w:rsidRDefault="000A5AB6" w:rsidP="005E1AF4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  <w:r>
        <w:rPr>
          <w:rFonts w:ascii="AdvTT5235d5a9" w:eastAsiaTheme="minorEastAsia" w:hAnsi="AdvTT5235d5a9"/>
          <w:b/>
          <w:sz w:val="20"/>
          <w:szCs w:val="20"/>
          <w:lang w:eastAsia="zh-CN"/>
        </w:rPr>
        <w:lastRenderedPageBreak/>
        <w:t>Supplemental</w:t>
      </w:r>
      <w:r w:rsidR="00DA3A7F">
        <w:rPr>
          <w:rFonts w:ascii="AdvTT5235d5a9" w:eastAsiaTheme="minorEastAsia" w:hAnsi="AdvTT5235d5a9"/>
          <w:b/>
          <w:sz w:val="20"/>
          <w:szCs w:val="20"/>
          <w:lang w:eastAsia="zh-CN"/>
        </w:rPr>
        <w:t xml:space="preserve"> </w:t>
      </w:r>
      <w:r w:rsidR="00DA3A7F" w:rsidRPr="00A10E32">
        <w:rPr>
          <w:rFonts w:ascii="AdvTT5235d5a9" w:eastAsiaTheme="minorEastAsia" w:hAnsi="AdvTT5235d5a9"/>
          <w:b/>
          <w:sz w:val="20"/>
          <w:szCs w:val="20"/>
          <w:lang w:eastAsia="zh-CN"/>
        </w:rPr>
        <w:t>Tables</w:t>
      </w:r>
    </w:p>
    <w:p w:rsidR="00DA3A7F" w:rsidRPr="00A10E32" w:rsidRDefault="00DA3A7F" w:rsidP="005E1AF4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sz w:val="20"/>
          <w:szCs w:val="20"/>
          <w:lang w:eastAsia="zh-CN"/>
        </w:rPr>
      </w:pPr>
      <w:r w:rsidRPr="00A10E32">
        <w:rPr>
          <w:rFonts w:ascii="AdvTT5235d5a9" w:hAnsi="AdvTT5235d5a9"/>
          <w:b/>
          <w:sz w:val="20"/>
          <w:szCs w:val="20"/>
        </w:rPr>
        <w:t xml:space="preserve">Table </w:t>
      </w:r>
      <w:r>
        <w:rPr>
          <w:rFonts w:ascii="AdvTT5235d5a9" w:hAnsi="AdvTT5235d5a9"/>
          <w:b/>
          <w:sz w:val="20"/>
          <w:szCs w:val="20"/>
        </w:rPr>
        <w:t>S</w:t>
      </w:r>
      <w:r w:rsidRPr="00A10E32">
        <w:rPr>
          <w:rFonts w:ascii="AdvTT5235d5a9" w:hAnsi="AdvTT5235d5a9"/>
          <w:b/>
          <w:sz w:val="20"/>
          <w:szCs w:val="20"/>
        </w:rPr>
        <w:t>1.</w:t>
      </w:r>
      <w:r w:rsidRPr="00A10E32">
        <w:rPr>
          <w:rFonts w:ascii="AdvTT5235d5a9" w:hAnsi="AdvTT5235d5a9"/>
          <w:sz w:val="20"/>
          <w:szCs w:val="20"/>
        </w:rPr>
        <w:t xml:space="preserve"> Functional annotation of </w:t>
      </w:r>
      <w:bookmarkStart w:id="2" w:name="_GoBack"/>
      <w:bookmarkEnd w:id="2"/>
      <w:r w:rsidRPr="00A10E32">
        <w:rPr>
          <w:rFonts w:ascii="AdvTT5235d5a9" w:hAnsi="AdvTT5235d5a9"/>
          <w:sz w:val="20"/>
          <w:szCs w:val="20"/>
        </w:rPr>
        <w:t>let-7a-5p in lung cancer.</w:t>
      </w:r>
    </w:p>
    <w:tbl>
      <w:tblPr>
        <w:tblStyle w:val="6-51"/>
        <w:tblW w:w="9923" w:type="dxa"/>
        <w:tblLook w:val="04A0" w:firstRow="1" w:lastRow="0" w:firstColumn="1" w:lastColumn="0" w:noHBand="0" w:noVBand="1"/>
      </w:tblPr>
      <w:tblGrid>
        <w:gridCol w:w="1474"/>
        <w:gridCol w:w="4309"/>
        <w:gridCol w:w="1163"/>
        <w:gridCol w:w="2977"/>
      </w:tblGrid>
      <w:tr w:rsidR="00DA3A7F" w:rsidRPr="00A10E32" w:rsidTr="00A90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Cs w:val="0"/>
                <w:color w:val="auto"/>
                <w:sz w:val="20"/>
              </w:rPr>
              <w:t>GOID</w:t>
            </w:r>
          </w:p>
        </w:tc>
        <w:tc>
          <w:tcPr>
            <w:tcW w:w="43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bCs w:val="0"/>
                <w:color w:val="auto"/>
                <w:sz w:val="20"/>
              </w:rPr>
            </w:pPr>
            <w:proofErr w:type="spellStart"/>
            <w:r w:rsidRPr="00A10E32">
              <w:rPr>
                <w:rFonts w:ascii="AdvTT5235d5a9" w:hAnsi="AdvTT5235d5a9"/>
                <w:bCs w:val="0"/>
                <w:color w:val="auto"/>
                <w:sz w:val="20"/>
              </w:rPr>
              <w:t>GOTerm</w:t>
            </w:r>
            <w:proofErr w:type="spellEnd"/>
          </w:p>
        </w:tc>
        <w:tc>
          <w:tcPr>
            <w:tcW w:w="11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bCs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Cs w:val="0"/>
                <w:color w:val="auto"/>
                <w:sz w:val="20"/>
              </w:rPr>
              <w:t>P Value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bCs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Cs w:val="0"/>
                <w:color w:val="auto"/>
                <w:sz w:val="20"/>
              </w:rPr>
              <w:t>Genes</w:t>
            </w:r>
          </w:p>
        </w:tc>
      </w:tr>
      <w:tr w:rsidR="00DA3A7F" w:rsidRPr="00A10E32" w:rsidTr="00A9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uto"/>
              <w:bottom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Autophagy</w:t>
            </w:r>
          </w:p>
        </w:tc>
        <w:tc>
          <w:tcPr>
            <w:tcW w:w="4309" w:type="dxa"/>
            <w:tcBorders>
              <w:top w:val="single" w:sz="4" w:space="0" w:color="auto"/>
              <w:bottom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sz w:val="20"/>
              </w:rPr>
            </w:pPr>
          </w:p>
        </w:tc>
      </w:tr>
      <w:tr w:rsidR="00DA3A7F" w:rsidRPr="00A10E32" w:rsidTr="00A90A5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nil"/>
              <w:bottom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bCs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GO:0004140</w:t>
            </w:r>
          </w:p>
        </w:tc>
        <w:tc>
          <w:tcPr>
            <w:tcW w:w="4309" w:type="dxa"/>
            <w:tcBorders>
              <w:top w:val="nil"/>
              <w:bottom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Autophagy</w:t>
            </w:r>
          </w:p>
        </w:tc>
        <w:tc>
          <w:tcPr>
            <w:tcW w:w="1163" w:type="dxa"/>
            <w:tcBorders>
              <w:top w:val="nil"/>
              <w:bottom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1.10E-06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IGF1R, MAPK8</w:t>
            </w:r>
          </w:p>
        </w:tc>
      </w:tr>
      <w:tr w:rsidR="00DA3A7F" w:rsidRPr="00A10E32" w:rsidTr="00A9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GO:0004210</w:t>
            </w:r>
          </w:p>
        </w:tc>
        <w:tc>
          <w:tcPr>
            <w:tcW w:w="4309" w:type="dxa"/>
            <w:tcBorders>
              <w:top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Apoptosis</w:t>
            </w:r>
          </w:p>
        </w:tc>
        <w:tc>
          <w:tcPr>
            <w:tcW w:w="1163" w:type="dxa"/>
            <w:tcBorders>
              <w:top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1.35E-06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FAS, MAPK8</w:t>
            </w:r>
          </w:p>
        </w:tc>
      </w:tr>
      <w:tr w:rsidR="00DA3A7F" w:rsidRPr="00A10E32" w:rsidTr="00A90A5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GO:0004215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Apoptosis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1.64E-05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MAPK8</w:t>
            </w:r>
          </w:p>
        </w:tc>
      </w:tr>
      <w:tr w:rsidR="00DA3A7F" w:rsidRPr="00A10E32" w:rsidTr="00A9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GO:0004914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Progesterone-mediated oocyte maturation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1.41E-04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IGF1R, MAPK8</w:t>
            </w:r>
          </w:p>
        </w:tc>
      </w:tr>
      <w:tr w:rsidR="00DA3A7F" w:rsidRPr="00A10E32" w:rsidTr="00A90A5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GO:0005212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Pancreatic cancer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6.25E-05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MAPK8</w:t>
            </w:r>
          </w:p>
        </w:tc>
      </w:tr>
      <w:tr w:rsidR="00DA3A7F" w:rsidRPr="00A10E32" w:rsidTr="00A9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GO:0090559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regulation of membrane permeability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1.18E-04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MAPK8</w:t>
            </w:r>
          </w:p>
        </w:tc>
      </w:tr>
      <w:tr w:rsidR="00DA3A7F" w:rsidRPr="00A10E32" w:rsidTr="00A90A5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GO:0046902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regulation of mitochondrial membrane permeability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1.05E-04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MAPK8</w:t>
            </w:r>
          </w:p>
        </w:tc>
      </w:tr>
      <w:tr w:rsidR="00DA3A7F" w:rsidRPr="00A10E32" w:rsidTr="00A9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Apoptosis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sz w:val="20"/>
              </w:rPr>
            </w:pP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sz w:val="20"/>
              </w:rPr>
            </w:pPr>
          </w:p>
        </w:tc>
      </w:tr>
      <w:tr w:rsidR="00DA3A7F" w:rsidRPr="00A10E32" w:rsidTr="00A90A5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GO:0004210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Apoptosis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1.35E-06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FAS, MAPK8</w:t>
            </w:r>
          </w:p>
        </w:tc>
      </w:tr>
      <w:tr w:rsidR="00DA3A7F" w:rsidRPr="00A10E32" w:rsidTr="00A9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GO:0004215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Apoptosis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1.64E-05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MAPK8</w:t>
            </w:r>
          </w:p>
        </w:tc>
      </w:tr>
      <w:tr w:rsidR="00DA3A7F" w:rsidRPr="00A10E32" w:rsidTr="00A90A5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GO:0005212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Pancreatic cancer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6.25E-05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MAPK8</w:t>
            </w:r>
          </w:p>
        </w:tc>
      </w:tr>
      <w:tr w:rsidR="00DA3A7F" w:rsidRPr="00A10E32" w:rsidTr="00A9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GO:0090559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regulation of membrane permeability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1.18E-04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MAPK8</w:t>
            </w:r>
          </w:p>
        </w:tc>
      </w:tr>
      <w:tr w:rsidR="00DA3A7F" w:rsidRPr="00A10E32" w:rsidTr="00A90A5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GO:0038034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signal transduction in absence of ligand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8.14E-05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FAS</w:t>
            </w:r>
          </w:p>
        </w:tc>
      </w:tr>
      <w:tr w:rsidR="00DA3A7F" w:rsidRPr="00A10E32" w:rsidTr="00A9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GO:0071260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cellular response to mechanical stimulus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1.00E-04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FAS, MAPK8</w:t>
            </w:r>
          </w:p>
        </w:tc>
      </w:tr>
      <w:tr w:rsidR="00DA3A7F" w:rsidRPr="00A10E32" w:rsidTr="00A90A5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GO:0046902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regulation of mitochondrial membrane permeability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1.05E-04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MAPK8</w:t>
            </w:r>
          </w:p>
        </w:tc>
      </w:tr>
      <w:tr w:rsidR="00DA3A7F" w:rsidRPr="00A10E32" w:rsidTr="00A9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GO:0034198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cellular response to amino acid starvation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2.42E-05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FAS, MAPK8</w:t>
            </w:r>
          </w:p>
        </w:tc>
      </w:tr>
      <w:tr w:rsidR="00DA3A7F" w:rsidRPr="00A10E32" w:rsidTr="00A90A5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GO:0097192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extrinsic apoptotic signaling pathway in absence of ligand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8.14E-05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FAS</w:t>
            </w:r>
          </w:p>
        </w:tc>
      </w:tr>
      <w:tr w:rsidR="00DA3A7F" w:rsidRPr="00A10E32" w:rsidTr="00A9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GO:1904019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epithelial cell apoptotic process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1.47E-04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FAS</w:t>
            </w:r>
          </w:p>
        </w:tc>
      </w:tr>
      <w:tr w:rsidR="00DA3A7F" w:rsidRPr="00A10E32" w:rsidTr="00A90A5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GO:0008625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extrinsic apoptotic signaling pathway via death domain receptors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1.32E-04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FAS</w:t>
            </w:r>
          </w:p>
        </w:tc>
      </w:tr>
      <w:tr w:rsidR="00DA3A7F" w:rsidRPr="00A10E32" w:rsidTr="00A9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GO:0097284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hepatocyte apoptotic process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3.73E-06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FAS</w:t>
            </w:r>
          </w:p>
        </w:tc>
      </w:tr>
      <w:tr w:rsidR="00DA3A7F" w:rsidRPr="00A10E32" w:rsidTr="00A90A5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GO:2001239</w:t>
            </w:r>
          </w:p>
        </w:tc>
        <w:tc>
          <w:tcPr>
            <w:tcW w:w="4309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regulation of extrinsic apoptotic signaling pathway in absence of ligand</w:t>
            </w:r>
          </w:p>
        </w:tc>
        <w:tc>
          <w:tcPr>
            <w:tcW w:w="1163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3.95E-05</w:t>
            </w:r>
          </w:p>
        </w:tc>
        <w:tc>
          <w:tcPr>
            <w:tcW w:w="2977" w:type="dxa"/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FAS</w:t>
            </w:r>
          </w:p>
        </w:tc>
      </w:tr>
      <w:tr w:rsidR="00DA3A7F" w:rsidRPr="00A10E32" w:rsidTr="00A9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GO:1902041</w:t>
            </w:r>
          </w:p>
        </w:tc>
        <w:tc>
          <w:tcPr>
            <w:tcW w:w="4309" w:type="dxa"/>
            <w:tcBorders>
              <w:bottom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regulation of extrinsic apoptotic signaling pathway via death domain receptors</w:t>
            </w:r>
          </w:p>
        </w:tc>
        <w:tc>
          <w:tcPr>
            <w:tcW w:w="1163" w:type="dxa"/>
            <w:tcBorders>
              <w:bottom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7.27E-05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FAS</w:t>
            </w:r>
          </w:p>
        </w:tc>
      </w:tr>
      <w:tr w:rsidR="00DA3A7F" w:rsidRPr="00A10E32" w:rsidTr="00A90A50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nil"/>
              <w:bottom w:val="single" w:sz="8" w:space="0" w:color="auto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AdvTT5235d5a9" w:hAnsi="AdvTT5235d5a9"/>
                <w:b w:val="0"/>
                <w:color w:val="auto"/>
                <w:sz w:val="20"/>
              </w:rPr>
            </w:pPr>
            <w:r w:rsidRPr="00A10E32">
              <w:rPr>
                <w:rFonts w:ascii="AdvTT5235d5a9" w:hAnsi="AdvTT5235d5a9"/>
                <w:b w:val="0"/>
                <w:color w:val="auto"/>
                <w:sz w:val="20"/>
              </w:rPr>
              <w:t>GO:1902042</w:t>
            </w:r>
          </w:p>
        </w:tc>
        <w:tc>
          <w:tcPr>
            <w:tcW w:w="4309" w:type="dxa"/>
            <w:tcBorders>
              <w:top w:val="nil"/>
              <w:bottom w:val="single" w:sz="8" w:space="0" w:color="auto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negative regulation of extrinsic apoptotic signaling pathway via death domain receptors</w:t>
            </w:r>
          </w:p>
        </w:tc>
        <w:tc>
          <w:tcPr>
            <w:tcW w:w="1163" w:type="dxa"/>
            <w:tcBorders>
              <w:top w:val="nil"/>
              <w:bottom w:val="single" w:sz="8" w:space="0" w:color="auto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2.67E-05</w:t>
            </w: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vAlign w:val="center"/>
          </w:tcPr>
          <w:p w:rsidR="00DA3A7F" w:rsidRPr="00A10E32" w:rsidRDefault="00DA3A7F" w:rsidP="00A90A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5235d5a9" w:hAnsi="AdvTT5235d5a9"/>
                <w:color w:val="auto"/>
                <w:sz w:val="20"/>
              </w:rPr>
            </w:pPr>
            <w:r w:rsidRPr="00A10E32">
              <w:rPr>
                <w:rFonts w:ascii="AdvTT5235d5a9" w:hAnsi="AdvTT5235d5a9"/>
                <w:color w:val="auto"/>
                <w:sz w:val="20"/>
              </w:rPr>
              <w:t>BCL2L1, FAS</w:t>
            </w:r>
          </w:p>
        </w:tc>
      </w:tr>
    </w:tbl>
    <w:p w:rsidR="00D77C0B" w:rsidRDefault="00477084" w:rsidP="00AD3BF1">
      <w:pPr>
        <w:spacing w:line="480" w:lineRule="auto"/>
        <w:jc w:val="left"/>
      </w:pPr>
    </w:p>
    <w:p w:rsidR="000A5AB6" w:rsidRDefault="000A5AB6" w:rsidP="00AD3BF1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p w:rsidR="000A5AB6" w:rsidRPr="000A5AB6" w:rsidRDefault="000A5AB6" w:rsidP="000A5AB6">
      <w:pPr>
        <w:pStyle w:val="MDPI41tablecaption"/>
        <w:spacing w:before="0" w:after="0" w:line="480" w:lineRule="auto"/>
        <w:ind w:left="0" w:right="0"/>
        <w:rPr>
          <w:rFonts w:ascii="AdvTT5235d5a9" w:eastAsiaTheme="minorEastAsia" w:hAnsi="AdvTT5235d5a9"/>
          <w:b/>
          <w:sz w:val="20"/>
          <w:szCs w:val="20"/>
          <w:lang w:eastAsia="zh-CN"/>
        </w:rPr>
      </w:pPr>
    </w:p>
    <w:sectPr w:rsidR="000A5AB6" w:rsidRPr="000A5AB6" w:rsidSect="00AD3BF1">
      <w:pgSz w:w="12240" w:h="15840" w:code="1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084" w:rsidRDefault="00477084" w:rsidP="00C34917">
      <w:pPr>
        <w:spacing w:line="240" w:lineRule="auto"/>
      </w:pPr>
      <w:r>
        <w:separator/>
      </w:r>
    </w:p>
  </w:endnote>
  <w:endnote w:type="continuationSeparator" w:id="0">
    <w:p w:rsidR="00477084" w:rsidRDefault="00477084" w:rsidP="00C34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TT5235d5a9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084" w:rsidRDefault="00477084" w:rsidP="00C34917">
      <w:pPr>
        <w:spacing w:line="240" w:lineRule="auto"/>
      </w:pPr>
      <w:r>
        <w:separator/>
      </w:r>
    </w:p>
  </w:footnote>
  <w:footnote w:type="continuationSeparator" w:id="0">
    <w:p w:rsidR="00477084" w:rsidRDefault="00477084" w:rsidP="00C34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7F"/>
    <w:rsid w:val="00040065"/>
    <w:rsid w:val="000A5AB6"/>
    <w:rsid w:val="000E05BF"/>
    <w:rsid w:val="00265851"/>
    <w:rsid w:val="00477084"/>
    <w:rsid w:val="005E1AF4"/>
    <w:rsid w:val="0065015F"/>
    <w:rsid w:val="00741506"/>
    <w:rsid w:val="00AD3BF1"/>
    <w:rsid w:val="00BB1D8E"/>
    <w:rsid w:val="00C34917"/>
    <w:rsid w:val="00DA3A7F"/>
    <w:rsid w:val="00F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7F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1tablecaption">
    <w:name w:val="MDPI_4.1_table_caption"/>
    <w:basedOn w:val="a"/>
    <w:qFormat/>
    <w:rsid w:val="00DA3A7F"/>
    <w:pPr>
      <w:adjustRightInd w:val="0"/>
      <w:snapToGrid w:val="0"/>
      <w:spacing w:before="240" w:after="120" w:line="260" w:lineRule="atLeast"/>
      <w:ind w:left="425" w:right="425"/>
    </w:pPr>
    <w:rPr>
      <w:rFonts w:ascii="Palatino Linotype" w:hAnsi="Palatino Linotype"/>
      <w:sz w:val="18"/>
      <w:szCs w:val="22"/>
      <w:lang w:bidi="en-US"/>
    </w:rPr>
  </w:style>
  <w:style w:type="table" w:customStyle="1" w:styleId="6-51">
    <w:name w:val="清单表 6 彩色 - 着色 51"/>
    <w:basedOn w:val="a1"/>
    <w:uiPriority w:val="51"/>
    <w:rsid w:val="00DA3A7F"/>
    <w:pPr>
      <w:spacing w:after="0" w:line="240" w:lineRule="auto"/>
    </w:pPr>
    <w:rPr>
      <w:color w:val="31849B" w:themeColor="accent5" w:themeShade="BF"/>
      <w:kern w:val="2"/>
      <w:sz w:val="21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3">
    <w:name w:val="header"/>
    <w:basedOn w:val="a"/>
    <w:link w:val="Char"/>
    <w:uiPriority w:val="99"/>
    <w:unhideWhenUsed/>
    <w:rsid w:val="00C34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917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styleId="a4">
    <w:name w:val="footer"/>
    <w:basedOn w:val="a"/>
    <w:link w:val="Char0"/>
    <w:uiPriority w:val="99"/>
    <w:unhideWhenUsed/>
    <w:rsid w:val="00C3491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917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customStyle="1" w:styleId="MDPI36textafterlist">
    <w:name w:val="MDPI_3.6_text_after_list"/>
    <w:basedOn w:val="a"/>
    <w:qFormat/>
    <w:rsid w:val="00C34917"/>
    <w:pPr>
      <w:adjustRightInd w:val="0"/>
      <w:snapToGrid w:val="0"/>
      <w:spacing w:before="120" w:line="260" w:lineRule="atLeast"/>
      <w:ind w:firstLine="425"/>
    </w:pPr>
    <w:rPr>
      <w:rFonts w:ascii="Palatino Linotype" w:hAnsi="Palatino Linotype"/>
      <w:snapToGrid w:val="0"/>
      <w:sz w:val="20"/>
      <w:szCs w:val="22"/>
      <w:lang w:bidi="en-US"/>
    </w:rPr>
  </w:style>
  <w:style w:type="paragraph" w:customStyle="1" w:styleId="MDPI12title">
    <w:name w:val="MDPI_1.2_title"/>
    <w:next w:val="MDPI13authornames"/>
    <w:qFormat/>
    <w:rsid w:val="000A5AB6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a"/>
    <w:next w:val="a"/>
    <w:qFormat/>
    <w:rsid w:val="000A5AB6"/>
    <w:pPr>
      <w:adjustRightInd w:val="0"/>
      <w:snapToGrid w:val="0"/>
      <w:spacing w:after="120" w:line="260" w:lineRule="atLeast"/>
      <w:jc w:val="left"/>
    </w:pPr>
    <w:rPr>
      <w:rFonts w:ascii="Palatino Linotype" w:hAnsi="Palatino Linotype"/>
      <w:b/>
      <w:sz w:val="20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7F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41tablecaption">
    <w:name w:val="MDPI_4.1_table_caption"/>
    <w:basedOn w:val="a"/>
    <w:qFormat/>
    <w:rsid w:val="00DA3A7F"/>
    <w:pPr>
      <w:adjustRightInd w:val="0"/>
      <w:snapToGrid w:val="0"/>
      <w:spacing w:before="240" w:after="120" w:line="260" w:lineRule="atLeast"/>
      <w:ind w:left="425" w:right="425"/>
    </w:pPr>
    <w:rPr>
      <w:rFonts w:ascii="Palatino Linotype" w:hAnsi="Palatino Linotype"/>
      <w:sz w:val="18"/>
      <w:szCs w:val="22"/>
      <w:lang w:bidi="en-US"/>
    </w:rPr>
  </w:style>
  <w:style w:type="table" w:customStyle="1" w:styleId="6-51">
    <w:name w:val="清单表 6 彩色 - 着色 51"/>
    <w:basedOn w:val="a1"/>
    <w:uiPriority w:val="51"/>
    <w:rsid w:val="00DA3A7F"/>
    <w:pPr>
      <w:spacing w:after="0" w:line="240" w:lineRule="auto"/>
    </w:pPr>
    <w:rPr>
      <w:color w:val="31849B" w:themeColor="accent5" w:themeShade="BF"/>
      <w:kern w:val="2"/>
      <w:sz w:val="21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3">
    <w:name w:val="header"/>
    <w:basedOn w:val="a"/>
    <w:link w:val="Char"/>
    <w:uiPriority w:val="99"/>
    <w:unhideWhenUsed/>
    <w:rsid w:val="00C34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917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styleId="a4">
    <w:name w:val="footer"/>
    <w:basedOn w:val="a"/>
    <w:link w:val="Char0"/>
    <w:uiPriority w:val="99"/>
    <w:unhideWhenUsed/>
    <w:rsid w:val="00C3491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917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customStyle="1" w:styleId="MDPI36textafterlist">
    <w:name w:val="MDPI_3.6_text_after_list"/>
    <w:basedOn w:val="a"/>
    <w:qFormat/>
    <w:rsid w:val="00C34917"/>
    <w:pPr>
      <w:adjustRightInd w:val="0"/>
      <w:snapToGrid w:val="0"/>
      <w:spacing w:before="120" w:line="260" w:lineRule="atLeast"/>
      <w:ind w:firstLine="425"/>
    </w:pPr>
    <w:rPr>
      <w:rFonts w:ascii="Palatino Linotype" w:hAnsi="Palatino Linotype"/>
      <w:snapToGrid w:val="0"/>
      <w:sz w:val="20"/>
      <w:szCs w:val="22"/>
      <w:lang w:bidi="en-US"/>
    </w:rPr>
  </w:style>
  <w:style w:type="paragraph" w:customStyle="1" w:styleId="MDPI12title">
    <w:name w:val="MDPI_1.2_title"/>
    <w:next w:val="MDPI13authornames"/>
    <w:qFormat/>
    <w:rsid w:val="000A5AB6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a"/>
    <w:next w:val="a"/>
    <w:qFormat/>
    <w:rsid w:val="000A5AB6"/>
    <w:pPr>
      <w:adjustRightInd w:val="0"/>
      <w:snapToGrid w:val="0"/>
      <w:spacing w:after="120" w:line="260" w:lineRule="atLeast"/>
      <w:jc w:val="left"/>
    </w:pPr>
    <w:rPr>
      <w:rFonts w:ascii="Palatino Linotype" w:hAnsi="Palatino Linotype"/>
      <w:b/>
      <w:sz w:val="20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F74A-4DA3-4E31-A6E2-33C0BC49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Zhang</dc:creator>
  <cp:lastModifiedBy>Lin Zhang</cp:lastModifiedBy>
  <cp:revision>8</cp:revision>
  <dcterms:created xsi:type="dcterms:W3CDTF">2018-12-08T13:18:00Z</dcterms:created>
  <dcterms:modified xsi:type="dcterms:W3CDTF">2019-01-29T02:19:00Z</dcterms:modified>
</cp:coreProperties>
</file>