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F6528" w14:textId="77777777" w:rsidR="00A15989" w:rsidRPr="000033A4" w:rsidRDefault="00A15989" w:rsidP="00A15989">
      <w:pPr>
        <w:pStyle w:val="SupplementaryMaterial"/>
        <w:rPr>
          <w:b w:val="0"/>
          <w:lang w:val="pt-PT"/>
        </w:rPr>
      </w:pPr>
      <w:proofErr w:type="spellStart"/>
      <w:proofErr w:type="gramStart"/>
      <w:r w:rsidRPr="000033A4">
        <w:rPr>
          <w:lang w:val="pt-PT"/>
        </w:rPr>
        <w:t>Supplementary</w:t>
      </w:r>
      <w:proofErr w:type="spellEnd"/>
      <w:r w:rsidRPr="000033A4">
        <w:rPr>
          <w:lang w:val="pt-PT"/>
        </w:rPr>
        <w:t xml:space="preserve"> Material</w:t>
      </w:r>
      <w:proofErr w:type="gramEnd"/>
    </w:p>
    <w:p w14:paraId="505891D6" w14:textId="77777777" w:rsidR="00A15989" w:rsidRPr="000033A4" w:rsidRDefault="00A15989" w:rsidP="00A15989">
      <w:pPr>
        <w:pStyle w:val="Ttulo"/>
        <w:rPr>
          <w:lang w:val="pt-PT"/>
        </w:rPr>
      </w:pPr>
      <w:proofErr w:type="spellStart"/>
      <w:r w:rsidRPr="000033A4">
        <w:rPr>
          <w:lang w:val="pt-PT"/>
        </w:rPr>
        <w:t>Article</w:t>
      </w:r>
      <w:proofErr w:type="spellEnd"/>
      <w:r w:rsidRPr="000033A4">
        <w:rPr>
          <w:lang w:val="pt-PT"/>
        </w:rPr>
        <w:t xml:space="preserve"> </w:t>
      </w:r>
      <w:proofErr w:type="spellStart"/>
      <w:r w:rsidRPr="000033A4">
        <w:rPr>
          <w:lang w:val="pt-PT"/>
        </w:rPr>
        <w:t>Title</w:t>
      </w:r>
      <w:proofErr w:type="spellEnd"/>
    </w:p>
    <w:p w14:paraId="369CA3EA" w14:textId="49B098C3" w:rsidR="00BC1BD1" w:rsidRPr="00BC1BD1" w:rsidRDefault="00BC1BD1" w:rsidP="00BC1BD1">
      <w:pPr>
        <w:spacing w:after="0"/>
        <w:rPr>
          <w:rFonts w:cs="Times New Roman"/>
          <w:b/>
          <w:szCs w:val="24"/>
          <w:lang w:val="pt-PT"/>
        </w:rPr>
      </w:pPr>
      <w:r w:rsidRPr="00BC1BD1">
        <w:rPr>
          <w:rFonts w:cs="Times New Roman"/>
          <w:b/>
          <w:szCs w:val="24"/>
          <w:lang w:val="pt-PT"/>
        </w:rPr>
        <w:t>Ana Rita Vaz, Sara Pinto, Catarina Ezequiel, Carolina Cunha, Luís A Carvalho, Rui Moreira, Dora Brites</w:t>
      </w:r>
      <w:r>
        <w:rPr>
          <w:rFonts w:cs="Times New Roman"/>
          <w:b/>
          <w:szCs w:val="24"/>
          <w:vertAlign w:val="superscript"/>
          <w:lang w:val="pt-PT"/>
        </w:rPr>
        <w:t>*</w:t>
      </w:r>
    </w:p>
    <w:p w14:paraId="4EB9491C" w14:textId="3861494F" w:rsidR="00A15989" w:rsidRPr="00994A3D" w:rsidRDefault="00A15989" w:rsidP="00A15989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 xml:space="preserve">Corresponding Author: </w:t>
      </w:r>
      <w:r w:rsidR="00BC1BD1">
        <w:rPr>
          <w:rFonts w:cs="Times New Roman"/>
        </w:rPr>
        <w:t>dbrites@ff.ulisboa.pt</w:t>
      </w:r>
    </w:p>
    <w:p w14:paraId="3536895F" w14:textId="1397DA47" w:rsidR="00A15989" w:rsidRDefault="00A15989" w:rsidP="008F2E20">
      <w:pPr>
        <w:spacing w:before="0" w:after="0"/>
        <w:jc w:val="both"/>
      </w:pPr>
    </w:p>
    <w:p w14:paraId="439DA105" w14:textId="113724BF" w:rsidR="000033A4" w:rsidRDefault="000033A4" w:rsidP="008F2E20">
      <w:pPr>
        <w:spacing w:before="0" w:after="0"/>
        <w:jc w:val="both"/>
      </w:pPr>
    </w:p>
    <w:p w14:paraId="2A118F79" w14:textId="104E4D68" w:rsidR="000033A4" w:rsidRDefault="000033A4" w:rsidP="000033A4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Supplementary</w:t>
      </w:r>
      <w:r>
        <w:rPr>
          <w:rFonts w:cs="Times New Roman"/>
          <w:b/>
          <w:szCs w:val="24"/>
        </w:rPr>
        <w:t xml:space="preserve"> </w:t>
      </w:r>
      <w:r w:rsidRPr="003F7B82">
        <w:rPr>
          <w:rFonts w:cs="Times New Roman"/>
          <w:b/>
          <w:szCs w:val="24"/>
        </w:rPr>
        <w:t>Materials and Methods</w:t>
      </w:r>
    </w:p>
    <w:p w14:paraId="3960CECD" w14:textId="77777777" w:rsidR="000033A4" w:rsidRDefault="000033A4" w:rsidP="000033A4">
      <w:pPr>
        <w:spacing w:after="0"/>
        <w:jc w:val="both"/>
        <w:rPr>
          <w:rFonts w:cs="Times New Roman"/>
          <w:b/>
          <w:szCs w:val="24"/>
        </w:rPr>
      </w:pPr>
    </w:p>
    <w:p w14:paraId="3A284687" w14:textId="26FC554A" w:rsidR="000033A4" w:rsidRPr="003F7B82" w:rsidRDefault="000033A4" w:rsidP="000033A4">
      <w:pPr>
        <w:spacing w:after="0"/>
        <w:jc w:val="both"/>
        <w:rPr>
          <w:rFonts w:cs="Times New Roman"/>
          <w:b/>
          <w:szCs w:val="24"/>
        </w:rPr>
      </w:pPr>
      <w:r w:rsidRPr="00A53024">
        <w:rPr>
          <w:rFonts w:cs="Times New Roman"/>
          <w:b/>
          <w:szCs w:val="24"/>
        </w:rPr>
        <w:t>N9 cell</w:t>
      </w:r>
      <w:r>
        <w:rPr>
          <w:rFonts w:cs="Times New Roman"/>
          <w:b/>
          <w:szCs w:val="24"/>
        </w:rPr>
        <w:t xml:space="preserve"> line</w:t>
      </w:r>
      <w:r w:rsidRPr="00A53024">
        <w:rPr>
          <w:rFonts w:cs="Times New Roman"/>
          <w:b/>
          <w:szCs w:val="24"/>
        </w:rPr>
        <w:t xml:space="preserve"> transduction: Lentiviral </w:t>
      </w:r>
      <w:r>
        <w:rPr>
          <w:rFonts w:cs="Times New Roman"/>
          <w:b/>
          <w:szCs w:val="24"/>
        </w:rPr>
        <w:t>p</w:t>
      </w:r>
      <w:r w:rsidRPr="00A53024">
        <w:rPr>
          <w:rFonts w:cs="Times New Roman"/>
          <w:b/>
          <w:szCs w:val="24"/>
        </w:rPr>
        <w:t>roduction and generation of N9 cells expressing GFP protein</w:t>
      </w:r>
    </w:p>
    <w:p w14:paraId="7F5DDF6C" w14:textId="77777777" w:rsidR="000033A4" w:rsidRDefault="000033A4" w:rsidP="000033A4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szCs w:val="24"/>
        </w:rPr>
        <w:t xml:space="preserve">We used the </w:t>
      </w:r>
      <w:r w:rsidRPr="00A53024">
        <w:rPr>
          <w:rFonts w:cs="Times New Roman"/>
          <w:szCs w:val="24"/>
        </w:rPr>
        <w:t xml:space="preserve">N9 </w:t>
      </w:r>
      <w:r>
        <w:rPr>
          <w:rFonts w:cs="Times New Roman"/>
          <w:szCs w:val="24"/>
        </w:rPr>
        <w:t xml:space="preserve">microglial </w:t>
      </w:r>
      <w:r w:rsidRPr="00A53024">
        <w:rPr>
          <w:rFonts w:cs="Times New Roman"/>
          <w:szCs w:val="24"/>
        </w:rPr>
        <w:t>cell line</w:t>
      </w:r>
      <w:r>
        <w:rPr>
          <w:rFonts w:cs="Times New Roman"/>
          <w:szCs w:val="24"/>
        </w:rPr>
        <w:t xml:space="preserve"> as described in the manuscript. </w:t>
      </w:r>
      <w:r w:rsidRPr="00A53024">
        <w:rPr>
          <w:rFonts w:cs="Times New Roman"/>
          <w:szCs w:val="24"/>
        </w:rPr>
        <w:t xml:space="preserve">Lentiviral particles were produced by co-transfections of HEK293T cells with the packaging plasmids </w:t>
      </w:r>
      <w:proofErr w:type="spellStart"/>
      <w:r w:rsidRPr="00A53024">
        <w:rPr>
          <w:rFonts w:cs="Times New Roman"/>
          <w:szCs w:val="24"/>
        </w:rPr>
        <w:t>pGal</w:t>
      </w:r>
      <w:proofErr w:type="spellEnd"/>
      <w:r w:rsidRPr="00A53024">
        <w:rPr>
          <w:rFonts w:cs="Times New Roman"/>
          <w:szCs w:val="24"/>
        </w:rPr>
        <w:t xml:space="preserve">-pol and </w:t>
      </w:r>
      <w:proofErr w:type="spellStart"/>
      <w:r w:rsidRPr="00A53024">
        <w:rPr>
          <w:rFonts w:cs="Times New Roman"/>
          <w:szCs w:val="24"/>
        </w:rPr>
        <w:t>pRev</w:t>
      </w:r>
      <w:proofErr w:type="spellEnd"/>
      <w:r w:rsidRPr="00A53024">
        <w:rPr>
          <w:rFonts w:cs="Times New Roman"/>
          <w:szCs w:val="24"/>
        </w:rPr>
        <w:t xml:space="preserve">, the envelope plasmid </w:t>
      </w:r>
      <w:proofErr w:type="spellStart"/>
      <w:r w:rsidRPr="00A53024">
        <w:rPr>
          <w:rFonts w:cs="Times New Roman"/>
          <w:szCs w:val="24"/>
        </w:rPr>
        <w:t>pVSV</w:t>
      </w:r>
      <w:proofErr w:type="spellEnd"/>
      <w:r w:rsidRPr="00A53024">
        <w:rPr>
          <w:rFonts w:cs="Times New Roman"/>
          <w:szCs w:val="24"/>
        </w:rPr>
        <w:t xml:space="preserve">-G and the lentiviral expression vector </w:t>
      </w:r>
      <w:proofErr w:type="spellStart"/>
      <w:r w:rsidRPr="009D26D3">
        <w:rPr>
          <w:rFonts w:cs="Times New Roman"/>
          <w:szCs w:val="24"/>
        </w:rPr>
        <w:t>LentiGFP</w:t>
      </w:r>
      <w:proofErr w:type="spellEnd"/>
      <w:r w:rsidRPr="009D26D3">
        <w:rPr>
          <w:rFonts w:cs="Times New Roman"/>
          <w:szCs w:val="24"/>
        </w:rPr>
        <w:t xml:space="preserve"> (</w:t>
      </w:r>
      <w:proofErr w:type="spellStart"/>
      <w:r w:rsidRPr="00A53024">
        <w:rPr>
          <w:rFonts w:cs="Times New Roman"/>
          <w:szCs w:val="24"/>
        </w:rPr>
        <w:t>Addgene</w:t>
      </w:r>
      <w:proofErr w:type="spellEnd"/>
      <w:r w:rsidRPr="00A53024">
        <w:rPr>
          <w:rFonts w:cs="Times New Roman"/>
          <w:szCs w:val="24"/>
        </w:rPr>
        <w:t>, Cambridge, USA</w:t>
      </w:r>
      <w:r>
        <w:rPr>
          <w:rFonts w:cs="Times New Roman"/>
          <w:szCs w:val="24"/>
        </w:rPr>
        <w:t xml:space="preserve">). </w:t>
      </w:r>
    </w:p>
    <w:p w14:paraId="4F514192" w14:textId="77777777" w:rsidR="000033A4" w:rsidRDefault="000033A4" w:rsidP="000033A4">
      <w:pPr>
        <w:spacing w:after="0"/>
        <w:jc w:val="both"/>
        <w:rPr>
          <w:rFonts w:cs="Times New Roman"/>
          <w:b/>
          <w:szCs w:val="24"/>
        </w:rPr>
      </w:pPr>
    </w:p>
    <w:p w14:paraId="7B4D6A4F" w14:textId="77777777" w:rsidR="000033A4" w:rsidRPr="008B5039" w:rsidRDefault="000033A4" w:rsidP="000033A4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Morphological characterization</w:t>
      </w:r>
    </w:p>
    <w:p w14:paraId="2CF86AA3" w14:textId="77777777" w:rsidR="000033A4" w:rsidRPr="00D73D6B" w:rsidRDefault="000033A4" w:rsidP="000033A4">
      <w:pPr>
        <w:spacing w:after="0"/>
        <w:jc w:val="both"/>
        <w:rPr>
          <w:rFonts w:cs="Times New Roman"/>
          <w:szCs w:val="24"/>
        </w:rPr>
      </w:pPr>
      <w:r w:rsidRPr="00D73D6B">
        <w:rPr>
          <w:rFonts w:cs="Times New Roman"/>
          <w:szCs w:val="24"/>
        </w:rPr>
        <w:t>For immunofluorescence detection, N9</w:t>
      </w:r>
      <w:r>
        <w:rPr>
          <w:rFonts w:cs="Times New Roman"/>
          <w:szCs w:val="24"/>
        </w:rPr>
        <w:t xml:space="preserve"> microglia</w:t>
      </w:r>
      <w:r w:rsidRPr="00D73D6B">
        <w:rPr>
          <w:rFonts w:cs="Times New Roman"/>
          <w:szCs w:val="24"/>
        </w:rPr>
        <w:t xml:space="preserve"> cells were fixed for 20 min with freshly prepared 4% (w/v) paraformaldehyde in PBS and a</w:t>
      </w:r>
      <w:r>
        <w:rPr>
          <w:rFonts w:cs="Times New Roman"/>
          <w:szCs w:val="24"/>
        </w:rPr>
        <w:t>n</w:t>
      </w:r>
      <w:r w:rsidRPr="00D73D6B">
        <w:rPr>
          <w:rFonts w:cs="Times New Roman"/>
          <w:szCs w:val="24"/>
        </w:rPr>
        <w:t xml:space="preserve"> immunocytochemical technique was performed as usually in our lab for </w:t>
      </w:r>
      <w:r>
        <w:rPr>
          <w:rFonts w:cs="Times New Roman"/>
          <w:szCs w:val="24"/>
        </w:rPr>
        <w:t>these</w:t>
      </w:r>
      <w:r w:rsidRPr="00D73D6B">
        <w:rPr>
          <w:rFonts w:cs="Times New Roman"/>
          <w:szCs w:val="24"/>
        </w:rPr>
        <w:t xml:space="preserve"> cells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ADDIN EN.CITE &lt;EndNote&gt;&lt;Cite&gt;&lt;Author&gt;Cunha&lt;/Author&gt;&lt;Year&gt;2016&lt;/Year&gt;&lt;RecNum&gt;1221&lt;/RecNum&gt;&lt;DisplayText&gt;(Cunha&lt;style face="italic"&gt; et al.&lt;/style&gt;, 2016)&lt;/DisplayText&gt;&lt;record&gt;&lt;rec-number&gt;1221&lt;/rec-number&gt;&lt;foreign-keys&gt;&lt;key app="EN" db-id="ddvswwpfxsz9fnefp9bxwr5bv5a2sxsxvzf9" timestamp="1539789149"&gt;1221&lt;/key&gt;&lt;/foreign-keys&gt;&lt;ref-type name="Journal Article"&gt;17&lt;/ref-type&gt;&lt;contributors&gt;&lt;authors&gt;&lt;author&gt;Cunha, Carolina&lt;/author&gt;&lt;author&gt;Gomes, Cátia&lt;/author&gt;&lt;author&gt;Vaz, Ana Rita&lt;/author&gt;&lt;author&gt;Brites, Dora&lt;/author&gt;&lt;/authors&gt;&lt;/contributors&gt;&lt;titles&gt;&lt;title&gt;Exploring New Inflammatory Biomarkers and Pathways during LPS-Induced M1 Polarization&lt;/title&gt;&lt;secondary-title&gt;Mediators of Inflammation&lt;/secondary-title&gt;&lt;/titles&gt;&lt;periodical&gt;&lt;full-title&gt;Mediators of Inflammation&lt;/full-title&gt;&lt;/periodical&gt;&lt;volume&gt;2016&lt;/volume&gt;&lt;dates&gt;&lt;year&gt;2016&lt;/year&gt;&lt;/dates&gt;&lt;isbn&gt;1466-1861 (Electronic) 0962-9351 (Linking)&lt;/isbn&gt;&lt;urls&gt;&lt;pdf-urls&gt;&lt;url&gt;file:///C:/Users/TOSHIBA/Documents/FFUL/Artigo Catarina/cunha 2016.pdf&lt;/url&gt;&lt;/pdf-urls&gt;&lt;/urls&gt;&lt;electronic-resource-num&gt;10.1155/2016/6986175&lt;/electronic-resource-num&gt;&lt;/record&gt;&lt;/Cite&gt;&lt;/EndNote&gt;</w:instrText>
      </w:r>
      <w:r>
        <w:rPr>
          <w:rFonts w:cs="Times New Roman"/>
          <w:szCs w:val="24"/>
        </w:rPr>
        <w:fldChar w:fldCharType="separate"/>
      </w:r>
      <w:r>
        <w:rPr>
          <w:rFonts w:cs="Times New Roman"/>
          <w:noProof/>
          <w:szCs w:val="24"/>
        </w:rPr>
        <w:t>(</w:t>
      </w:r>
      <w:hyperlink w:anchor="_ENREF_21" w:tooltip="Cunha, 2016 #1221" w:history="1">
        <w:r>
          <w:rPr>
            <w:rFonts w:cs="Times New Roman"/>
            <w:noProof/>
            <w:szCs w:val="24"/>
          </w:rPr>
          <w:t>Cunha</w:t>
        </w:r>
        <w:r w:rsidRPr="00932AAC">
          <w:rPr>
            <w:rFonts w:cs="Times New Roman"/>
            <w:i/>
            <w:noProof/>
            <w:szCs w:val="24"/>
          </w:rPr>
          <w:t xml:space="preserve"> et al.</w:t>
        </w:r>
        <w:r>
          <w:rPr>
            <w:rFonts w:cs="Times New Roman"/>
            <w:noProof/>
            <w:szCs w:val="24"/>
          </w:rPr>
          <w:t>, 2016</w:t>
        </w:r>
      </w:hyperlink>
      <w:r>
        <w:rPr>
          <w:rFonts w:cs="Times New Roman"/>
          <w:noProof/>
          <w:szCs w:val="24"/>
        </w:rPr>
        <w:t>)</w:t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. </w:t>
      </w:r>
      <w:r w:rsidRPr="00D73D6B">
        <w:rPr>
          <w:rFonts w:cs="Times New Roman"/>
          <w:szCs w:val="24"/>
        </w:rPr>
        <w:t xml:space="preserve">N9 microglia were immunostained with rabbit anti-ionized calcium-binding adaptor molecule 1 (Iba1) (1:250, #019-19741, Wako), and nuclei were counterstained with Hoechst 33258 dye (blue). UV and fluorescence images of ten random microscopic fields (original magnification: 400X) were acquired per sample using an </w:t>
      </w:r>
      <w:proofErr w:type="spellStart"/>
      <w:r w:rsidRPr="00D73D6B">
        <w:rPr>
          <w:rFonts w:cs="Times New Roman"/>
          <w:szCs w:val="24"/>
        </w:rPr>
        <w:t>AxioCam</w:t>
      </w:r>
      <w:proofErr w:type="spellEnd"/>
      <w:r w:rsidRPr="00D73D6B">
        <w:rPr>
          <w:rFonts w:cs="Times New Roman"/>
          <w:szCs w:val="24"/>
        </w:rPr>
        <w:t xml:space="preserve"> HR camera adapted to an </w:t>
      </w:r>
      <w:proofErr w:type="spellStart"/>
      <w:r w:rsidRPr="00D73D6B">
        <w:rPr>
          <w:rFonts w:cs="Times New Roman"/>
          <w:szCs w:val="24"/>
        </w:rPr>
        <w:t>AxioScope</w:t>
      </w:r>
      <w:proofErr w:type="spellEnd"/>
      <w:r w:rsidRPr="00D73D6B">
        <w:rPr>
          <w:rFonts w:cs="Times New Roman"/>
          <w:szCs w:val="24"/>
        </w:rPr>
        <w:t xml:space="preserve"> A1® microscope (Zeiss, Germany), and Zen 2012 (blue edition, Zeiss) software. The</w:t>
      </w:r>
      <w:r>
        <w:rPr>
          <w:rFonts w:cs="Times New Roman"/>
          <w:szCs w:val="24"/>
        </w:rPr>
        <w:t xml:space="preserve"> cell area, perimeter and </w:t>
      </w:r>
      <w:proofErr w:type="spellStart"/>
      <w:r>
        <w:rPr>
          <w:rFonts w:cs="Times New Roman"/>
          <w:szCs w:val="24"/>
        </w:rPr>
        <w:t>Feret’s</w:t>
      </w:r>
      <w:proofErr w:type="spellEnd"/>
      <w:r>
        <w:rPr>
          <w:rFonts w:cs="Times New Roman"/>
          <w:szCs w:val="24"/>
        </w:rPr>
        <w:t xml:space="preserve"> diameter were determined using the ImageJ software. </w:t>
      </w:r>
    </w:p>
    <w:p w14:paraId="511FCCE0" w14:textId="77777777" w:rsidR="000033A4" w:rsidRDefault="000033A4" w:rsidP="000033A4">
      <w:pPr>
        <w:spacing w:after="0"/>
        <w:jc w:val="both"/>
        <w:rPr>
          <w:rFonts w:cs="Times New Roman"/>
          <w:b/>
          <w:szCs w:val="24"/>
        </w:rPr>
      </w:pPr>
    </w:p>
    <w:p w14:paraId="4C038929" w14:textId="77777777" w:rsidR="000033A4" w:rsidRPr="003F7B82" w:rsidRDefault="000033A4" w:rsidP="000033A4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MTS assay </w:t>
      </w:r>
    </w:p>
    <w:p w14:paraId="479D1337" w14:textId="77777777" w:rsidR="000033A4" w:rsidRDefault="000033A4" w:rsidP="000033A4">
      <w:pPr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Cellular reduction of MTS [</w:t>
      </w:r>
      <w:r w:rsidRPr="00F5082B">
        <w:rPr>
          <w:rFonts w:cs="Times New Roman"/>
          <w:szCs w:val="24"/>
        </w:rPr>
        <w:t xml:space="preserve">3-(4,5-dimethylthiazol-2-yl)-5-(3-carboxymethoxyphenyl)-2-(4- </w:t>
      </w:r>
      <w:proofErr w:type="spellStart"/>
      <w:r w:rsidRPr="00F5082B">
        <w:rPr>
          <w:rFonts w:cs="Times New Roman"/>
          <w:szCs w:val="24"/>
        </w:rPr>
        <w:t>sulfophenyl</w:t>
      </w:r>
      <w:proofErr w:type="spellEnd"/>
      <w:r w:rsidRPr="00F5082B">
        <w:rPr>
          <w:rFonts w:cs="Times New Roman"/>
          <w:szCs w:val="24"/>
        </w:rPr>
        <w:t>)-2H-tetrazolium</w:t>
      </w:r>
      <w:r>
        <w:rPr>
          <w:rFonts w:cs="Times New Roman"/>
          <w:szCs w:val="24"/>
        </w:rPr>
        <w:t>]</w:t>
      </w:r>
      <w:r w:rsidRPr="00F5082B">
        <w:rPr>
          <w:rFonts w:cs="Times New Roman"/>
          <w:szCs w:val="24"/>
        </w:rPr>
        <w:t xml:space="preserve"> is an enzymatic reaction that occurs in functional cells</w:t>
      </w:r>
      <w:r>
        <w:rPr>
          <w:rFonts w:cs="Times New Roman"/>
          <w:szCs w:val="24"/>
        </w:rPr>
        <w:t xml:space="preserve">, </w:t>
      </w:r>
      <w:proofErr w:type="gramStart"/>
      <w:r>
        <w:rPr>
          <w:rFonts w:cs="Times New Roman"/>
          <w:szCs w:val="24"/>
        </w:rPr>
        <w:t xml:space="preserve">being  </w:t>
      </w:r>
      <w:r w:rsidRPr="00F5082B">
        <w:rPr>
          <w:rFonts w:cs="Times New Roman"/>
          <w:szCs w:val="24"/>
        </w:rPr>
        <w:t>considered</w:t>
      </w:r>
      <w:proofErr w:type="gramEnd"/>
      <w:r w:rsidRPr="00F5082B">
        <w:rPr>
          <w:rFonts w:cs="Times New Roman"/>
          <w:szCs w:val="24"/>
        </w:rPr>
        <w:t xml:space="preserve"> a marker </w:t>
      </w:r>
      <w:r>
        <w:rPr>
          <w:rFonts w:cs="Times New Roman"/>
          <w:szCs w:val="24"/>
        </w:rPr>
        <w:t>of</w:t>
      </w:r>
      <w:r w:rsidRPr="00F5082B">
        <w:rPr>
          <w:rFonts w:cs="Times New Roman"/>
          <w:szCs w:val="24"/>
        </w:rPr>
        <w:t xml:space="preserve"> cell viability. Cells were incubated </w:t>
      </w:r>
      <w:r>
        <w:rPr>
          <w:rFonts w:cs="Times New Roman"/>
          <w:szCs w:val="24"/>
        </w:rPr>
        <w:t xml:space="preserve">for </w:t>
      </w:r>
      <w:r w:rsidRPr="00F5082B">
        <w:rPr>
          <w:rFonts w:cs="Times New Roman"/>
          <w:szCs w:val="24"/>
        </w:rPr>
        <w:t>1 h</w:t>
      </w:r>
      <w:r>
        <w:rPr>
          <w:rFonts w:cs="Times New Roman"/>
          <w:szCs w:val="24"/>
        </w:rPr>
        <w:t>,</w:t>
      </w:r>
      <w:r w:rsidRPr="00F5082B">
        <w:rPr>
          <w:rFonts w:cs="Times New Roman"/>
          <w:szCs w:val="24"/>
        </w:rPr>
        <w:t xml:space="preserve"> at 37</w:t>
      </w:r>
      <w:r>
        <w:rPr>
          <w:rFonts w:ascii="Calibri" w:hAnsi="Calibri" w:cs="Calibri"/>
          <w:szCs w:val="24"/>
        </w:rPr>
        <w:t>°</w:t>
      </w:r>
      <w:r>
        <w:rPr>
          <w:rFonts w:cs="Times New Roman"/>
          <w:szCs w:val="24"/>
        </w:rPr>
        <w:t xml:space="preserve">C, with a combination of MTS </w:t>
      </w:r>
      <w:r w:rsidRPr="00F5082B">
        <w:rPr>
          <w:rFonts w:cs="Times New Roman"/>
          <w:szCs w:val="24"/>
        </w:rPr>
        <w:t xml:space="preserve">and </w:t>
      </w:r>
      <w:r>
        <w:rPr>
          <w:rFonts w:cs="Times New Roman"/>
          <w:szCs w:val="24"/>
        </w:rPr>
        <w:t>p</w:t>
      </w:r>
      <w:r w:rsidRPr="00F5082B">
        <w:rPr>
          <w:rFonts w:cs="Times New Roman"/>
          <w:szCs w:val="24"/>
        </w:rPr>
        <w:t>henazine</w:t>
      </w:r>
      <w:r>
        <w:rPr>
          <w:rFonts w:cs="Times New Roman"/>
          <w:szCs w:val="24"/>
        </w:rPr>
        <w:t xml:space="preserve"> </w:t>
      </w:r>
      <w:r w:rsidRPr="00F5082B">
        <w:rPr>
          <w:rFonts w:cs="Times New Roman"/>
          <w:szCs w:val="24"/>
        </w:rPr>
        <w:t>methosulfate</w:t>
      </w:r>
      <w:r>
        <w:rPr>
          <w:rFonts w:cs="Times New Roman"/>
          <w:szCs w:val="24"/>
        </w:rPr>
        <w:t xml:space="preserve"> (</w:t>
      </w:r>
      <w:r w:rsidRPr="00F5082B">
        <w:rPr>
          <w:rFonts w:cs="Times New Roman"/>
          <w:szCs w:val="24"/>
        </w:rPr>
        <w:t>PMS</w:t>
      </w:r>
      <w:r>
        <w:rPr>
          <w:rFonts w:cs="Times New Roman"/>
          <w:szCs w:val="24"/>
        </w:rPr>
        <w:t xml:space="preserve">) in cell </w:t>
      </w:r>
      <w:r w:rsidRPr="00711697">
        <w:rPr>
          <w:rFonts w:cs="Times New Roman"/>
          <w:szCs w:val="24"/>
        </w:rPr>
        <w:t>medium</w:t>
      </w:r>
      <w:r w:rsidRPr="00F5082B">
        <w:rPr>
          <w:rFonts w:cs="Times New Roman"/>
          <w:szCs w:val="24"/>
        </w:rPr>
        <w:t xml:space="preserve">. Absorbance was </w:t>
      </w:r>
      <w:r>
        <w:rPr>
          <w:rFonts w:cs="Times New Roman"/>
          <w:szCs w:val="24"/>
        </w:rPr>
        <w:t>red</w:t>
      </w:r>
      <w:r w:rsidRPr="00F5082B">
        <w:rPr>
          <w:rFonts w:cs="Times New Roman"/>
          <w:szCs w:val="24"/>
        </w:rPr>
        <w:t xml:space="preserve"> at 490 nm using a microplate reader (Bio-Rad Laboratories; Hercules, CA, USA). For each experiment, the mean value of absorbance obtained from control conditions was considered as 100% of cell functionality</w:t>
      </w:r>
      <w:r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ADDIN EN.CITE &lt;EndNote&gt;&lt;Cite&gt;&lt;Author&gt;Falcão&lt;/Author&gt;&lt;Year&gt;2017&lt;/Year&gt;&lt;RecNum&gt;17&lt;/RecNum&gt;&lt;DisplayText&gt;(Falcão&lt;style face="italic"&gt; et al.&lt;/style&gt;, 2017)&lt;/DisplayText&gt;&lt;record&gt;&lt;rec-number&gt;17&lt;/rec-number&gt;&lt;foreign-keys&gt;&lt;key app="EN" db-id="xs95zp0x6aawvde99drp5ss3zpfxtsaesppx" timestamp="1537354554"&gt;17&lt;/key&gt;&lt;/foreign-keys&gt;&lt;ref-type name="Journal Article"&gt;17&lt;/ref-type&gt;&lt;contributors&gt;&lt;authors&gt;&lt;author&gt;Falcão, Ana S.&lt;/author&gt;&lt;author&gt;Carvalho, Luís A. R.&lt;/author&gt;&lt;author&gt;Lidónio, Gonçalo&lt;/author&gt;&lt;author&gt;Vaz, Ana R.&lt;/author&gt;&lt;author&gt;Lucas, Susana D.&lt;/author&gt;&lt;author&gt;Moreira, Rui&lt;/author&gt;&lt;author&gt;Brites, Dora&lt;/author&gt;&lt;/authors&gt;&lt;/contributors&gt;&lt;titles&gt;&lt;title&gt;Dipeptidyl Vinyl Sulfone as a Novel Chemical Tool to Inhibit HMGB1/NLRP3-Inflammasome and Inflamma-miRs in Aβ-Mediated Microglial Inflammation&lt;/title&gt;&lt;secondary-title&gt;ACS Chemical Neuroscience&lt;/secondary-title&gt;&lt;/titles&gt;&lt;periodical&gt;&lt;full-title&gt;ACS Chemical Neuroscience&lt;/full-title&gt;&lt;/periodical&gt;&lt;pages&gt;89-99&lt;/pages&gt;&lt;volume&gt;8&lt;/volume&gt;&lt;number&gt;1&lt;/number&gt;&lt;keywords&gt;&lt;keyword&gt;HMGB1&lt;/keyword&gt;&lt;keyword&gt;Microglia&lt;/keyword&gt;&lt;keyword&gt;amyloid-β peptide&lt;/keyword&gt;&lt;keyword&gt;inflammasome&lt;/keyword&gt;&lt;keyword&gt;microRNAs&lt;/keyword&gt;&lt;keyword&gt;vinyl sulfones&lt;/keyword&gt;&lt;/keywords&gt;&lt;dates&gt;&lt;year&gt;2017&lt;/year&gt;&lt;/dates&gt;&lt;urls&gt;&lt;related-urls&gt;&lt;url&gt;http://www.ncbi.nlm.nih.gov/pubmed/27797173&lt;/url&gt;&lt;url&gt;http://pubs.acs.org/doi/10.1021/acschemneuro.6b00250&lt;/url&gt;&lt;/related-urls&gt;&lt;/urls&gt;&lt;electronic-resource-num&gt;10.1021/acschemneuro.6b00250&lt;/electronic-resource-num&gt;&lt;/record&gt;&lt;/Cite&gt;&lt;/EndNote&gt;</w:instrText>
      </w:r>
      <w:r>
        <w:rPr>
          <w:rFonts w:cs="Times New Roman"/>
          <w:szCs w:val="24"/>
        </w:rPr>
        <w:fldChar w:fldCharType="separate"/>
      </w:r>
      <w:r>
        <w:rPr>
          <w:rFonts w:cs="Times New Roman"/>
          <w:noProof/>
          <w:szCs w:val="24"/>
        </w:rPr>
        <w:t>(</w:t>
      </w:r>
      <w:hyperlink w:anchor="_ENREF_17" w:tooltip="Falcão, 2017 #17" w:history="1">
        <w:r>
          <w:rPr>
            <w:rFonts w:cs="Times New Roman"/>
            <w:noProof/>
            <w:szCs w:val="24"/>
          </w:rPr>
          <w:t>Falcão</w:t>
        </w:r>
        <w:r w:rsidRPr="00932AAC">
          <w:rPr>
            <w:rFonts w:cs="Times New Roman"/>
            <w:i/>
            <w:noProof/>
            <w:szCs w:val="24"/>
          </w:rPr>
          <w:t xml:space="preserve"> et al.</w:t>
        </w:r>
        <w:r>
          <w:rPr>
            <w:rFonts w:cs="Times New Roman"/>
            <w:noProof/>
            <w:szCs w:val="24"/>
          </w:rPr>
          <w:t>, 2017</w:t>
        </w:r>
      </w:hyperlink>
      <w:r>
        <w:rPr>
          <w:rFonts w:cs="Times New Roman"/>
          <w:noProof/>
          <w:szCs w:val="24"/>
        </w:rPr>
        <w:t>)</w:t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. </w:t>
      </w:r>
    </w:p>
    <w:p w14:paraId="6FF6FCF2" w14:textId="77777777" w:rsidR="000033A4" w:rsidRPr="008B5039" w:rsidRDefault="000033A4" w:rsidP="000033A4">
      <w:pPr>
        <w:spacing w:after="0"/>
        <w:jc w:val="both"/>
        <w:rPr>
          <w:rFonts w:cs="Times New Roman"/>
          <w:szCs w:val="24"/>
        </w:rPr>
      </w:pPr>
    </w:p>
    <w:p w14:paraId="7152B331" w14:textId="77777777" w:rsidR="000033A4" w:rsidRPr="008B5039" w:rsidRDefault="000033A4" w:rsidP="000033A4">
      <w:pPr>
        <w:spacing w:after="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Microglial phagocytosis assay</w:t>
      </w:r>
    </w:p>
    <w:p w14:paraId="09B95095" w14:textId="77777777" w:rsidR="000033A4" w:rsidRPr="00A5209B" w:rsidRDefault="000033A4" w:rsidP="000033A4">
      <w:pPr>
        <w:spacing w:after="0"/>
        <w:jc w:val="both"/>
        <w:rPr>
          <w:rFonts w:cs="Times New Roman"/>
          <w:szCs w:val="24"/>
        </w:rPr>
      </w:pPr>
      <w:r w:rsidRPr="00A5209B">
        <w:rPr>
          <w:rFonts w:cs="Times New Roman"/>
          <w:szCs w:val="24"/>
        </w:rPr>
        <w:lastRenderedPageBreak/>
        <w:t>To evalua</w:t>
      </w:r>
      <w:r>
        <w:rPr>
          <w:rFonts w:cs="Times New Roman"/>
          <w:szCs w:val="24"/>
        </w:rPr>
        <w:t xml:space="preserve">te the phagocytic ability of </w:t>
      </w:r>
      <w:r w:rsidRPr="00A5209B">
        <w:rPr>
          <w:rFonts w:cs="Times New Roman"/>
          <w:szCs w:val="24"/>
        </w:rPr>
        <w:t xml:space="preserve">transduced and non-transduced </w:t>
      </w:r>
      <w:r>
        <w:rPr>
          <w:rFonts w:cs="Times New Roman"/>
          <w:szCs w:val="24"/>
        </w:rPr>
        <w:t xml:space="preserve">N9 </w:t>
      </w:r>
      <w:r w:rsidRPr="00A5209B">
        <w:rPr>
          <w:rFonts w:cs="Times New Roman"/>
          <w:szCs w:val="24"/>
        </w:rPr>
        <w:t>microglia, cell</w:t>
      </w:r>
      <w:r>
        <w:rPr>
          <w:rFonts w:cs="Times New Roman"/>
          <w:szCs w:val="24"/>
        </w:rPr>
        <w:t xml:space="preserve">s were incubated with </w:t>
      </w:r>
      <w:proofErr w:type="spellStart"/>
      <w:r>
        <w:rPr>
          <w:rFonts w:cs="Times New Roman"/>
          <w:szCs w:val="24"/>
        </w:rPr>
        <w:t>pHRodo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proofErr w:type="gramStart"/>
      <w:r w:rsidRPr="00A5209B">
        <w:rPr>
          <w:rFonts w:cs="Times New Roman"/>
          <w:i/>
          <w:szCs w:val="24"/>
        </w:rPr>
        <w:t>E.Coli</w:t>
      </w:r>
      <w:proofErr w:type="spellEnd"/>
      <w:proofErr w:type="gramEnd"/>
      <w:r>
        <w:rPr>
          <w:rFonts w:cs="Times New Roman"/>
          <w:szCs w:val="24"/>
        </w:rPr>
        <w:t xml:space="preserve"> particles for 2 h at 37</w:t>
      </w:r>
      <w:r>
        <w:rPr>
          <w:rFonts w:ascii="Calibri" w:hAnsi="Calibri" w:cs="Calibri"/>
          <w:szCs w:val="24"/>
        </w:rPr>
        <w:t>°</w:t>
      </w:r>
      <w:r w:rsidRPr="00A5209B">
        <w:rPr>
          <w:rFonts w:cs="Times New Roman"/>
          <w:szCs w:val="24"/>
        </w:rPr>
        <w:t xml:space="preserve">C and fixed with </w:t>
      </w:r>
      <w:r w:rsidRPr="00D73D6B">
        <w:rPr>
          <w:rFonts w:cs="Times New Roman"/>
          <w:szCs w:val="24"/>
        </w:rPr>
        <w:t>4</w:t>
      </w:r>
      <w:r>
        <w:rPr>
          <w:rFonts w:cs="Times New Roman"/>
          <w:szCs w:val="24"/>
        </w:rPr>
        <w:t>% (w/v) paraformaldehyde in PBS</w:t>
      </w:r>
      <w:r w:rsidRPr="00A5209B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N</w:t>
      </w:r>
      <w:r w:rsidRPr="00057156">
        <w:rPr>
          <w:rFonts w:cs="Times New Roman"/>
          <w:szCs w:val="24"/>
        </w:rPr>
        <w:t>uclei were counterstained</w:t>
      </w:r>
      <w:r>
        <w:rPr>
          <w:rFonts w:cs="Times New Roman"/>
          <w:szCs w:val="24"/>
        </w:rPr>
        <w:t xml:space="preserve"> with Hoechst 33258 dye (blue). </w:t>
      </w:r>
      <w:r w:rsidRPr="00A5209B">
        <w:rPr>
          <w:rFonts w:cs="Times New Roman"/>
          <w:szCs w:val="24"/>
        </w:rPr>
        <w:t xml:space="preserve">Fluorescence was visualized using an AxioScope.A1 coupled with an </w:t>
      </w:r>
      <w:proofErr w:type="spellStart"/>
      <w:r w:rsidRPr="00A5209B">
        <w:rPr>
          <w:rFonts w:cs="Times New Roman"/>
          <w:szCs w:val="24"/>
        </w:rPr>
        <w:t>axio</w:t>
      </w:r>
      <w:r>
        <w:rPr>
          <w:rFonts w:cs="Times New Roman"/>
          <w:szCs w:val="24"/>
        </w:rPr>
        <w:t>Cam</w:t>
      </w:r>
      <w:proofErr w:type="spellEnd"/>
      <w:r>
        <w:rPr>
          <w:rFonts w:cs="Times New Roman"/>
          <w:szCs w:val="24"/>
        </w:rPr>
        <w:t xml:space="preserve"> HR camera (Carl Zeiss). </w:t>
      </w:r>
      <w:r w:rsidRPr="00D73D6B">
        <w:rPr>
          <w:rFonts w:cs="Times New Roman"/>
          <w:szCs w:val="24"/>
        </w:rPr>
        <w:t xml:space="preserve">UV and fluorescence images of ten random microscopic fields (original magnification: 400X) were acquired per sample using an </w:t>
      </w:r>
      <w:proofErr w:type="spellStart"/>
      <w:r w:rsidRPr="00D73D6B">
        <w:rPr>
          <w:rFonts w:cs="Times New Roman"/>
          <w:szCs w:val="24"/>
        </w:rPr>
        <w:t>AxioCam</w:t>
      </w:r>
      <w:proofErr w:type="spellEnd"/>
      <w:r w:rsidRPr="00D73D6B">
        <w:rPr>
          <w:rFonts w:cs="Times New Roman"/>
          <w:szCs w:val="24"/>
        </w:rPr>
        <w:t xml:space="preserve"> HR camera adapted to an </w:t>
      </w:r>
      <w:proofErr w:type="spellStart"/>
      <w:r w:rsidRPr="00D73D6B">
        <w:rPr>
          <w:rFonts w:cs="Times New Roman"/>
          <w:szCs w:val="24"/>
        </w:rPr>
        <w:t>AxioScope</w:t>
      </w:r>
      <w:proofErr w:type="spellEnd"/>
      <w:r w:rsidRPr="00D73D6B">
        <w:rPr>
          <w:rFonts w:cs="Times New Roman"/>
          <w:szCs w:val="24"/>
        </w:rPr>
        <w:t xml:space="preserve"> A1</w:t>
      </w:r>
      <w:r w:rsidRPr="00CB7D5E">
        <w:rPr>
          <w:rFonts w:cs="Times New Roman"/>
          <w:szCs w:val="24"/>
          <w:vertAlign w:val="superscript"/>
        </w:rPr>
        <w:t>®</w:t>
      </w:r>
      <w:r w:rsidRPr="00D73D6B">
        <w:rPr>
          <w:rFonts w:cs="Times New Roman"/>
          <w:szCs w:val="24"/>
        </w:rPr>
        <w:t xml:space="preserve"> microscope (Zeiss, Germany), and Zen 2012 </w:t>
      </w:r>
      <w:r>
        <w:rPr>
          <w:rFonts w:cs="Times New Roman"/>
          <w:szCs w:val="24"/>
        </w:rPr>
        <w:t xml:space="preserve">(blue edition, Zeiss) software. </w:t>
      </w:r>
      <w:r w:rsidRPr="00A5209B">
        <w:rPr>
          <w:rFonts w:cs="Times New Roman"/>
          <w:szCs w:val="24"/>
        </w:rPr>
        <w:t xml:space="preserve">The number of beads ingested per cell </w:t>
      </w:r>
      <w:r>
        <w:rPr>
          <w:rFonts w:cs="Times New Roman"/>
          <w:szCs w:val="24"/>
        </w:rPr>
        <w:t>was</w:t>
      </w:r>
      <w:r w:rsidRPr="00A5209B">
        <w:rPr>
          <w:rFonts w:cs="Times New Roman"/>
          <w:szCs w:val="24"/>
        </w:rPr>
        <w:t xml:space="preserve"> counted and distributed by inter</w:t>
      </w:r>
      <w:r>
        <w:rPr>
          <w:rFonts w:cs="Times New Roman"/>
          <w:szCs w:val="24"/>
        </w:rPr>
        <w:t xml:space="preserve">vals to determine the condition </w:t>
      </w:r>
      <w:r w:rsidRPr="00A5209B">
        <w:rPr>
          <w:rFonts w:cs="Times New Roman"/>
          <w:szCs w:val="24"/>
        </w:rPr>
        <w:t xml:space="preserve">with the highest phagocytic capacity. At least 100 cells were counted for each independent </w:t>
      </w:r>
      <w:r>
        <w:rPr>
          <w:rFonts w:cs="Times New Roman"/>
          <w:szCs w:val="24"/>
        </w:rPr>
        <w:t xml:space="preserve">condition </w:t>
      </w:r>
      <w:r>
        <w:rPr>
          <w:rFonts w:cs="Times New Roman"/>
          <w:szCs w:val="24"/>
        </w:rPr>
        <w:fldChar w:fldCharType="begin"/>
      </w:r>
      <w:r>
        <w:rPr>
          <w:rFonts w:cs="Times New Roman"/>
          <w:szCs w:val="24"/>
        </w:rPr>
        <w:instrText xml:space="preserve"> ADDIN EN.CITE &lt;EndNote&gt;&lt;Cite&gt;&lt;Author&gt;Cunha&lt;/Author&gt;&lt;Year&gt;2016&lt;/Year&gt;&lt;RecNum&gt;42&lt;/RecNum&gt;&lt;DisplayText&gt;(Cunha&lt;style face="italic"&gt; et al.&lt;/style&gt;, 2016)&lt;/DisplayText&gt;&lt;record&gt;&lt;rec-number&gt;42&lt;/rec-number&gt;&lt;foreign-keys&gt;&lt;key app="EN" db-id="xs95zp0x6aawvde99drp5ss3zpfxtsaesppx" timestamp="1537354554"&gt;42&lt;/key&gt;&lt;/foreign-keys&gt;&lt;ref-type name="Journal Article"&gt;17&lt;/ref-type&gt;&lt;contributors&gt;&lt;authors&gt;&lt;author&gt;Cunha, Carolina&lt;/author&gt;&lt;author&gt;Gomes, Cátia&lt;/author&gt;&lt;author&gt;Vaz, Ana Rita&lt;/author&gt;&lt;author&gt;Brites, Dora&lt;/author&gt;&lt;/authors&gt;&lt;/contributors&gt;&lt;titles&gt;&lt;title&gt;Exploring New Inflammatory Biomarkers and Pathways during LPS-Induced M1 Polarization&lt;/title&gt;&lt;secondary-title&gt;Mediators of Inflammation&lt;/secondary-title&gt;&lt;/titles&gt;&lt;periodical&gt;&lt;full-title&gt;Mediators of Inflammation&lt;/full-title&gt;&lt;/periodical&gt;&lt;volume&gt;2016&lt;/volume&gt;&lt;dates&gt;&lt;year&gt;2016&lt;/year&gt;&lt;/dates&gt;&lt;isbn&gt;1466-1861 (Electronic) 0962-9351 (Linking)&lt;/isbn&gt;&lt;urls&gt;&lt;pdf-urls&gt;&lt;url&gt;file:///C:/Users/TOSHIBA/Documents/FFUL/Artigo Catarina/cunha 2016.pdf&lt;/url&gt;&lt;/pdf-urls&gt;&lt;/urls&gt;&lt;electronic-resource-num&gt;10.1155/2016/6986175&lt;/electronic-resource-num&gt;&lt;/record&gt;&lt;/Cite&gt;&lt;/EndNote&gt;</w:instrText>
      </w:r>
      <w:r>
        <w:rPr>
          <w:rFonts w:cs="Times New Roman"/>
          <w:szCs w:val="24"/>
        </w:rPr>
        <w:fldChar w:fldCharType="separate"/>
      </w:r>
      <w:r>
        <w:rPr>
          <w:rFonts w:cs="Times New Roman"/>
          <w:noProof/>
          <w:szCs w:val="24"/>
        </w:rPr>
        <w:t>(</w:t>
      </w:r>
      <w:hyperlink w:anchor="_ENREF_14" w:tooltip="Cunha, 2016 #42" w:history="1">
        <w:r>
          <w:rPr>
            <w:rFonts w:cs="Times New Roman"/>
            <w:noProof/>
            <w:szCs w:val="24"/>
          </w:rPr>
          <w:t>Cunha</w:t>
        </w:r>
        <w:r w:rsidRPr="00932AAC">
          <w:rPr>
            <w:rFonts w:cs="Times New Roman"/>
            <w:i/>
            <w:noProof/>
            <w:szCs w:val="24"/>
          </w:rPr>
          <w:t xml:space="preserve"> et al.</w:t>
        </w:r>
        <w:r>
          <w:rPr>
            <w:rFonts w:cs="Times New Roman"/>
            <w:noProof/>
            <w:szCs w:val="24"/>
          </w:rPr>
          <w:t>, 2016</w:t>
        </w:r>
      </w:hyperlink>
      <w:r>
        <w:rPr>
          <w:rFonts w:cs="Times New Roman"/>
          <w:noProof/>
          <w:szCs w:val="24"/>
        </w:rPr>
        <w:t>)</w:t>
      </w:r>
      <w:r>
        <w:rPr>
          <w:rFonts w:cs="Times New Roman"/>
          <w:szCs w:val="24"/>
        </w:rPr>
        <w:fldChar w:fldCharType="end"/>
      </w:r>
      <w:r>
        <w:rPr>
          <w:rFonts w:cs="Times New Roman"/>
          <w:szCs w:val="24"/>
        </w:rPr>
        <w:t xml:space="preserve">. </w:t>
      </w:r>
    </w:p>
    <w:p w14:paraId="255517AE" w14:textId="77777777" w:rsidR="000033A4" w:rsidRDefault="000033A4" w:rsidP="000033A4">
      <w:pPr>
        <w:spacing w:after="0"/>
        <w:jc w:val="both"/>
        <w:rPr>
          <w:rFonts w:cs="Times New Roman"/>
          <w:b/>
          <w:szCs w:val="24"/>
        </w:rPr>
      </w:pPr>
    </w:p>
    <w:p w14:paraId="09FCEE78" w14:textId="68CA1A01" w:rsidR="000033A4" w:rsidRPr="004566EC" w:rsidRDefault="000033A4" w:rsidP="000033A4">
      <w:pPr>
        <w:rPr>
          <w:rFonts w:cs="Times New Roman"/>
          <w:b/>
        </w:rPr>
      </w:pPr>
      <w:r>
        <w:rPr>
          <w:rFonts w:cs="Times New Roman"/>
          <w:b/>
        </w:rPr>
        <w:t>Supplementary Figures</w:t>
      </w:r>
      <w:r w:rsidRPr="004566EC">
        <w:rPr>
          <w:rFonts w:cs="Times New Roman"/>
          <w:b/>
        </w:rPr>
        <w:t xml:space="preserve"> </w:t>
      </w:r>
      <w:r w:rsidRPr="004566EC">
        <w:rPr>
          <w:rFonts w:cs="Times New Roman"/>
          <w:b/>
        </w:rPr>
        <w:t>Captions</w:t>
      </w:r>
      <w:r>
        <w:rPr>
          <w:rFonts w:cs="Times New Roman"/>
          <w:b/>
        </w:rPr>
        <w:t xml:space="preserve"> </w:t>
      </w:r>
    </w:p>
    <w:p w14:paraId="475519D5" w14:textId="77777777" w:rsidR="000033A4" w:rsidRDefault="000033A4" w:rsidP="000033A4">
      <w:pPr>
        <w:spacing w:after="0"/>
        <w:jc w:val="both"/>
        <w:rPr>
          <w:rFonts w:cs="Times New Roman"/>
        </w:rPr>
      </w:pPr>
      <w:r>
        <w:rPr>
          <w:rFonts w:cs="Times New Roman"/>
          <w:b/>
        </w:rPr>
        <w:t xml:space="preserve">Supplementary </w:t>
      </w:r>
      <w:r w:rsidRPr="00D2495D">
        <w:rPr>
          <w:rFonts w:cs="Times New Roman"/>
          <w:b/>
        </w:rPr>
        <w:t xml:space="preserve">Figure </w:t>
      </w:r>
      <w:r>
        <w:rPr>
          <w:rFonts w:cs="Times New Roman"/>
          <w:b/>
        </w:rPr>
        <w:t xml:space="preserve">1 – </w:t>
      </w:r>
      <w:r w:rsidRPr="00345F17">
        <w:rPr>
          <w:rFonts w:cs="Times New Roman"/>
          <w:b/>
        </w:rPr>
        <w:t>Overexpression of human SOD1 in N9 microglia</w:t>
      </w:r>
      <w:r>
        <w:rPr>
          <w:rFonts w:cs="Times New Roman"/>
          <w:b/>
        </w:rPr>
        <w:t xml:space="preserve"> promotes morphological alterations although with </w:t>
      </w:r>
      <w:r w:rsidRPr="00345F17">
        <w:rPr>
          <w:rFonts w:cs="Times New Roman"/>
          <w:b/>
        </w:rPr>
        <w:t xml:space="preserve">no </w:t>
      </w:r>
      <w:r>
        <w:rPr>
          <w:rFonts w:cs="Times New Roman"/>
          <w:b/>
        </w:rPr>
        <w:t xml:space="preserve">negative </w:t>
      </w:r>
      <w:r w:rsidRPr="00345F17">
        <w:rPr>
          <w:rFonts w:cs="Times New Roman"/>
          <w:b/>
        </w:rPr>
        <w:t>impact on their phagocytic ability</w:t>
      </w:r>
      <w:r>
        <w:rPr>
          <w:rFonts w:cs="Times New Roman"/>
          <w:b/>
        </w:rPr>
        <w:t xml:space="preserve"> and cell </w:t>
      </w:r>
      <w:r w:rsidRPr="00345F17">
        <w:rPr>
          <w:rFonts w:cs="Times New Roman"/>
          <w:b/>
        </w:rPr>
        <w:t>viability</w:t>
      </w:r>
      <w:r>
        <w:rPr>
          <w:rFonts w:cs="Times New Roman"/>
          <w:b/>
        </w:rPr>
        <w:t xml:space="preserve">. </w:t>
      </w:r>
      <w:r w:rsidRPr="00851F29">
        <w:rPr>
          <w:rFonts w:cs="Times New Roman"/>
        </w:rPr>
        <w:t>Morphological analysis</w:t>
      </w:r>
      <w:r>
        <w:rPr>
          <w:rFonts w:cs="Times New Roman"/>
        </w:rPr>
        <w:t xml:space="preserve"> was performed by </w:t>
      </w:r>
      <w:r w:rsidRPr="00851F29">
        <w:rPr>
          <w:rFonts w:cs="Times New Roman"/>
        </w:rPr>
        <w:t>immunocytochemistry using</w:t>
      </w:r>
      <w:r>
        <w:rPr>
          <w:rFonts w:cs="Times New Roman"/>
        </w:rPr>
        <w:t xml:space="preserve"> anti-Iba1 (in red). Nuclear staining was achieved with Hoechst dye (in blue). </w:t>
      </w:r>
      <w:r w:rsidRPr="00851F29">
        <w:rPr>
          <w:rFonts w:cs="Times New Roman"/>
        </w:rPr>
        <w:t>Representative results of one experiment are shown</w:t>
      </w:r>
      <w:r>
        <w:rPr>
          <w:rFonts w:cs="Times New Roman"/>
        </w:rPr>
        <w:t xml:space="preserve"> (A)</w:t>
      </w:r>
      <w:r w:rsidRPr="00851F29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851F29">
        <w:rPr>
          <w:rFonts w:cs="Times New Roman"/>
        </w:rPr>
        <w:t>Quantitative assessment of cel</w:t>
      </w:r>
      <w:r>
        <w:rPr>
          <w:rFonts w:cs="Times New Roman"/>
        </w:rPr>
        <w:t xml:space="preserve">l area (B), perimeter (C) and </w:t>
      </w:r>
      <w:proofErr w:type="spellStart"/>
      <w:r>
        <w:rPr>
          <w:rFonts w:cs="Times New Roman"/>
        </w:rPr>
        <w:t>Feret’s</w:t>
      </w:r>
      <w:proofErr w:type="spellEnd"/>
      <w:r>
        <w:rPr>
          <w:rFonts w:cs="Times New Roman"/>
        </w:rPr>
        <w:t xml:space="preserve"> diameter (D) </w:t>
      </w:r>
      <w:r w:rsidRPr="00851F29">
        <w:rPr>
          <w:rFonts w:cs="Times New Roman"/>
        </w:rPr>
        <w:t>was performed using the program ImageJ.</w:t>
      </w:r>
      <w:r>
        <w:rPr>
          <w:rFonts w:cs="Times New Roman"/>
        </w:rPr>
        <w:t xml:space="preserve"> </w:t>
      </w:r>
      <w:r w:rsidRPr="00E87818">
        <w:rPr>
          <w:rFonts w:cs="Times New Roman"/>
        </w:rPr>
        <w:t xml:space="preserve">Scale bar represents 20 </w:t>
      </w:r>
      <w:proofErr w:type="spellStart"/>
      <w:r w:rsidRPr="00E87818">
        <w:rPr>
          <w:rFonts w:cs="Times New Roman"/>
        </w:rPr>
        <w:t>μm</w:t>
      </w:r>
      <w:proofErr w:type="spellEnd"/>
      <w:r w:rsidRPr="00E87818">
        <w:rPr>
          <w:rFonts w:cs="Times New Roman"/>
        </w:rPr>
        <w:t>.</w:t>
      </w:r>
      <w:r>
        <w:rPr>
          <w:rFonts w:cs="Times New Roman"/>
        </w:rPr>
        <w:t xml:space="preserve"> </w:t>
      </w:r>
      <w:bookmarkStart w:id="0" w:name="OLE_LINK4"/>
      <w:r w:rsidRPr="00DF5D45">
        <w:rPr>
          <w:rFonts w:cs="Times New Roman"/>
        </w:rPr>
        <w:t xml:space="preserve">Evaluation of cell </w:t>
      </w:r>
      <w:r>
        <w:rPr>
          <w:rFonts w:cs="Times New Roman"/>
        </w:rPr>
        <w:t xml:space="preserve">relative </w:t>
      </w:r>
      <w:r w:rsidRPr="00DF5D45">
        <w:rPr>
          <w:rFonts w:cs="Times New Roman"/>
        </w:rPr>
        <w:t>viability was performed with a mixture of MTS/PMS</w:t>
      </w:r>
      <w:r>
        <w:rPr>
          <w:rFonts w:cs="Times New Roman"/>
        </w:rPr>
        <w:t xml:space="preserve"> and p</w:t>
      </w:r>
      <w:r w:rsidRPr="007A63C7">
        <w:rPr>
          <w:rFonts w:cs="Times New Roman"/>
        </w:rPr>
        <w:t xml:space="preserve">ercentage of viable cells </w:t>
      </w:r>
      <w:r>
        <w:rPr>
          <w:rFonts w:cs="Times New Roman"/>
        </w:rPr>
        <w:t xml:space="preserve">was calculated </w:t>
      </w:r>
      <w:r w:rsidRPr="007A63C7">
        <w:rPr>
          <w:rFonts w:cs="Times New Roman"/>
        </w:rPr>
        <w:t>considering naïve cells as 100%</w:t>
      </w:r>
      <w:r w:rsidRPr="00DF5D45">
        <w:rPr>
          <w:rFonts w:cs="Times New Roman"/>
        </w:rPr>
        <w:t xml:space="preserve"> </w:t>
      </w:r>
      <w:r>
        <w:rPr>
          <w:rFonts w:cs="Times New Roman"/>
        </w:rPr>
        <w:t xml:space="preserve">(E). </w:t>
      </w:r>
      <w:r w:rsidRPr="00345F17">
        <w:rPr>
          <w:rFonts w:cs="Times New Roman"/>
        </w:rPr>
        <w:t>Phagocytosis was evaluated by the capacity of cells to e</w:t>
      </w:r>
      <w:r>
        <w:rPr>
          <w:rFonts w:cs="Times New Roman"/>
        </w:rPr>
        <w:t>ngulf beads after transduction. Cells were incubated</w:t>
      </w:r>
      <w:r w:rsidRPr="00345F17">
        <w:rPr>
          <w:rFonts w:cs="Times New Roman"/>
        </w:rPr>
        <w:t xml:space="preserve"> with </w:t>
      </w:r>
      <w:proofErr w:type="spellStart"/>
      <w:r w:rsidRPr="00345F17">
        <w:rPr>
          <w:rFonts w:cs="Times New Roman"/>
        </w:rPr>
        <w:t>pHRODO</w:t>
      </w:r>
      <w:proofErr w:type="spellEnd"/>
      <w:r w:rsidRPr="00345F17">
        <w:rPr>
          <w:rFonts w:cs="Times New Roman"/>
        </w:rPr>
        <w:t xml:space="preserve"> beads </w:t>
      </w:r>
      <w:r>
        <w:rPr>
          <w:rFonts w:cs="Times New Roman"/>
        </w:rPr>
        <w:t xml:space="preserve">and </w:t>
      </w:r>
      <w:r w:rsidRPr="00345F17">
        <w:rPr>
          <w:rFonts w:cs="Times New Roman"/>
        </w:rPr>
        <w:t xml:space="preserve">the number of beads in each cell </w:t>
      </w:r>
      <w:r>
        <w:rPr>
          <w:rFonts w:cs="Times New Roman"/>
        </w:rPr>
        <w:t>was counted (F)</w:t>
      </w:r>
      <w:r w:rsidRPr="00345F17">
        <w:rPr>
          <w:rFonts w:cs="Times New Roman"/>
        </w:rPr>
        <w:t>.</w:t>
      </w:r>
      <w:r w:rsidRPr="00DF5D45">
        <w:t xml:space="preserve"> </w:t>
      </w:r>
      <w:r w:rsidRPr="00E431F8">
        <w:rPr>
          <w:rFonts w:cs="Times New Roman"/>
        </w:rPr>
        <w:t xml:space="preserve">Results are mean (± SEM) from at least </w:t>
      </w:r>
      <w:r>
        <w:rPr>
          <w:rFonts w:cs="Times New Roman"/>
        </w:rPr>
        <w:t>three</w:t>
      </w:r>
      <w:r w:rsidRPr="00E431F8">
        <w:rPr>
          <w:rFonts w:cs="Times New Roman"/>
        </w:rPr>
        <w:t xml:space="preserve"> independent </w:t>
      </w:r>
      <w:r>
        <w:rPr>
          <w:rFonts w:cs="Times New Roman"/>
        </w:rPr>
        <w:t>experiments</w:t>
      </w:r>
      <w:r w:rsidRPr="00E431F8">
        <w:rPr>
          <w:rFonts w:cs="Times New Roman"/>
        </w:rPr>
        <w:t>.</w:t>
      </w:r>
      <w:r>
        <w:rPr>
          <w:rFonts w:cs="Times New Roman"/>
        </w:rPr>
        <w:t xml:space="preserve"> **p&lt;0.01, </w:t>
      </w:r>
      <w:r w:rsidRPr="00F5089B">
        <w:rPr>
          <w:rFonts w:cs="Times New Roman"/>
        </w:rPr>
        <w:t>*</w:t>
      </w:r>
      <w:r>
        <w:rPr>
          <w:rFonts w:cs="Times New Roman"/>
        </w:rPr>
        <w:t xml:space="preserve">p&lt;0.05 </w:t>
      </w:r>
      <w:r w:rsidRPr="00F5089B">
        <w:rPr>
          <w:rFonts w:cs="Times New Roman"/>
          <w:i/>
        </w:rPr>
        <w:t>vs</w:t>
      </w:r>
      <w:r w:rsidRPr="00F5089B">
        <w:rPr>
          <w:rFonts w:cs="Times New Roman"/>
        </w:rPr>
        <w:t xml:space="preserve">. N9 naïve cells; </w:t>
      </w:r>
      <w:r w:rsidRPr="00F5089B">
        <w:rPr>
          <w:rFonts w:cs="Times New Roman"/>
          <w:vertAlign w:val="superscript"/>
        </w:rPr>
        <w:t>$</w:t>
      </w:r>
      <w:r w:rsidRPr="00F5089B">
        <w:rPr>
          <w:rFonts w:cs="Times New Roman"/>
        </w:rPr>
        <w:t>p&lt;0.05</w:t>
      </w:r>
      <w:r>
        <w:rPr>
          <w:rFonts w:cs="Times New Roman"/>
        </w:rPr>
        <w:t xml:space="preserve"> </w:t>
      </w:r>
      <w:r w:rsidRPr="00F5089B">
        <w:rPr>
          <w:rFonts w:cs="Times New Roman"/>
          <w:i/>
        </w:rPr>
        <w:t>vs</w:t>
      </w:r>
      <w:r w:rsidRPr="00F5089B">
        <w:rPr>
          <w:rFonts w:cs="Times New Roman"/>
        </w:rPr>
        <w:t>. N9 hSOD1</w:t>
      </w:r>
      <w:r w:rsidRPr="00F5089B">
        <w:rPr>
          <w:rFonts w:cs="Times New Roman"/>
          <w:vertAlign w:val="superscript"/>
        </w:rPr>
        <w:t>WT</w:t>
      </w:r>
      <w:r w:rsidRPr="00F5089B">
        <w:rPr>
          <w:rFonts w:cs="Times New Roman"/>
        </w:rPr>
        <w:t xml:space="preserve"> cells; one-way ANOVA (Bonferroni </w:t>
      </w:r>
      <w:r w:rsidRPr="00F5089B">
        <w:rPr>
          <w:rFonts w:cs="Times New Roman"/>
          <w:i/>
        </w:rPr>
        <w:t>post-hoc</w:t>
      </w:r>
      <w:r w:rsidRPr="00F5089B">
        <w:rPr>
          <w:rFonts w:cs="Times New Roman"/>
        </w:rPr>
        <w:t xml:space="preserve"> correction).</w:t>
      </w:r>
    </w:p>
    <w:p w14:paraId="1938E669" w14:textId="77777777" w:rsidR="000033A4" w:rsidRDefault="000033A4" w:rsidP="000033A4">
      <w:pPr>
        <w:jc w:val="both"/>
        <w:rPr>
          <w:rFonts w:cs="Times New Roman"/>
        </w:rPr>
      </w:pPr>
      <w:r>
        <w:rPr>
          <w:rFonts w:cs="Times New Roman"/>
          <w:b/>
        </w:rPr>
        <w:t xml:space="preserve">Supplementary </w:t>
      </w:r>
      <w:r w:rsidRPr="00D2495D">
        <w:rPr>
          <w:rFonts w:cs="Times New Roman"/>
          <w:b/>
        </w:rPr>
        <w:t xml:space="preserve">Figure </w:t>
      </w:r>
      <w:r>
        <w:rPr>
          <w:rFonts w:cs="Times New Roman"/>
          <w:b/>
        </w:rPr>
        <w:t>2 – Transduction of N9 cells with GFP does not influence the</w:t>
      </w:r>
      <w:r w:rsidRPr="00545F1F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levels of pro-/anti-inflammatory markers as well as miRNA associated with inflammation, neither cellular ability to respond towards the pro-inflammatory stimulus with lipopolysaccharide (LPS). </w:t>
      </w:r>
      <w:r w:rsidRPr="001F1DA9">
        <w:rPr>
          <w:rFonts w:cs="Times New Roman"/>
        </w:rPr>
        <w:t xml:space="preserve">Naïve N9 and cells transduced with GFP were </w:t>
      </w:r>
      <w:r w:rsidRPr="001F1DA9">
        <w:rPr>
          <w:rFonts w:cs="Times New Roman"/>
          <w:szCs w:val="24"/>
        </w:rPr>
        <w:t>treated or not with LPS (300 ng/ml) as indicated</w:t>
      </w:r>
      <w:r>
        <w:rPr>
          <w:rFonts w:cs="Times New Roman"/>
          <w:szCs w:val="24"/>
        </w:rPr>
        <w:t xml:space="preserve"> in methods. </w:t>
      </w:r>
      <w:r w:rsidRPr="00851F29">
        <w:rPr>
          <w:rFonts w:cs="Times New Roman"/>
        </w:rPr>
        <w:t>Cellular m</w:t>
      </w:r>
      <w:r>
        <w:rPr>
          <w:rFonts w:cs="Times New Roman"/>
        </w:rPr>
        <w:t>RNA expression of pro-inflammatory markers (A), anti-inflammatory markers (B) and i</w:t>
      </w:r>
      <w:r w:rsidRPr="00E431F8">
        <w:rPr>
          <w:rFonts w:cs="Times New Roman"/>
        </w:rPr>
        <w:t>nflamma</w:t>
      </w:r>
      <w:r>
        <w:rPr>
          <w:rFonts w:cs="Times New Roman"/>
        </w:rPr>
        <w:t xml:space="preserve">tory </w:t>
      </w:r>
      <w:r w:rsidRPr="00E431F8">
        <w:rPr>
          <w:rFonts w:cs="Times New Roman"/>
        </w:rPr>
        <w:t>mi</w:t>
      </w:r>
      <w:r>
        <w:rPr>
          <w:rFonts w:cs="Times New Roman"/>
        </w:rPr>
        <w:t>cro</w:t>
      </w:r>
      <w:r w:rsidRPr="00E431F8">
        <w:rPr>
          <w:rFonts w:cs="Times New Roman"/>
        </w:rPr>
        <w:t>R</w:t>
      </w:r>
      <w:r>
        <w:rPr>
          <w:rFonts w:cs="Times New Roman"/>
        </w:rPr>
        <w:t>NA</w:t>
      </w:r>
      <w:r w:rsidRPr="00E431F8">
        <w:rPr>
          <w:rFonts w:cs="Times New Roman"/>
        </w:rPr>
        <w:t>s</w:t>
      </w:r>
      <w:r>
        <w:rPr>
          <w:rFonts w:cs="Times New Roman"/>
        </w:rPr>
        <w:t xml:space="preserve"> (miRNA, </w:t>
      </w:r>
      <w:proofErr w:type="spellStart"/>
      <w:r>
        <w:rPr>
          <w:rFonts w:cs="Times New Roman"/>
        </w:rPr>
        <w:t>miR</w:t>
      </w:r>
      <w:proofErr w:type="spellEnd"/>
      <w:r>
        <w:rPr>
          <w:rFonts w:cs="Times New Roman"/>
        </w:rPr>
        <w:t xml:space="preserve">, C) </w:t>
      </w:r>
      <w:r w:rsidRPr="00D2495D">
        <w:rPr>
          <w:rFonts w:cs="Times New Roman"/>
        </w:rPr>
        <w:t>was evaluated by quanti</w:t>
      </w:r>
      <w:r>
        <w:rPr>
          <w:rFonts w:cs="Times New Roman"/>
        </w:rPr>
        <w:t>tative Real-Time PCR (qRT-PCR). The dashed line represents the average value (</w:t>
      </w:r>
      <w:r w:rsidRPr="00851F29">
        <w:rPr>
          <w:rFonts w:cs="Times New Roman"/>
        </w:rPr>
        <w:t xml:space="preserve">N9 naïve </w:t>
      </w:r>
      <w:r>
        <w:rPr>
          <w:rFonts w:cs="Times New Roman"/>
        </w:rPr>
        <w:t xml:space="preserve">cells). </w:t>
      </w:r>
      <w:r w:rsidRPr="00E431F8">
        <w:t xml:space="preserve"> </w:t>
      </w:r>
      <w:r w:rsidRPr="00E431F8">
        <w:rPr>
          <w:rFonts w:cs="Times New Roman"/>
        </w:rPr>
        <w:t>Results are mean (± SEM) from thre</w:t>
      </w:r>
      <w:r>
        <w:rPr>
          <w:rFonts w:cs="Times New Roman"/>
        </w:rPr>
        <w:t xml:space="preserve">e independent experiments. </w:t>
      </w:r>
      <w:r w:rsidRPr="00F5089B">
        <w:rPr>
          <w:rFonts w:cs="Times New Roman"/>
        </w:rPr>
        <w:t xml:space="preserve">*p&lt;0.05 and **p&lt;0.01 </w:t>
      </w:r>
      <w:r w:rsidRPr="00F5089B">
        <w:rPr>
          <w:rFonts w:cs="Times New Roman"/>
          <w:i/>
        </w:rPr>
        <w:t>vs</w:t>
      </w:r>
      <w:r w:rsidRPr="00F5089B">
        <w:rPr>
          <w:rFonts w:cs="Times New Roman"/>
        </w:rPr>
        <w:t xml:space="preserve">. N9 naïve </w:t>
      </w:r>
      <w:r>
        <w:rPr>
          <w:rFonts w:cs="Times New Roman"/>
        </w:rPr>
        <w:t>microglia</w:t>
      </w:r>
      <w:r w:rsidRPr="00F5089B">
        <w:rPr>
          <w:rFonts w:cs="Times New Roman"/>
        </w:rPr>
        <w:t xml:space="preserve">; </w:t>
      </w:r>
      <w:r>
        <w:rPr>
          <w:rFonts w:cs="Times New Roman"/>
          <w:vertAlign w:val="superscript"/>
        </w:rPr>
        <w:t>&amp;</w:t>
      </w:r>
      <w:r w:rsidRPr="00F5089B">
        <w:rPr>
          <w:rFonts w:cs="Times New Roman"/>
        </w:rPr>
        <w:t>p&lt;0.05</w:t>
      </w:r>
      <w:r>
        <w:rPr>
          <w:rFonts w:cs="Times New Roman"/>
        </w:rPr>
        <w:t xml:space="preserve"> and </w:t>
      </w:r>
      <w:r>
        <w:rPr>
          <w:rFonts w:cs="Times New Roman"/>
          <w:vertAlign w:val="superscript"/>
        </w:rPr>
        <w:t>&amp;&amp;</w:t>
      </w:r>
      <w:r>
        <w:rPr>
          <w:rFonts w:cs="Times New Roman"/>
        </w:rPr>
        <w:t>p&lt;0.01</w:t>
      </w:r>
      <w:r w:rsidRPr="00F5089B">
        <w:rPr>
          <w:rFonts w:cs="Times New Roman"/>
        </w:rPr>
        <w:t xml:space="preserve"> </w:t>
      </w:r>
      <w:r w:rsidRPr="00F5089B">
        <w:rPr>
          <w:rFonts w:cs="Times New Roman"/>
          <w:i/>
        </w:rPr>
        <w:t>vs</w:t>
      </w:r>
      <w:r w:rsidRPr="00F5089B">
        <w:rPr>
          <w:rFonts w:cs="Times New Roman"/>
        </w:rPr>
        <w:t>. N9</w:t>
      </w:r>
      <w:r>
        <w:rPr>
          <w:rFonts w:cs="Times New Roman"/>
        </w:rPr>
        <w:t>-GFP</w:t>
      </w:r>
      <w:r w:rsidRPr="00F5089B">
        <w:rPr>
          <w:rFonts w:cs="Times New Roman"/>
        </w:rPr>
        <w:t xml:space="preserve"> </w:t>
      </w:r>
      <w:r>
        <w:rPr>
          <w:rFonts w:cs="Times New Roman"/>
        </w:rPr>
        <w:t>microglia</w:t>
      </w:r>
      <w:r w:rsidRPr="00F5089B">
        <w:rPr>
          <w:rFonts w:cs="Times New Roman"/>
        </w:rPr>
        <w:t xml:space="preserve">; one-way ANOVA (Bonferroni </w:t>
      </w:r>
      <w:r w:rsidRPr="00F5089B">
        <w:rPr>
          <w:rFonts w:cs="Times New Roman"/>
          <w:i/>
        </w:rPr>
        <w:t>post-hoc</w:t>
      </w:r>
      <w:r w:rsidRPr="00F5089B">
        <w:rPr>
          <w:rFonts w:cs="Times New Roman"/>
        </w:rPr>
        <w:t xml:space="preserve"> correction).</w:t>
      </w:r>
      <w:r>
        <w:rPr>
          <w:rFonts w:cs="Times New Roman"/>
        </w:rPr>
        <w:t xml:space="preserve"> </w:t>
      </w:r>
      <w:bookmarkEnd w:id="0"/>
    </w:p>
    <w:p w14:paraId="36EC068A" w14:textId="77777777" w:rsidR="000033A4" w:rsidRDefault="000033A4" w:rsidP="000033A4">
      <w:pPr>
        <w:spacing w:after="0"/>
        <w:jc w:val="both"/>
        <w:rPr>
          <w:rFonts w:cs="Times New Roman"/>
        </w:rPr>
      </w:pPr>
      <w:r>
        <w:rPr>
          <w:rFonts w:cs="Times New Roman"/>
          <w:b/>
        </w:rPr>
        <w:t xml:space="preserve">Supplementary </w:t>
      </w:r>
      <w:r w:rsidRPr="00D2495D">
        <w:rPr>
          <w:rFonts w:cs="Times New Roman"/>
          <w:b/>
        </w:rPr>
        <w:t xml:space="preserve">Figure </w:t>
      </w:r>
      <w:r>
        <w:rPr>
          <w:rFonts w:cs="Times New Roman"/>
          <w:b/>
        </w:rPr>
        <w:t>3 –</w:t>
      </w:r>
      <w:r w:rsidRPr="00DF5D45">
        <w:t xml:space="preserve"> </w:t>
      </w:r>
      <w:r>
        <w:rPr>
          <w:rFonts w:cs="Times New Roman"/>
          <w:b/>
        </w:rPr>
        <w:t>GUDCA and VS</w:t>
      </w:r>
      <w:r w:rsidRPr="00DF5D45">
        <w:rPr>
          <w:rFonts w:cs="Times New Roman"/>
          <w:b/>
        </w:rPr>
        <w:t xml:space="preserve"> compounds </w:t>
      </w:r>
      <w:r>
        <w:rPr>
          <w:rFonts w:cs="Times New Roman"/>
          <w:b/>
        </w:rPr>
        <w:t xml:space="preserve">do not </w:t>
      </w:r>
      <w:r w:rsidRPr="00DF5D45">
        <w:rPr>
          <w:rFonts w:cs="Times New Roman"/>
          <w:b/>
        </w:rPr>
        <w:t xml:space="preserve">cause </w:t>
      </w:r>
      <w:r>
        <w:rPr>
          <w:rFonts w:cs="Times New Roman"/>
          <w:b/>
        </w:rPr>
        <w:t xml:space="preserve">changes in cell viability. </w:t>
      </w:r>
      <w:r w:rsidRPr="00DF5D45">
        <w:rPr>
          <w:rFonts w:cs="Times New Roman"/>
        </w:rPr>
        <w:t xml:space="preserve">Evaluation of cell </w:t>
      </w:r>
      <w:r>
        <w:rPr>
          <w:rFonts w:cs="Times New Roman"/>
        </w:rPr>
        <w:t xml:space="preserve">relative </w:t>
      </w:r>
      <w:r w:rsidRPr="00DF5D45">
        <w:rPr>
          <w:rFonts w:cs="Times New Roman"/>
        </w:rPr>
        <w:t>viability was performed with a mixture of MTS/PMS</w:t>
      </w:r>
      <w:r>
        <w:rPr>
          <w:rFonts w:cs="Times New Roman"/>
        </w:rPr>
        <w:t xml:space="preserve">, </w:t>
      </w:r>
      <w:r w:rsidRPr="00345F17">
        <w:rPr>
          <w:rFonts w:cs="Times New Roman"/>
        </w:rPr>
        <w:t xml:space="preserve">after </w:t>
      </w:r>
      <w:r>
        <w:rPr>
          <w:rFonts w:cs="Times New Roman"/>
        </w:rPr>
        <w:t>48</w:t>
      </w:r>
      <w:r w:rsidRPr="00345F17">
        <w:rPr>
          <w:rFonts w:cs="Times New Roman"/>
        </w:rPr>
        <w:t xml:space="preserve"> h of incubation with </w:t>
      </w:r>
      <w:r w:rsidRPr="00D85B65">
        <w:rPr>
          <w:rFonts w:cs="Times New Roman"/>
        </w:rPr>
        <w:t xml:space="preserve">glycoursodeoxycholic acid (GUDCA) </w:t>
      </w:r>
      <w:r>
        <w:rPr>
          <w:rFonts w:cs="Times New Roman"/>
        </w:rPr>
        <w:t xml:space="preserve">and </w:t>
      </w:r>
      <w:r w:rsidRPr="00D85B65">
        <w:rPr>
          <w:rFonts w:cs="Times New Roman"/>
        </w:rPr>
        <w:t>vinyl</w:t>
      </w:r>
      <w:r>
        <w:rPr>
          <w:rFonts w:cs="Times New Roman"/>
        </w:rPr>
        <w:t xml:space="preserve"> sulfone (VS). </w:t>
      </w:r>
      <w:r w:rsidRPr="007A63C7">
        <w:rPr>
          <w:rFonts w:cs="Times New Roman"/>
        </w:rPr>
        <w:t xml:space="preserve">Percentage of viable cells </w:t>
      </w:r>
      <w:r>
        <w:rPr>
          <w:rFonts w:cs="Times New Roman"/>
        </w:rPr>
        <w:t xml:space="preserve">was determined </w:t>
      </w:r>
      <w:r w:rsidRPr="007A63C7">
        <w:rPr>
          <w:rFonts w:cs="Times New Roman"/>
        </w:rPr>
        <w:t xml:space="preserve">considering </w:t>
      </w:r>
      <w:r>
        <w:rPr>
          <w:rFonts w:cs="Times New Roman"/>
        </w:rPr>
        <w:t>N9 hSOD1</w:t>
      </w:r>
      <w:r w:rsidRPr="00D274F5">
        <w:rPr>
          <w:rFonts w:cs="Times New Roman"/>
          <w:vertAlign w:val="superscript"/>
        </w:rPr>
        <w:t>G93A</w:t>
      </w:r>
      <w:r w:rsidRPr="007A63C7">
        <w:rPr>
          <w:rFonts w:cs="Times New Roman"/>
        </w:rPr>
        <w:t xml:space="preserve"> cells as 100%.</w:t>
      </w:r>
      <w:r w:rsidRPr="00DF5D45">
        <w:rPr>
          <w:rFonts w:cs="Times New Roman"/>
        </w:rPr>
        <w:t xml:space="preserve"> </w:t>
      </w:r>
      <w:r w:rsidRPr="00E431F8">
        <w:rPr>
          <w:rFonts w:cs="Times New Roman"/>
        </w:rPr>
        <w:t xml:space="preserve">Results are mean (± SEM) from at least </w:t>
      </w:r>
      <w:r>
        <w:rPr>
          <w:rFonts w:cs="Times New Roman"/>
        </w:rPr>
        <w:t>three</w:t>
      </w:r>
      <w:r w:rsidRPr="00E431F8">
        <w:rPr>
          <w:rFonts w:cs="Times New Roman"/>
        </w:rPr>
        <w:t xml:space="preserve"> independent </w:t>
      </w:r>
      <w:r>
        <w:rPr>
          <w:rFonts w:cs="Times New Roman"/>
        </w:rPr>
        <w:t>experiments</w:t>
      </w:r>
      <w:r w:rsidRPr="00E431F8">
        <w:rPr>
          <w:rFonts w:cs="Times New Roman"/>
        </w:rPr>
        <w:t>.</w:t>
      </w:r>
    </w:p>
    <w:p w14:paraId="1EF5DECF" w14:textId="597165F1" w:rsidR="000033A4" w:rsidRDefault="000033A4" w:rsidP="008F2E20">
      <w:pPr>
        <w:spacing w:before="0" w:after="0"/>
        <w:jc w:val="both"/>
      </w:pPr>
    </w:p>
    <w:p w14:paraId="6F37400E" w14:textId="5B7EF094" w:rsidR="000033A4" w:rsidRDefault="000033A4" w:rsidP="008F2E20">
      <w:pPr>
        <w:spacing w:before="0" w:after="0"/>
        <w:jc w:val="both"/>
        <w:rPr>
          <w:rFonts w:cs="Times New Roman"/>
          <w:b/>
        </w:rPr>
      </w:pPr>
    </w:p>
    <w:p w14:paraId="2FE053EE" w14:textId="4C009618" w:rsidR="000033A4" w:rsidRDefault="000033A4" w:rsidP="008F2E20">
      <w:pPr>
        <w:spacing w:before="0" w:after="0"/>
        <w:jc w:val="both"/>
        <w:rPr>
          <w:rFonts w:cs="Times New Roman"/>
          <w:b/>
        </w:rPr>
      </w:pPr>
    </w:p>
    <w:p w14:paraId="4D8AFF3E" w14:textId="686ED645" w:rsidR="000033A4" w:rsidRDefault="000033A4" w:rsidP="008F2E20">
      <w:pPr>
        <w:spacing w:before="0" w:after="0"/>
        <w:jc w:val="both"/>
        <w:rPr>
          <w:rFonts w:cs="Times New Roman"/>
          <w:b/>
        </w:rPr>
      </w:pPr>
    </w:p>
    <w:p w14:paraId="7F1F12B8" w14:textId="77777777" w:rsidR="000033A4" w:rsidRDefault="000033A4" w:rsidP="008F2E20">
      <w:pPr>
        <w:spacing w:before="0" w:after="0"/>
        <w:jc w:val="both"/>
        <w:rPr>
          <w:rFonts w:cs="Times New Roman"/>
          <w:b/>
        </w:rPr>
      </w:pPr>
      <w:bookmarkStart w:id="1" w:name="_GoBack"/>
      <w:bookmarkEnd w:id="1"/>
    </w:p>
    <w:p w14:paraId="08F408C1" w14:textId="77777777" w:rsidR="000033A4" w:rsidRDefault="000033A4" w:rsidP="008F2E20">
      <w:pPr>
        <w:spacing w:before="0" w:after="0"/>
        <w:jc w:val="both"/>
        <w:rPr>
          <w:rFonts w:cs="Times New Roman"/>
          <w:b/>
        </w:rPr>
      </w:pPr>
    </w:p>
    <w:p w14:paraId="52B7427F" w14:textId="77777777" w:rsidR="000033A4" w:rsidRDefault="000033A4" w:rsidP="008F2E20">
      <w:pPr>
        <w:spacing w:before="0" w:after="0"/>
        <w:jc w:val="both"/>
        <w:rPr>
          <w:rFonts w:cs="Times New Roman"/>
          <w:b/>
        </w:rPr>
      </w:pPr>
    </w:p>
    <w:p w14:paraId="6E60B7F9" w14:textId="15009741" w:rsidR="000033A4" w:rsidRPr="000033A4" w:rsidRDefault="000033A4" w:rsidP="008F2E20">
      <w:pPr>
        <w:spacing w:before="0" w:after="0"/>
        <w:jc w:val="both"/>
        <w:rPr>
          <w:rFonts w:cs="Times New Roman"/>
          <w:b/>
        </w:rPr>
      </w:pPr>
      <w:r w:rsidRPr="000033A4">
        <w:rPr>
          <w:rFonts w:cs="Times New Roman"/>
          <w:b/>
        </w:rPr>
        <w:lastRenderedPageBreak/>
        <w:t>Supplementary Tables</w:t>
      </w:r>
    </w:p>
    <w:p w14:paraId="642B93D6" w14:textId="49908D4E" w:rsidR="008F2E20" w:rsidRPr="004171A1" w:rsidRDefault="008F2E20" w:rsidP="008F2E20">
      <w:pPr>
        <w:spacing w:before="0" w:after="0"/>
        <w:jc w:val="both"/>
        <w:rPr>
          <w:rFonts w:cs="Times New Roman"/>
        </w:rPr>
      </w:pPr>
      <w:r w:rsidRPr="00B62B7F">
        <w:rPr>
          <w:rFonts w:cs="Times New Roman"/>
          <w:b/>
        </w:rPr>
        <w:t xml:space="preserve">Table S1 – </w:t>
      </w:r>
      <w:r w:rsidRPr="004171A1">
        <w:rPr>
          <w:rFonts w:cs="Times New Roman"/>
        </w:rPr>
        <w:t>List of pri</w:t>
      </w:r>
      <w:r w:rsidR="004171A1" w:rsidRPr="004171A1">
        <w:rPr>
          <w:rFonts w:cs="Times New Roman"/>
        </w:rPr>
        <w:t xml:space="preserve">mer sequences used in qRT-PCR </w:t>
      </w:r>
      <w:r w:rsidR="004171A1">
        <w:rPr>
          <w:rFonts w:cs="Times New Roman"/>
        </w:rPr>
        <w:t>(</w:t>
      </w:r>
      <w:r w:rsidR="004171A1" w:rsidRPr="004171A1">
        <w:rPr>
          <w:rFonts w:cs="Times New Roman"/>
        </w:rPr>
        <w:t>gene and</w:t>
      </w:r>
      <w:r w:rsidR="004171A1">
        <w:rPr>
          <w:rFonts w:cs="Times New Roman"/>
        </w:rPr>
        <w:t xml:space="preserve"> microRNA expression).</w:t>
      </w:r>
    </w:p>
    <w:p w14:paraId="76D36B74" w14:textId="77777777" w:rsidR="008F2E20" w:rsidRDefault="008F2E20" w:rsidP="008F2E20">
      <w:pPr>
        <w:spacing w:before="0" w:after="0"/>
        <w:jc w:val="both"/>
        <w:rPr>
          <w:rFonts w:cs="Times New Roman"/>
        </w:rPr>
      </w:pPr>
    </w:p>
    <w:tbl>
      <w:tblPr>
        <w:tblW w:w="10031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273"/>
        <w:gridCol w:w="4445"/>
        <w:gridCol w:w="4313"/>
      </w:tblGrid>
      <w:tr w:rsidR="004171A1" w:rsidRPr="005F07A0" w14:paraId="3358CFA2" w14:textId="597C25EB" w:rsidTr="004171A1">
        <w:trPr>
          <w:trHeight w:val="321"/>
        </w:trPr>
        <w:tc>
          <w:tcPr>
            <w:tcW w:w="12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4B8B7" w14:textId="77777777" w:rsidR="004171A1" w:rsidRPr="004171A1" w:rsidRDefault="004171A1" w:rsidP="004171A1">
            <w:pPr>
              <w:spacing w:before="0" w:after="0"/>
              <w:rPr>
                <w:rFonts w:cs="Times New Roman"/>
                <w:b/>
                <w:bCs/>
                <w:color w:val="000000"/>
              </w:rPr>
            </w:pPr>
            <w:r w:rsidRPr="004171A1">
              <w:rPr>
                <w:rFonts w:cs="Times New Roman"/>
                <w:b/>
                <w:bCs/>
                <w:color w:val="000000"/>
              </w:rPr>
              <w:t>Gene</w:t>
            </w:r>
          </w:p>
        </w:tc>
        <w:tc>
          <w:tcPr>
            <w:tcW w:w="444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9F0393" w14:textId="340E4C08" w:rsidR="004171A1" w:rsidRPr="004171A1" w:rsidRDefault="004171A1" w:rsidP="004171A1">
            <w:pPr>
              <w:spacing w:before="0" w:after="0"/>
              <w:rPr>
                <w:rFonts w:cs="Times New Roman"/>
                <w:b/>
                <w:bCs/>
                <w:color w:val="000000"/>
              </w:rPr>
            </w:pPr>
            <w:r w:rsidRPr="004171A1">
              <w:rPr>
                <w:rFonts w:cs="Times New Roman"/>
                <w:b/>
                <w:bCs/>
                <w:color w:val="000000"/>
              </w:rPr>
              <w:t>Forward Primer Sequence</w:t>
            </w:r>
          </w:p>
        </w:tc>
        <w:tc>
          <w:tcPr>
            <w:tcW w:w="4313" w:type="dxa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0AC79518" w14:textId="6C233174" w:rsidR="004171A1" w:rsidRPr="004171A1" w:rsidRDefault="004171A1" w:rsidP="004171A1">
            <w:pPr>
              <w:spacing w:before="0" w:after="0"/>
              <w:rPr>
                <w:rFonts w:cs="Times New Roman"/>
                <w:b/>
                <w:bCs/>
                <w:color w:val="000000"/>
              </w:rPr>
            </w:pPr>
            <w:r w:rsidRPr="004171A1">
              <w:rPr>
                <w:rFonts w:cs="Times New Roman"/>
                <w:b/>
                <w:bCs/>
                <w:color w:val="000000"/>
              </w:rPr>
              <w:t>Reverse Primer Sequence</w:t>
            </w:r>
          </w:p>
        </w:tc>
      </w:tr>
      <w:tr w:rsidR="004171A1" w:rsidRPr="005F07A0" w14:paraId="31B504AC" w14:textId="25AF82B3" w:rsidTr="004171A1">
        <w:trPr>
          <w:trHeight w:val="321"/>
        </w:trPr>
        <w:tc>
          <w:tcPr>
            <w:tcW w:w="127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E40E62B" w14:textId="4291063C" w:rsidR="004171A1" w:rsidRPr="004171A1" w:rsidRDefault="004171A1" w:rsidP="004171A1">
            <w:pPr>
              <w:spacing w:before="0" w:after="0"/>
              <w:rPr>
                <w:rFonts w:cs="Times New Roman"/>
                <w:i/>
                <w:color w:val="000000"/>
                <w:sz w:val="20"/>
              </w:rPr>
            </w:pPr>
            <w:r w:rsidRPr="004171A1">
              <w:rPr>
                <w:rFonts w:cs="Times New Roman"/>
                <w:i/>
                <w:color w:val="000000"/>
                <w:sz w:val="20"/>
              </w:rPr>
              <w:t>Arginase 1</w:t>
            </w:r>
          </w:p>
        </w:tc>
        <w:tc>
          <w:tcPr>
            <w:tcW w:w="4445" w:type="dxa"/>
            <w:shd w:val="clear" w:color="auto" w:fill="D9D9D9" w:themeFill="background1" w:themeFillShade="D9"/>
            <w:vAlign w:val="center"/>
          </w:tcPr>
          <w:p w14:paraId="5ACAD0B1" w14:textId="05C8F18E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5’-CTTGGCTTGCTTCGGAACTC-3’</w:t>
            </w:r>
          </w:p>
        </w:tc>
        <w:tc>
          <w:tcPr>
            <w:tcW w:w="4313" w:type="dxa"/>
            <w:shd w:val="clear" w:color="auto" w:fill="D9D9D9" w:themeFill="background1" w:themeFillShade="D9"/>
            <w:vAlign w:val="center"/>
          </w:tcPr>
          <w:p w14:paraId="5935E3B8" w14:textId="3D2CF2BF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5’-GGA GAA GGC GTT TGC TTA GTT C-3’</w:t>
            </w:r>
          </w:p>
        </w:tc>
      </w:tr>
      <w:tr w:rsidR="004171A1" w:rsidRPr="005F07A0" w14:paraId="4DDCB2B3" w14:textId="036DE9C2" w:rsidTr="004171A1">
        <w:trPr>
          <w:trHeight w:val="321"/>
        </w:trPr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DE313C" w14:textId="73A93272" w:rsidR="004171A1" w:rsidRPr="004171A1" w:rsidRDefault="004171A1" w:rsidP="004171A1">
            <w:pPr>
              <w:spacing w:before="0" w:after="0"/>
              <w:rPr>
                <w:rFonts w:cs="Times New Roman"/>
                <w:i/>
                <w:color w:val="000000"/>
                <w:sz w:val="20"/>
              </w:rPr>
            </w:pPr>
            <w:r w:rsidRPr="004171A1">
              <w:rPr>
                <w:rFonts w:cs="Times New Roman"/>
                <w:i/>
                <w:color w:val="000000"/>
                <w:sz w:val="20"/>
              </w:rPr>
              <w:t>Fizz1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14139235" w14:textId="11B6F5B9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5’-GCCAGGTCCTGGAACCTTTC-3’</w:t>
            </w:r>
          </w:p>
        </w:tc>
        <w:tc>
          <w:tcPr>
            <w:tcW w:w="4313" w:type="dxa"/>
            <w:vAlign w:val="center"/>
          </w:tcPr>
          <w:p w14:paraId="2AAD57C6" w14:textId="6B20E067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5’-GGAGCAGGGAGATGCAGATGAG-3’</w:t>
            </w:r>
          </w:p>
        </w:tc>
      </w:tr>
      <w:tr w:rsidR="004171A1" w:rsidRPr="005F07A0" w14:paraId="7C966E2E" w14:textId="570D056B" w:rsidTr="004171A1">
        <w:trPr>
          <w:trHeight w:val="321"/>
        </w:trPr>
        <w:tc>
          <w:tcPr>
            <w:tcW w:w="127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C41D8F5" w14:textId="5ACBA696" w:rsidR="004171A1" w:rsidRPr="004171A1" w:rsidRDefault="004171A1" w:rsidP="004171A1">
            <w:pPr>
              <w:spacing w:before="0" w:after="0"/>
              <w:rPr>
                <w:rFonts w:cs="Times New Roman"/>
                <w:i/>
                <w:color w:val="000000"/>
                <w:sz w:val="20"/>
              </w:rPr>
            </w:pPr>
            <w:r w:rsidRPr="004171A1">
              <w:rPr>
                <w:rFonts w:cs="Times New Roman"/>
                <w:i/>
                <w:color w:val="000000"/>
                <w:sz w:val="20"/>
              </w:rPr>
              <w:t>HMGB1</w:t>
            </w:r>
          </w:p>
        </w:tc>
        <w:tc>
          <w:tcPr>
            <w:tcW w:w="4445" w:type="dxa"/>
            <w:shd w:val="clear" w:color="auto" w:fill="D9D9D9" w:themeFill="background1" w:themeFillShade="D9"/>
            <w:vAlign w:val="center"/>
          </w:tcPr>
          <w:p w14:paraId="152D0E9E" w14:textId="445AB23C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5’-CTCAGAGAGGTGGAAGACCATGT-3’</w:t>
            </w:r>
          </w:p>
        </w:tc>
        <w:tc>
          <w:tcPr>
            <w:tcW w:w="4313" w:type="dxa"/>
            <w:shd w:val="clear" w:color="auto" w:fill="D9D9D9" w:themeFill="background1" w:themeFillShade="D9"/>
            <w:vAlign w:val="center"/>
          </w:tcPr>
          <w:p w14:paraId="2995C672" w14:textId="40DB2203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5’-GGGATGTAGGTTTTCATTTCTCTTTC-3</w:t>
            </w:r>
          </w:p>
        </w:tc>
      </w:tr>
      <w:tr w:rsidR="004171A1" w:rsidRPr="005F07A0" w14:paraId="527C16BC" w14:textId="71EABE74" w:rsidTr="004171A1">
        <w:trPr>
          <w:trHeight w:val="321"/>
        </w:trPr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7390FD" w14:textId="03C8353F" w:rsidR="004171A1" w:rsidRPr="004171A1" w:rsidRDefault="004171A1" w:rsidP="004171A1">
            <w:pPr>
              <w:spacing w:before="0" w:after="0"/>
              <w:rPr>
                <w:rFonts w:cs="Times New Roman"/>
                <w:i/>
                <w:color w:val="000000"/>
                <w:sz w:val="20"/>
              </w:rPr>
            </w:pPr>
            <w:r w:rsidRPr="004171A1">
              <w:rPr>
                <w:rFonts w:cs="Times New Roman"/>
                <w:i/>
                <w:color w:val="000000"/>
                <w:sz w:val="20"/>
              </w:rPr>
              <w:t>IL-1β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3B8E05AA" w14:textId="1E55A4DA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5’-CAGGCTCCGAGATGAACAAC-3’</w:t>
            </w:r>
          </w:p>
        </w:tc>
        <w:tc>
          <w:tcPr>
            <w:tcW w:w="4313" w:type="dxa"/>
            <w:vAlign w:val="center"/>
          </w:tcPr>
          <w:p w14:paraId="55996D70" w14:textId="1A8DB7CD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5’-GGTGGAGAGCTTTCAGCTCATA-3’</w:t>
            </w:r>
          </w:p>
        </w:tc>
      </w:tr>
      <w:tr w:rsidR="004171A1" w:rsidRPr="005F07A0" w14:paraId="24CA392B" w14:textId="7A0840EB" w:rsidTr="004171A1">
        <w:trPr>
          <w:trHeight w:val="321"/>
        </w:trPr>
        <w:tc>
          <w:tcPr>
            <w:tcW w:w="127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672F7F" w14:textId="0C4132C1" w:rsidR="004171A1" w:rsidRPr="004171A1" w:rsidRDefault="004171A1" w:rsidP="004171A1">
            <w:pPr>
              <w:spacing w:before="0" w:after="0"/>
              <w:rPr>
                <w:rFonts w:cs="Times New Roman"/>
                <w:i/>
                <w:color w:val="000000"/>
                <w:sz w:val="20"/>
              </w:rPr>
            </w:pPr>
            <w:r w:rsidRPr="004171A1">
              <w:rPr>
                <w:rFonts w:cs="Times New Roman"/>
                <w:i/>
                <w:color w:val="000000"/>
                <w:sz w:val="20"/>
              </w:rPr>
              <w:t>IL-10</w:t>
            </w:r>
          </w:p>
        </w:tc>
        <w:tc>
          <w:tcPr>
            <w:tcW w:w="4445" w:type="dxa"/>
            <w:shd w:val="clear" w:color="auto" w:fill="D9D9D9" w:themeFill="background1" w:themeFillShade="D9"/>
            <w:vAlign w:val="center"/>
          </w:tcPr>
          <w:p w14:paraId="3A95EDA2" w14:textId="27539028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sz w:val="20"/>
              </w:rPr>
              <w:t>5’-ATGCTGCCTGCTCTTACTGA-3’</w:t>
            </w:r>
          </w:p>
        </w:tc>
        <w:tc>
          <w:tcPr>
            <w:tcW w:w="4313" w:type="dxa"/>
            <w:shd w:val="clear" w:color="auto" w:fill="D9D9D9" w:themeFill="background1" w:themeFillShade="D9"/>
            <w:vAlign w:val="center"/>
          </w:tcPr>
          <w:p w14:paraId="29AF7268" w14:textId="1AFD7EB4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sz w:val="20"/>
              </w:rPr>
              <w:t>5’-GCAGCTCTAGGAGCATGTGG-3’</w:t>
            </w:r>
          </w:p>
        </w:tc>
      </w:tr>
      <w:tr w:rsidR="004171A1" w:rsidRPr="005F07A0" w14:paraId="46417260" w14:textId="4AC4BCFF" w:rsidTr="004171A1">
        <w:trPr>
          <w:trHeight w:val="321"/>
        </w:trPr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D1424E" w14:textId="7A410A7F" w:rsidR="004171A1" w:rsidRPr="004171A1" w:rsidRDefault="004171A1" w:rsidP="004171A1">
            <w:pPr>
              <w:spacing w:before="0" w:after="0"/>
              <w:rPr>
                <w:rFonts w:cs="Times New Roman"/>
                <w:i/>
                <w:color w:val="000000"/>
                <w:sz w:val="20"/>
              </w:rPr>
            </w:pPr>
            <w:proofErr w:type="spellStart"/>
            <w:r w:rsidRPr="004171A1">
              <w:rPr>
                <w:rFonts w:cs="Times New Roman"/>
                <w:i/>
                <w:color w:val="000000"/>
                <w:sz w:val="20"/>
              </w:rPr>
              <w:t>iNOS</w:t>
            </w:r>
            <w:proofErr w:type="spellEnd"/>
          </w:p>
        </w:tc>
        <w:tc>
          <w:tcPr>
            <w:tcW w:w="4445" w:type="dxa"/>
            <w:shd w:val="clear" w:color="auto" w:fill="auto"/>
            <w:vAlign w:val="center"/>
          </w:tcPr>
          <w:p w14:paraId="06E97BDD" w14:textId="3CA65CFF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5’-ACCCACATCTGGCAGAATGAG-3’</w:t>
            </w:r>
          </w:p>
        </w:tc>
        <w:tc>
          <w:tcPr>
            <w:tcW w:w="4313" w:type="dxa"/>
            <w:vAlign w:val="center"/>
          </w:tcPr>
          <w:p w14:paraId="78936BD5" w14:textId="09079A64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5’-AGCCATGACCTTTCGCATTAG-3’</w:t>
            </w:r>
          </w:p>
        </w:tc>
      </w:tr>
      <w:tr w:rsidR="004171A1" w:rsidRPr="005F07A0" w14:paraId="4FDB1D05" w14:textId="4A9CCB7B" w:rsidTr="004171A1">
        <w:trPr>
          <w:trHeight w:val="321"/>
        </w:trPr>
        <w:tc>
          <w:tcPr>
            <w:tcW w:w="127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76852C" w14:textId="75E25DF3" w:rsidR="004171A1" w:rsidRPr="004171A1" w:rsidRDefault="004171A1" w:rsidP="004171A1">
            <w:pPr>
              <w:spacing w:before="0" w:after="0"/>
              <w:rPr>
                <w:rFonts w:cs="Times New Roman"/>
                <w:i/>
                <w:color w:val="000000"/>
                <w:sz w:val="20"/>
              </w:rPr>
            </w:pPr>
            <w:r w:rsidRPr="004171A1">
              <w:rPr>
                <w:rFonts w:cs="Times New Roman"/>
                <w:i/>
                <w:color w:val="000000"/>
                <w:sz w:val="20"/>
              </w:rPr>
              <w:t>MFG-E8</w:t>
            </w:r>
          </w:p>
        </w:tc>
        <w:tc>
          <w:tcPr>
            <w:tcW w:w="4445" w:type="dxa"/>
            <w:shd w:val="clear" w:color="auto" w:fill="D9D9D9" w:themeFill="background1" w:themeFillShade="D9"/>
            <w:vAlign w:val="center"/>
          </w:tcPr>
          <w:p w14:paraId="65DFA573" w14:textId="08E7921B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4313" w:type="dxa"/>
            <w:shd w:val="clear" w:color="auto" w:fill="D9D9D9" w:themeFill="background1" w:themeFillShade="D9"/>
            <w:vAlign w:val="center"/>
          </w:tcPr>
          <w:p w14:paraId="7C370652" w14:textId="77777777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</w:tr>
      <w:tr w:rsidR="004171A1" w:rsidRPr="005F07A0" w14:paraId="52BD469D" w14:textId="65FA736B" w:rsidTr="004171A1">
        <w:trPr>
          <w:trHeight w:val="321"/>
        </w:trPr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87604B" w14:textId="7F5B36EF" w:rsidR="004171A1" w:rsidRPr="004171A1" w:rsidRDefault="004171A1" w:rsidP="004171A1">
            <w:pPr>
              <w:spacing w:before="0" w:after="0"/>
              <w:rPr>
                <w:rFonts w:cs="Times New Roman"/>
                <w:i/>
                <w:color w:val="000000"/>
                <w:sz w:val="20"/>
              </w:rPr>
            </w:pPr>
            <w:r w:rsidRPr="004171A1">
              <w:rPr>
                <w:rFonts w:cs="Times New Roman"/>
                <w:i/>
                <w:color w:val="000000"/>
                <w:sz w:val="20"/>
              </w:rPr>
              <w:t>RAGE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20861416" w14:textId="36DCCE28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5’-CTGGTGGGACTGTGACCTTG-3’</w:t>
            </w:r>
          </w:p>
        </w:tc>
        <w:tc>
          <w:tcPr>
            <w:tcW w:w="4313" w:type="dxa"/>
            <w:vAlign w:val="center"/>
          </w:tcPr>
          <w:p w14:paraId="542AC4D5" w14:textId="7DFCBAF5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5’-TCTGCCTGTCATTCCTAGCTC-3’</w:t>
            </w:r>
          </w:p>
        </w:tc>
      </w:tr>
      <w:tr w:rsidR="004171A1" w:rsidRPr="005F07A0" w14:paraId="0F8B9E36" w14:textId="07CE0DFA" w:rsidTr="004171A1">
        <w:trPr>
          <w:trHeight w:val="321"/>
        </w:trPr>
        <w:tc>
          <w:tcPr>
            <w:tcW w:w="127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4BFC8F8" w14:textId="3183A1ED" w:rsidR="004171A1" w:rsidRPr="004171A1" w:rsidRDefault="004171A1" w:rsidP="004171A1">
            <w:pPr>
              <w:spacing w:before="0" w:after="0"/>
              <w:rPr>
                <w:rFonts w:cs="Times New Roman"/>
                <w:i/>
                <w:color w:val="000000"/>
                <w:sz w:val="20"/>
              </w:rPr>
            </w:pPr>
            <w:r w:rsidRPr="004171A1">
              <w:rPr>
                <w:rFonts w:cs="Times New Roman"/>
                <w:i/>
                <w:color w:val="000000"/>
                <w:sz w:val="20"/>
              </w:rPr>
              <w:t>S100B</w:t>
            </w:r>
          </w:p>
        </w:tc>
        <w:tc>
          <w:tcPr>
            <w:tcW w:w="4445" w:type="dxa"/>
            <w:shd w:val="clear" w:color="auto" w:fill="D9D9D9" w:themeFill="background1" w:themeFillShade="D9"/>
            <w:vAlign w:val="center"/>
          </w:tcPr>
          <w:p w14:paraId="6C8D9B4C" w14:textId="4FDD9EC9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5’-GAGAGAGGGTGACAAGCACAA-3’</w:t>
            </w:r>
          </w:p>
        </w:tc>
        <w:tc>
          <w:tcPr>
            <w:tcW w:w="4313" w:type="dxa"/>
            <w:shd w:val="clear" w:color="auto" w:fill="D9D9D9" w:themeFill="background1" w:themeFillShade="D9"/>
            <w:vAlign w:val="center"/>
          </w:tcPr>
          <w:p w14:paraId="06FAE732" w14:textId="7C5CAC5A" w:rsidR="004171A1" w:rsidRPr="004171A1" w:rsidRDefault="004171A1" w:rsidP="004171A1">
            <w:pPr>
              <w:spacing w:before="0" w:after="0"/>
              <w:rPr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5’-GGCCATAAACTCCTGGAAGTC-3’</w:t>
            </w:r>
          </w:p>
        </w:tc>
      </w:tr>
      <w:tr w:rsidR="004171A1" w:rsidRPr="005F07A0" w14:paraId="2638FAE5" w14:textId="6284258E" w:rsidTr="004171A1">
        <w:trPr>
          <w:trHeight w:val="321"/>
        </w:trPr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745DE1" w14:textId="4F5729F9" w:rsidR="004171A1" w:rsidRPr="004171A1" w:rsidRDefault="004171A1" w:rsidP="004171A1">
            <w:pPr>
              <w:spacing w:before="0" w:after="0"/>
              <w:rPr>
                <w:rFonts w:cs="Times New Roman"/>
                <w:i/>
                <w:color w:val="000000"/>
                <w:sz w:val="20"/>
              </w:rPr>
            </w:pPr>
            <w:r w:rsidRPr="004171A1">
              <w:rPr>
                <w:rFonts w:cs="Times New Roman"/>
                <w:i/>
                <w:color w:val="000000"/>
                <w:sz w:val="20"/>
              </w:rPr>
              <w:t>SOCS1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20423005" w14:textId="04215F16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5’-CACCTTCTTGGTGCGCG-3’</w:t>
            </w:r>
          </w:p>
        </w:tc>
        <w:tc>
          <w:tcPr>
            <w:tcW w:w="4313" w:type="dxa"/>
            <w:vAlign w:val="center"/>
          </w:tcPr>
          <w:p w14:paraId="02A1A1DD" w14:textId="0CDB4F8D" w:rsidR="004171A1" w:rsidRPr="004171A1" w:rsidRDefault="004171A1" w:rsidP="004171A1">
            <w:pPr>
              <w:spacing w:before="0" w:after="0"/>
              <w:rPr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5’-AAGCCATCTTCACGCTGAGC-3’</w:t>
            </w:r>
          </w:p>
        </w:tc>
      </w:tr>
      <w:tr w:rsidR="004171A1" w:rsidRPr="005F07A0" w14:paraId="0661BDB8" w14:textId="0DCB56A2" w:rsidTr="004171A1">
        <w:trPr>
          <w:trHeight w:val="321"/>
        </w:trPr>
        <w:tc>
          <w:tcPr>
            <w:tcW w:w="127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8A5AB54" w14:textId="7917CA84" w:rsidR="004171A1" w:rsidRPr="004171A1" w:rsidRDefault="004171A1" w:rsidP="004171A1">
            <w:pPr>
              <w:spacing w:before="0" w:after="0"/>
              <w:rPr>
                <w:rFonts w:cs="Times New Roman"/>
                <w:i/>
                <w:color w:val="000000"/>
                <w:sz w:val="20"/>
              </w:rPr>
            </w:pPr>
            <w:r w:rsidRPr="004171A1">
              <w:rPr>
                <w:rFonts w:cs="Times New Roman"/>
                <w:i/>
                <w:color w:val="000000"/>
                <w:sz w:val="20"/>
              </w:rPr>
              <w:t>SOD1</w:t>
            </w:r>
          </w:p>
        </w:tc>
        <w:tc>
          <w:tcPr>
            <w:tcW w:w="4445" w:type="dxa"/>
            <w:shd w:val="clear" w:color="auto" w:fill="D9D9D9" w:themeFill="background1" w:themeFillShade="D9"/>
            <w:vAlign w:val="center"/>
          </w:tcPr>
          <w:p w14:paraId="76AA829D" w14:textId="54878646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  <w:tc>
          <w:tcPr>
            <w:tcW w:w="4313" w:type="dxa"/>
            <w:shd w:val="clear" w:color="auto" w:fill="D9D9D9" w:themeFill="background1" w:themeFillShade="D9"/>
            <w:vAlign w:val="center"/>
          </w:tcPr>
          <w:p w14:paraId="4CC732EF" w14:textId="77777777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</w:p>
        </w:tc>
      </w:tr>
      <w:tr w:rsidR="004171A1" w:rsidRPr="005F07A0" w14:paraId="6CD952D9" w14:textId="10F9E081" w:rsidTr="004171A1">
        <w:trPr>
          <w:trHeight w:val="321"/>
        </w:trPr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7C47004" w14:textId="0E44B68E" w:rsidR="004171A1" w:rsidRPr="004171A1" w:rsidRDefault="004171A1" w:rsidP="004171A1">
            <w:pPr>
              <w:spacing w:before="0" w:after="0"/>
              <w:rPr>
                <w:rFonts w:cs="Times New Roman"/>
                <w:i/>
                <w:color w:val="000000"/>
                <w:sz w:val="20"/>
              </w:rPr>
            </w:pPr>
            <w:r w:rsidRPr="004171A1">
              <w:rPr>
                <w:rFonts w:cs="Times New Roman"/>
                <w:i/>
                <w:color w:val="000000"/>
                <w:sz w:val="20"/>
              </w:rPr>
              <w:t>TLR-4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260A1BCD" w14:textId="409A067F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5’-ACCTGGCTGGTTTACACGTC-3’</w:t>
            </w:r>
          </w:p>
        </w:tc>
        <w:tc>
          <w:tcPr>
            <w:tcW w:w="4313" w:type="dxa"/>
            <w:vAlign w:val="center"/>
          </w:tcPr>
          <w:p w14:paraId="5D267AFF" w14:textId="21C4FA45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5’-GTGCCAGAGACATTGCAGAA-3’</w:t>
            </w:r>
          </w:p>
        </w:tc>
      </w:tr>
      <w:tr w:rsidR="004171A1" w:rsidRPr="005F07A0" w14:paraId="47B3487A" w14:textId="28496314" w:rsidTr="004171A1">
        <w:trPr>
          <w:trHeight w:val="321"/>
        </w:trPr>
        <w:tc>
          <w:tcPr>
            <w:tcW w:w="127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6A8785" w14:textId="15AFA011" w:rsidR="004171A1" w:rsidRPr="004171A1" w:rsidRDefault="004171A1" w:rsidP="004171A1">
            <w:pPr>
              <w:spacing w:before="0" w:after="0"/>
              <w:rPr>
                <w:rFonts w:cs="Times New Roman"/>
                <w:i/>
                <w:color w:val="000000"/>
                <w:sz w:val="20"/>
              </w:rPr>
            </w:pPr>
            <w:r w:rsidRPr="004171A1">
              <w:rPr>
                <w:rFonts w:cs="Times New Roman"/>
                <w:i/>
                <w:color w:val="000000"/>
                <w:sz w:val="20"/>
              </w:rPr>
              <w:t>TNF-α</w:t>
            </w:r>
          </w:p>
        </w:tc>
        <w:tc>
          <w:tcPr>
            <w:tcW w:w="4445" w:type="dxa"/>
            <w:shd w:val="clear" w:color="auto" w:fill="D9D9D9" w:themeFill="background1" w:themeFillShade="D9"/>
            <w:vAlign w:val="center"/>
          </w:tcPr>
          <w:p w14:paraId="0FDDB69C" w14:textId="5AD99560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5’-TACTGAACTTCGGGGTGATTGGTCC-3’</w:t>
            </w:r>
          </w:p>
        </w:tc>
        <w:tc>
          <w:tcPr>
            <w:tcW w:w="4313" w:type="dxa"/>
            <w:shd w:val="clear" w:color="auto" w:fill="D9D9D9" w:themeFill="background1" w:themeFillShade="D9"/>
            <w:vAlign w:val="center"/>
          </w:tcPr>
          <w:p w14:paraId="226AB2F6" w14:textId="2127A895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5’-CAGCCTTGTCCCTTGAAGAGAACC-3’</w:t>
            </w:r>
          </w:p>
        </w:tc>
      </w:tr>
      <w:tr w:rsidR="004171A1" w:rsidRPr="005F07A0" w14:paraId="45E53839" w14:textId="72603FC9" w:rsidTr="004171A1">
        <w:trPr>
          <w:trHeight w:val="321"/>
        </w:trPr>
        <w:tc>
          <w:tcPr>
            <w:tcW w:w="12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B68F44" w14:textId="0DBE62EF" w:rsidR="004171A1" w:rsidRPr="004171A1" w:rsidRDefault="004171A1" w:rsidP="004171A1">
            <w:pPr>
              <w:spacing w:before="0" w:after="0"/>
              <w:rPr>
                <w:rFonts w:cs="Times New Roman"/>
                <w:i/>
                <w:color w:val="000000"/>
                <w:sz w:val="20"/>
              </w:rPr>
            </w:pPr>
            <w:r w:rsidRPr="004171A1">
              <w:rPr>
                <w:rFonts w:cs="Times New Roman"/>
                <w:i/>
                <w:color w:val="000000"/>
                <w:sz w:val="20"/>
              </w:rPr>
              <w:t>β-actin</w:t>
            </w:r>
          </w:p>
        </w:tc>
        <w:tc>
          <w:tcPr>
            <w:tcW w:w="4445" w:type="dxa"/>
            <w:shd w:val="clear" w:color="auto" w:fill="auto"/>
            <w:vAlign w:val="center"/>
          </w:tcPr>
          <w:p w14:paraId="6CA30AE1" w14:textId="4116B044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5’-GCTCCGGCATGTGCAA-3’</w:t>
            </w:r>
          </w:p>
        </w:tc>
        <w:tc>
          <w:tcPr>
            <w:tcW w:w="4313" w:type="dxa"/>
            <w:vAlign w:val="center"/>
          </w:tcPr>
          <w:p w14:paraId="717BF99A" w14:textId="2B6EA670" w:rsidR="004171A1" w:rsidRPr="004171A1" w:rsidRDefault="004171A1" w:rsidP="004171A1">
            <w:pPr>
              <w:spacing w:before="0" w:after="0"/>
              <w:rPr>
                <w:rFonts w:cs="Times New Roman"/>
                <w:color w:val="000000"/>
                <w:sz w:val="20"/>
              </w:rPr>
            </w:pPr>
            <w:r w:rsidRPr="004171A1">
              <w:rPr>
                <w:rFonts w:cs="Times New Roman"/>
                <w:color w:val="000000"/>
                <w:sz w:val="20"/>
              </w:rPr>
              <w:t>5’-AGGATCTTCATGAGGTAGT-3’</w:t>
            </w:r>
          </w:p>
        </w:tc>
      </w:tr>
    </w:tbl>
    <w:p w14:paraId="6B2F703A" w14:textId="77777777" w:rsidR="005F07A0" w:rsidRPr="005F07A0" w:rsidRDefault="005F07A0" w:rsidP="008F2E20">
      <w:pPr>
        <w:spacing w:before="0" w:after="0"/>
        <w:jc w:val="both"/>
        <w:rPr>
          <w:rFonts w:cs="Times New Roman"/>
          <w:sz w:val="18"/>
        </w:rPr>
      </w:pPr>
    </w:p>
    <w:tbl>
      <w:tblPr>
        <w:tblW w:w="10031" w:type="dxa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2093"/>
        <w:gridCol w:w="7938"/>
      </w:tblGrid>
      <w:tr w:rsidR="004171A1" w:rsidRPr="005F07A0" w14:paraId="60F1B0BF" w14:textId="77777777" w:rsidTr="004171A1">
        <w:trPr>
          <w:trHeight w:val="359"/>
        </w:trPr>
        <w:tc>
          <w:tcPr>
            <w:tcW w:w="20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A86D0F" w14:textId="77777777" w:rsidR="004171A1" w:rsidRPr="004171A1" w:rsidRDefault="004171A1" w:rsidP="008F2E20">
            <w:pPr>
              <w:spacing w:before="0" w:after="0"/>
              <w:rPr>
                <w:rFonts w:cs="Times New Roman"/>
                <w:b/>
                <w:bCs/>
                <w:color w:val="000000"/>
              </w:rPr>
            </w:pPr>
            <w:bookmarkStart w:id="2" w:name="OLE_LINK1"/>
            <w:r w:rsidRPr="004171A1">
              <w:rPr>
                <w:rFonts w:cs="Times New Roman"/>
                <w:b/>
                <w:bCs/>
                <w:color w:val="000000"/>
              </w:rPr>
              <w:t>microRNA</w:t>
            </w:r>
          </w:p>
        </w:tc>
        <w:tc>
          <w:tcPr>
            <w:tcW w:w="79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CC5EB" w14:textId="48B897EC" w:rsidR="004171A1" w:rsidRPr="004171A1" w:rsidRDefault="004171A1" w:rsidP="008F2E20">
            <w:pPr>
              <w:spacing w:before="0" w:after="0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Times New Roman"/>
                <w:b/>
                <w:bCs/>
                <w:color w:val="000000"/>
              </w:rPr>
              <w:t xml:space="preserve">Target Sequence </w:t>
            </w:r>
          </w:p>
        </w:tc>
      </w:tr>
      <w:tr w:rsidR="004171A1" w:rsidRPr="005F07A0" w14:paraId="7580AC84" w14:textId="77777777" w:rsidTr="004171A1">
        <w:trPr>
          <w:trHeight w:val="323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DF5060F" w14:textId="7E499EC6" w:rsidR="004171A1" w:rsidRPr="005F07A0" w:rsidRDefault="004171A1" w:rsidP="008F2E20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5F07A0">
              <w:rPr>
                <w:rFonts w:cs="Times New Roman"/>
                <w:color w:val="000000"/>
                <w:sz w:val="22"/>
              </w:rPr>
              <w:t>hsa-miR-21-5p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3BF65DFE" w14:textId="3212FE6B" w:rsidR="004171A1" w:rsidRPr="005F07A0" w:rsidRDefault="004171A1" w:rsidP="00955316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5F07A0">
              <w:rPr>
                <w:rFonts w:cs="Times New Roman"/>
                <w:color w:val="000000"/>
                <w:sz w:val="22"/>
              </w:rPr>
              <w:t>5’- UAGCUUAUCAGACUGAUGUUGA-3’</w:t>
            </w:r>
          </w:p>
        </w:tc>
      </w:tr>
      <w:tr w:rsidR="004171A1" w:rsidRPr="005F07A0" w14:paraId="15D9FFB0" w14:textId="77777777" w:rsidTr="004171A1">
        <w:trPr>
          <w:trHeight w:val="323"/>
        </w:trPr>
        <w:tc>
          <w:tcPr>
            <w:tcW w:w="2093" w:type="dxa"/>
            <w:shd w:val="clear" w:color="auto" w:fill="auto"/>
            <w:vAlign w:val="center"/>
          </w:tcPr>
          <w:p w14:paraId="678C316A" w14:textId="0BB571AE" w:rsidR="004171A1" w:rsidRPr="005F07A0" w:rsidRDefault="004171A1" w:rsidP="008F2E20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5F07A0">
              <w:rPr>
                <w:rFonts w:cs="Times New Roman"/>
                <w:color w:val="000000"/>
                <w:sz w:val="22"/>
              </w:rPr>
              <w:t>hsa-miR-125b-5p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509111" w14:textId="6718841C" w:rsidR="004171A1" w:rsidRPr="005F07A0" w:rsidRDefault="004171A1" w:rsidP="00955316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5F07A0">
              <w:rPr>
                <w:rFonts w:cs="Times New Roman"/>
                <w:color w:val="000000"/>
                <w:sz w:val="22"/>
              </w:rPr>
              <w:t>5’-UCCCUGAGACCCUAACUUGUGA-3’</w:t>
            </w:r>
          </w:p>
        </w:tc>
      </w:tr>
      <w:tr w:rsidR="004171A1" w:rsidRPr="005F07A0" w14:paraId="496B63C3" w14:textId="77777777" w:rsidTr="004171A1">
        <w:trPr>
          <w:trHeight w:val="323"/>
        </w:trPr>
        <w:tc>
          <w:tcPr>
            <w:tcW w:w="2093" w:type="dxa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F1CB73A" w14:textId="7A750CFB" w:rsidR="004171A1" w:rsidRPr="005F07A0" w:rsidRDefault="004171A1" w:rsidP="008F2E20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5F07A0">
              <w:rPr>
                <w:rFonts w:cs="Times New Roman"/>
                <w:color w:val="000000"/>
                <w:sz w:val="22"/>
              </w:rPr>
              <w:t>hsa-miR-146a-5p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2BADE65E" w14:textId="0BFE017C" w:rsidR="004171A1" w:rsidRPr="005F07A0" w:rsidRDefault="004171A1" w:rsidP="008F2E20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5F07A0">
              <w:rPr>
                <w:rFonts w:cs="Times New Roman"/>
                <w:color w:val="000000"/>
                <w:sz w:val="22"/>
              </w:rPr>
              <w:t>5’-UGAGAACUGAAUUCCAUGGGUU-3’</w:t>
            </w:r>
          </w:p>
        </w:tc>
      </w:tr>
      <w:tr w:rsidR="004171A1" w:rsidRPr="005F07A0" w14:paraId="0806A430" w14:textId="77777777" w:rsidTr="004171A1">
        <w:trPr>
          <w:trHeight w:val="323"/>
        </w:trPr>
        <w:tc>
          <w:tcPr>
            <w:tcW w:w="2093" w:type="dxa"/>
            <w:shd w:val="clear" w:color="auto" w:fill="auto"/>
            <w:vAlign w:val="center"/>
          </w:tcPr>
          <w:p w14:paraId="52DA79E1" w14:textId="1C7D530B" w:rsidR="004171A1" w:rsidRPr="005F07A0" w:rsidRDefault="004171A1" w:rsidP="008F2E20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5F07A0">
              <w:rPr>
                <w:rFonts w:cs="Times New Roman"/>
                <w:color w:val="000000"/>
                <w:sz w:val="22"/>
              </w:rPr>
              <w:t>mmu-miR-155-5p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2829E7B" w14:textId="055B0D8B" w:rsidR="004171A1" w:rsidRPr="005F07A0" w:rsidRDefault="004171A1" w:rsidP="008F2E20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5F07A0">
              <w:rPr>
                <w:rFonts w:cs="Times New Roman"/>
                <w:color w:val="000000"/>
                <w:sz w:val="22"/>
              </w:rPr>
              <w:t>5’-CTCAGAGAGGTGGAAGACCATGT-3’</w:t>
            </w:r>
          </w:p>
        </w:tc>
      </w:tr>
      <w:tr w:rsidR="004171A1" w:rsidRPr="005F07A0" w14:paraId="3700821A" w14:textId="77777777" w:rsidTr="004171A1">
        <w:trPr>
          <w:trHeight w:val="32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3BC7BCA" w14:textId="77777777" w:rsidR="004171A1" w:rsidRPr="005F07A0" w:rsidRDefault="004171A1" w:rsidP="008F2E20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5F07A0">
              <w:rPr>
                <w:rFonts w:cs="Times New Roman"/>
                <w:color w:val="000000"/>
                <w:sz w:val="22"/>
              </w:rPr>
              <w:t>SNORD110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70E5B292" w14:textId="77777777" w:rsidR="004171A1" w:rsidRPr="005F07A0" w:rsidRDefault="004171A1" w:rsidP="008F2E20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5F07A0">
              <w:rPr>
                <w:rFonts w:cs="Times New Roman"/>
                <w:color w:val="000000"/>
                <w:sz w:val="22"/>
              </w:rPr>
              <w:t>Reference gene</w:t>
            </w:r>
          </w:p>
        </w:tc>
      </w:tr>
      <w:tr w:rsidR="00BC1BD1" w:rsidRPr="005F07A0" w14:paraId="347E2C09" w14:textId="77777777" w:rsidTr="004171A1">
        <w:trPr>
          <w:trHeight w:val="32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3381555A" w14:textId="303FEBB0" w:rsidR="00BC1BD1" w:rsidRPr="005F07A0" w:rsidRDefault="00BC1BD1" w:rsidP="008F2E20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 xml:space="preserve">U6 </w:t>
            </w:r>
            <w:r w:rsidRPr="00BC1BD1">
              <w:rPr>
                <w:rFonts w:cs="Times New Roman"/>
                <w:color w:val="000000"/>
                <w:sz w:val="22"/>
              </w:rPr>
              <w:t>snRNA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3B43C69" w14:textId="4A372E41" w:rsidR="00BC1BD1" w:rsidRPr="005F07A0" w:rsidRDefault="00BC1BD1" w:rsidP="008F2E20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5F07A0">
              <w:rPr>
                <w:rFonts w:cs="Times New Roman"/>
                <w:color w:val="000000"/>
                <w:sz w:val="22"/>
              </w:rPr>
              <w:t>Reference gene</w:t>
            </w:r>
          </w:p>
        </w:tc>
      </w:tr>
      <w:tr w:rsidR="00BC1BD1" w:rsidRPr="005F07A0" w14:paraId="3BFD8EAA" w14:textId="77777777" w:rsidTr="004171A1">
        <w:trPr>
          <w:trHeight w:val="32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5447387" w14:textId="63E031E6" w:rsidR="00BC1BD1" w:rsidRPr="005F07A0" w:rsidRDefault="00BC1BD1" w:rsidP="008F2E20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BC1BD1">
              <w:rPr>
                <w:rFonts w:cs="Times New Roman"/>
                <w:color w:val="000000"/>
                <w:sz w:val="22"/>
              </w:rPr>
              <w:t>RNU1A1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0E10F7C2" w14:textId="56FF7EBE" w:rsidR="00BC1BD1" w:rsidRPr="005F07A0" w:rsidRDefault="00BC1BD1" w:rsidP="008F2E20">
            <w:pPr>
              <w:spacing w:before="0" w:after="0"/>
              <w:rPr>
                <w:rFonts w:cs="Times New Roman"/>
                <w:color w:val="000000"/>
                <w:sz w:val="22"/>
              </w:rPr>
            </w:pPr>
            <w:r w:rsidRPr="005F07A0">
              <w:rPr>
                <w:rFonts w:cs="Times New Roman"/>
                <w:color w:val="000000"/>
                <w:sz w:val="22"/>
              </w:rPr>
              <w:t>Reference gene</w:t>
            </w:r>
          </w:p>
        </w:tc>
      </w:tr>
      <w:bookmarkEnd w:id="2"/>
    </w:tbl>
    <w:p w14:paraId="179B4846" w14:textId="77777777" w:rsidR="00F73863" w:rsidRPr="001549D3" w:rsidRDefault="00F73863" w:rsidP="00955316">
      <w:pPr>
        <w:spacing w:before="240"/>
      </w:pPr>
    </w:p>
    <w:sectPr w:rsidR="00F73863" w:rsidRPr="001549D3" w:rsidSect="0093429D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A28B1" w14:textId="77777777" w:rsidR="0011073E" w:rsidRDefault="0011073E" w:rsidP="00117666">
      <w:pPr>
        <w:spacing w:after="0"/>
      </w:pPr>
      <w:r>
        <w:separator/>
      </w:r>
    </w:p>
  </w:endnote>
  <w:endnote w:type="continuationSeparator" w:id="0">
    <w:p w14:paraId="135AAB4C" w14:textId="77777777" w:rsidR="0011073E" w:rsidRDefault="0011073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44977" w14:textId="77777777" w:rsidR="00995F6A" w:rsidRPr="00577C4C" w:rsidRDefault="00C52A7B">
    <w:pPr>
      <w:rPr>
        <w:color w:val="C00000"/>
        <w:szCs w:val="24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C5FAD6" wp14:editId="4234A98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E742E9" w14:textId="5707F27E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4171A1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C5FA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36E742E9" w14:textId="5707F27E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4171A1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D048D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9577175" wp14:editId="2AA88D2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7C859C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386AA3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577175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287C859C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386AA3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EA993" w14:textId="77777777" w:rsidR="0011073E" w:rsidRDefault="0011073E" w:rsidP="00117666">
      <w:pPr>
        <w:spacing w:after="0"/>
      </w:pPr>
      <w:r>
        <w:separator/>
      </w:r>
    </w:p>
  </w:footnote>
  <w:footnote w:type="continuationSeparator" w:id="0">
    <w:p w14:paraId="33135E93" w14:textId="77777777" w:rsidR="0011073E" w:rsidRDefault="0011073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BE4BB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2DB5C" w14:textId="77777777" w:rsidR="00995F6A" w:rsidRDefault="0093429D" w:rsidP="0093429D">
    <w:r w:rsidRPr="005A1D84">
      <w:rPr>
        <w:b/>
        <w:noProof/>
        <w:color w:val="A6A6A6" w:themeColor="background1" w:themeShade="A6"/>
        <w:lang w:val="pt-PT" w:eastAsia="pt-PT"/>
      </w:rPr>
      <w:drawing>
        <wp:inline distT="0" distB="0" distL="0" distR="0" wp14:anchorId="1F3C613F" wp14:editId="6A6B7152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Ttu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PargrafodaList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20"/>
    <w:rsid w:val="000033A4"/>
    <w:rsid w:val="0001436A"/>
    <w:rsid w:val="00034304"/>
    <w:rsid w:val="00035434"/>
    <w:rsid w:val="00052A14"/>
    <w:rsid w:val="00077D53"/>
    <w:rsid w:val="00092155"/>
    <w:rsid w:val="000A47BF"/>
    <w:rsid w:val="000B1CD6"/>
    <w:rsid w:val="00105FD9"/>
    <w:rsid w:val="0011073E"/>
    <w:rsid w:val="00117666"/>
    <w:rsid w:val="001549D3"/>
    <w:rsid w:val="00160065"/>
    <w:rsid w:val="001769BE"/>
    <w:rsid w:val="00177D84"/>
    <w:rsid w:val="001B762C"/>
    <w:rsid w:val="00267D18"/>
    <w:rsid w:val="002868E2"/>
    <w:rsid w:val="002869C3"/>
    <w:rsid w:val="002936E4"/>
    <w:rsid w:val="002B4A57"/>
    <w:rsid w:val="002C74CA"/>
    <w:rsid w:val="002F2AD7"/>
    <w:rsid w:val="003544FB"/>
    <w:rsid w:val="00386AA3"/>
    <w:rsid w:val="003B4DC7"/>
    <w:rsid w:val="003D2F2D"/>
    <w:rsid w:val="00401590"/>
    <w:rsid w:val="004171A1"/>
    <w:rsid w:val="00434889"/>
    <w:rsid w:val="00447801"/>
    <w:rsid w:val="00452E9C"/>
    <w:rsid w:val="004735C8"/>
    <w:rsid w:val="00483844"/>
    <w:rsid w:val="004961FF"/>
    <w:rsid w:val="00517A89"/>
    <w:rsid w:val="005250F2"/>
    <w:rsid w:val="00572E7E"/>
    <w:rsid w:val="00593EEA"/>
    <w:rsid w:val="005A5EEE"/>
    <w:rsid w:val="005F07A0"/>
    <w:rsid w:val="006375C7"/>
    <w:rsid w:val="00654E8F"/>
    <w:rsid w:val="00660D05"/>
    <w:rsid w:val="006820B1"/>
    <w:rsid w:val="00690AAD"/>
    <w:rsid w:val="006B7D14"/>
    <w:rsid w:val="00701727"/>
    <w:rsid w:val="0070566C"/>
    <w:rsid w:val="00714C50"/>
    <w:rsid w:val="00725A7D"/>
    <w:rsid w:val="007501BE"/>
    <w:rsid w:val="00763481"/>
    <w:rsid w:val="00790BB3"/>
    <w:rsid w:val="007C206C"/>
    <w:rsid w:val="00817DD6"/>
    <w:rsid w:val="00885156"/>
    <w:rsid w:val="008F2492"/>
    <w:rsid w:val="008F2E20"/>
    <w:rsid w:val="009008F1"/>
    <w:rsid w:val="00911917"/>
    <w:rsid w:val="009151AA"/>
    <w:rsid w:val="0093429D"/>
    <w:rsid w:val="00936832"/>
    <w:rsid w:val="00943573"/>
    <w:rsid w:val="00955316"/>
    <w:rsid w:val="00970F7D"/>
    <w:rsid w:val="00994A3D"/>
    <w:rsid w:val="009C2B12"/>
    <w:rsid w:val="00A15989"/>
    <w:rsid w:val="00A174D9"/>
    <w:rsid w:val="00A96443"/>
    <w:rsid w:val="00AB6715"/>
    <w:rsid w:val="00AF6D39"/>
    <w:rsid w:val="00B1671E"/>
    <w:rsid w:val="00B24CEE"/>
    <w:rsid w:val="00B25EB8"/>
    <w:rsid w:val="00B37F4D"/>
    <w:rsid w:val="00B67770"/>
    <w:rsid w:val="00BC1BD1"/>
    <w:rsid w:val="00C52A7B"/>
    <w:rsid w:val="00C56BAF"/>
    <w:rsid w:val="00C679AA"/>
    <w:rsid w:val="00C75972"/>
    <w:rsid w:val="00CD066B"/>
    <w:rsid w:val="00CE4FEE"/>
    <w:rsid w:val="00D00FA9"/>
    <w:rsid w:val="00DB59C3"/>
    <w:rsid w:val="00DC259A"/>
    <w:rsid w:val="00DC334A"/>
    <w:rsid w:val="00DE23E8"/>
    <w:rsid w:val="00DE4680"/>
    <w:rsid w:val="00E52377"/>
    <w:rsid w:val="00E64E17"/>
    <w:rsid w:val="00E866C9"/>
    <w:rsid w:val="00EA3D3C"/>
    <w:rsid w:val="00F46900"/>
    <w:rsid w:val="00F61D89"/>
    <w:rsid w:val="00F7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062B19"/>
  <w15:docId w15:val="{60841B5A-FD4E-4930-B098-4DB6228A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tulo1">
    <w:name w:val="heading 1"/>
    <w:basedOn w:val="PargrafodaLista"/>
    <w:next w:val="Normal"/>
    <w:link w:val="Ttulo1Carte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tulo2">
    <w:name w:val="heading 2"/>
    <w:basedOn w:val="Ttulo1"/>
    <w:next w:val="Normal"/>
    <w:link w:val="Ttulo2Carte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tulo3">
    <w:name w:val="heading 3"/>
    <w:basedOn w:val="Normal"/>
    <w:next w:val="Normal"/>
    <w:link w:val="Ttulo3Carte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Ttulo3"/>
    <w:next w:val="Normal"/>
    <w:link w:val="Ttulo4Carte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tulo5">
    <w:name w:val="heading 5"/>
    <w:basedOn w:val="Ttulo4"/>
    <w:next w:val="Normal"/>
    <w:link w:val="Ttulo5Carter"/>
    <w:uiPriority w:val="2"/>
    <w:qFormat/>
    <w:rsid w:val="00AB6715"/>
    <w:pPr>
      <w:numPr>
        <w:ilvl w:val="4"/>
      </w:numPr>
      <w:outlineLvl w:val="4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tulo2Carter">
    <w:name w:val="Título 2 Caráter"/>
    <w:basedOn w:val="Tipodeletrapredefinidodopargrafo"/>
    <w:link w:val="Ttu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tulo">
    <w:name w:val="Subtitle"/>
    <w:basedOn w:val="Normal"/>
    <w:next w:val="Normal"/>
    <w:link w:val="SubttuloCarte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tuloCarter">
    <w:name w:val="Subtítulo Caráter"/>
    <w:basedOn w:val="Tipodeletrapredefinidodopargrafo"/>
    <w:link w:val="Subttu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tulo"/>
    <w:next w:val="Normal"/>
    <w:uiPriority w:val="1"/>
    <w:qFormat/>
    <w:rsid w:val="00AB6715"/>
  </w:style>
  <w:style w:type="paragraph" w:styleId="Textodebalo">
    <w:name w:val="Balloon Text"/>
    <w:basedOn w:val="Normal"/>
    <w:link w:val="TextodebaloCarte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tulodoLivro">
    <w:name w:val="Book Title"/>
    <w:basedOn w:val="Tipodeletrapredefinidodopar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egenda">
    <w:name w:val="caption"/>
    <w:basedOn w:val="Normal"/>
    <w:next w:val="SemEspaamento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emEspaamento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B6715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B6715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B671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nfase">
    <w:name w:val="Emphasis"/>
    <w:basedOn w:val="Tipodeletrapredefinidodopargrafo"/>
    <w:uiPriority w:val="20"/>
    <w:qFormat/>
    <w:rsid w:val="00AB6715"/>
    <w:rPr>
      <w:rFonts w:ascii="Times New Roman" w:hAnsi="Times New Roman"/>
      <w:i/>
      <w:iCs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AB6715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Rodap">
    <w:name w:val="footer"/>
    <w:basedOn w:val="Normal"/>
    <w:link w:val="RodapCarte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B6715"/>
    <w:rPr>
      <w:rFonts w:ascii="Times New Roman" w:hAnsi="Times New Roman"/>
      <w:sz w:val="24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B6715"/>
    <w:rPr>
      <w:vertAlign w:val="superscript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AB6715"/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iperligao">
    <w:name w:val="Hyperlink"/>
    <w:basedOn w:val="Tipodeletrapredefinidodopargrafo"/>
    <w:uiPriority w:val="99"/>
    <w:unhideWhenUsed/>
    <w:rsid w:val="00AB6715"/>
    <w:rPr>
      <w:color w:val="0000FF"/>
      <w:u w:val="single"/>
    </w:rPr>
  </w:style>
  <w:style w:type="character" w:styleId="nfaseIntensa">
    <w:name w:val="Intense Emphasis"/>
    <w:basedOn w:val="Tipodeletrapredefinidodopar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efernciaIntensa">
    <w:name w:val="Intense Reference"/>
    <w:basedOn w:val="Tipodeletrapredefinidodopargrafo"/>
    <w:uiPriority w:val="32"/>
    <w:qFormat/>
    <w:rsid w:val="00AB6715"/>
    <w:rPr>
      <w:b/>
      <w:bCs/>
      <w:smallCaps/>
      <w:color w:val="auto"/>
      <w:spacing w:val="5"/>
    </w:rPr>
  </w:style>
  <w:style w:type="character" w:styleId="Nmerodelinha">
    <w:name w:val="line number"/>
    <w:basedOn w:val="Tipodeletrapredefinidodopargrafo"/>
    <w:uiPriority w:val="99"/>
    <w:semiHidden/>
    <w:unhideWhenUsed/>
    <w:rsid w:val="00AB6715"/>
  </w:style>
  <w:style w:type="character" w:customStyle="1" w:styleId="Ttulo3Carter">
    <w:name w:val="Título 3 Caráter"/>
    <w:basedOn w:val="Tipodeletrapredefinidodopargrafo"/>
    <w:link w:val="Ttu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tulo4Carter">
    <w:name w:val="Título 4 Caráter"/>
    <w:basedOn w:val="Tipodeletrapredefinidodopargrafo"/>
    <w:link w:val="Ttu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tulo5Carter">
    <w:name w:val="Título 5 Caráter"/>
    <w:basedOn w:val="Tipodeletrapredefinidodopargrafo"/>
    <w:link w:val="Ttu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o">
    <w:name w:val="Quote"/>
    <w:basedOn w:val="Normal"/>
    <w:next w:val="Normal"/>
    <w:link w:val="CitaoCarte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orte">
    <w:name w:val="Strong"/>
    <w:basedOn w:val="Tipodeletrapredefinidodopargrafo"/>
    <w:uiPriority w:val="22"/>
    <w:qFormat/>
    <w:rsid w:val="00AB6715"/>
    <w:rPr>
      <w:rFonts w:ascii="Times New Roman" w:hAnsi="Times New Roman"/>
      <w:b/>
      <w:bCs/>
    </w:rPr>
  </w:style>
  <w:style w:type="character" w:styleId="nfaseDiscreta">
    <w:name w:val="Subtle Emphasis"/>
    <w:basedOn w:val="Tipodeletrapredefinidodopar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acomGrelha">
    <w:name w:val="Table Grid"/>
    <w:basedOn w:val="Tabela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te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tulo"/>
    <w:next w:val="Ttulo"/>
    <w:qFormat/>
    <w:rsid w:val="0001436A"/>
    <w:pPr>
      <w:spacing w:after="120"/>
    </w:pPr>
    <w:rPr>
      <w:i/>
    </w:rPr>
  </w:style>
  <w:style w:type="table" w:customStyle="1" w:styleId="TabelaSimples21">
    <w:name w:val="Tabela Simples 21"/>
    <w:basedOn w:val="Tabelanormal"/>
    <w:uiPriority w:val="42"/>
    <w:rsid w:val="00386AA3"/>
    <w:pPr>
      <w:spacing w:after="0" w:line="240" w:lineRule="auto"/>
    </w:pPr>
    <w:rPr>
      <w:lang w:val="pt-P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AppData\Local\Temp\Temp1_Frontiers_Supplementary_Material%20(2).zip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FileFormat xmlns="ee999ba6-a511-4017-ac1d-c9c57686e1ce">DOCX</FileFormat>
    <StageName xmlns="ee999ba6-a511-4017-ac1d-c9c57686e1ce" xsi:nil="true"/>
    <Checked_x0020_Out_x0020_To xmlns="ee999ba6-a511-4017-ac1d-c9c57686e1ce">
      <UserInfo>
        <DisplayName/>
        <AccountId xsi:nil="true"/>
        <AccountType/>
      </UserInfo>
    </Checked_x0020_Out_x0020_To>
    <DocumentId xmlns="ee999ba6-a511-4017-ac1d-c9c57686e1ce">Table 1.DOCX</DocumentId>
    <IsDeleted xmlns="ee999ba6-a511-4017-ac1d-c9c57686e1ce">false</IsDeleted>
    <TitleName xmlns="ee999ba6-a511-4017-ac1d-c9c57686e1ce">Table 1.DOCX</TitleName>
    <DocumentType xmlns="ee999ba6-a511-4017-ac1d-c9c57686e1ce">Table</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B1B113E9124459FF1C4AB35166EF3" ma:contentTypeVersion="7" ma:contentTypeDescription="Create a new document." ma:contentTypeScope="" ma:versionID="c86f4393a4b21f2bc2c2a8179b25c9c6">
  <xsd:schema xmlns:xsd="http://www.w3.org/2001/XMLSchema" xmlns:p="http://schemas.microsoft.com/office/2006/metadata/properties" xmlns:ns2="ee999ba6-a511-4017-ac1d-c9c57686e1ce" targetNamespace="http://schemas.microsoft.com/office/2006/metadata/properties" ma:root="true" ma:fieldsID="d5dd480bd288aa99308b770228ffde3a" ns2:_="">
    <xsd:import namespace="ee999ba6-a511-4017-ac1d-c9c57686e1ce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999ba6-a511-4017-ac1d-c9c57686e1ce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75337085-DE28-4E94-A8AF-E85CED88A95A}">
  <ds:schemaRefs>
    <ds:schemaRef ds:uri="http://schemas.microsoft.com/office/2006/metadata/properties"/>
    <ds:schemaRef ds:uri="ee999ba6-a511-4017-ac1d-c9c57686e1ce"/>
  </ds:schemaRefs>
</ds:datastoreItem>
</file>

<file path=customXml/itemProps2.xml><?xml version="1.0" encoding="utf-8"?>
<ds:datastoreItem xmlns:ds="http://schemas.openxmlformats.org/officeDocument/2006/customXml" ds:itemID="{8208D4EC-094D-41BB-93C2-3C9442379C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66B0B3-2AAA-4E17-ACCB-A3A924777C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99ba6-a511-4017-ac1d-c9c57686e1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5F8524-F29E-4C6C-8FEF-2A31F254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3</Pages>
  <Words>1612</Words>
  <Characters>8707</Characters>
  <Application>Microsoft Office Word</Application>
  <DocSecurity>0</DocSecurity>
  <Lines>72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Rita</cp:lastModifiedBy>
  <cp:revision>2</cp:revision>
  <cp:lastPrinted>2013-10-03T12:51:00Z</cp:lastPrinted>
  <dcterms:created xsi:type="dcterms:W3CDTF">2019-02-28T15:07:00Z</dcterms:created>
  <dcterms:modified xsi:type="dcterms:W3CDTF">2019-02-28T15:07:00Z</dcterms:modified>
</cp:coreProperties>
</file>