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137" w:rsidRPr="006561A2" w:rsidRDefault="00B0725E" w:rsidP="006561A2">
      <w:pPr>
        <w:spacing w:line="360" w:lineRule="auto"/>
        <w:rPr>
          <w:rFonts w:ascii="Times New Roman" w:hAnsi="Times New Roman" w:cs="Times New Roman"/>
          <w:b/>
          <w:szCs w:val="20"/>
        </w:rPr>
      </w:pPr>
      <w:bookmarkStart w:id="0" w:name="_GoBack"/>
      <w:bookmarkEnd w:id="0"/>
      <w:r w:rsidRPr="006561A2">
        <w:rPr>
          <w:rFonts w:ascii="Times New Roman" w:hAnsi="Times New Roman" w:cs="Times New Roman"/>
          <w:b/>
          <w:szCs w:val="20"/>
        </w:rPr>
        <w:t>Table S1. Jadad Scale for 35 Included Studies</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720"/>
        <w:gridCol w:w="1333"/>
        <w:gridCol w:w="2089"/>
        <w:gridCol w:w="2936"/>
        <w:gridCol w:w="1776"/>
      </w:tblGrid>
      <w:tr w:rsidR="006561A2" w:rsidRPr="006561A2" w:rsidTr="006561A2">
        <w:trPr>
          <w:trHeight w:val="321"/>
        </w:trPr>
        <w:tc>
          <w:tcPr>
            <w:tcW w:w="872" w:type="pct"/>
            <w:tcBorders>
              <w:bottom w:val="single" w:sz="8" w:space="0" w:color="auto"/>
            </w:tcBorders>
            <w:noWrap/>
            <w:hideMark/>
          </w:tcPr>
          <w:p w:rsidR="006561A2" w:rsidRPr="006561A2" w:rsidRDefault="006561A2" w:rsidP="006561A2">
            <w:pPr>
              <w:rPr>
                <w:rFonts w:ascii="Times New Roman" w:hAnsi="Times New Roman" w:cs="Times New Roman"/>
                <w:b/>
                <w:sz w:val="20"/>
                <w:szCs w:val="20"/>
              </w:rPr>
            </w:pPr>
            <w:r w:rsidRPr="006561A2">
              <w:rPr>
                <w:rFonts w:ascii="Times New Roman" w:hAnsi="Times New Roman" w:cs="Times New Roman"/>
                <w:b/>
                <w:sz w:val="20"/>
                <w:szCs w:val="20"/>
              </w:rPr>
              <w:t>Author</w:t>
            </w:r>
          </w:p>
        </w:tc>
        <w:tc>
          <w:tcPr>
            <w:tcW w:w="676" w:type="pct"/>
            <w:tcBorders>
              <w:bottom w:val="single" w:sz="8" w:space="0" w:color="auto"/>
            </w:tcBorders>
            <w:noWrap/>
            <w:hideMark/>
          </w:tcPr>
          <w:p w:rsidR="006561A2" w:rsidRPr="006561A2" w:rsidRDefault="006561A2" w:rsidP="006561A2">
            <w:pPr>
              <w:rPr>
                <w:rFonts w:ascii="Times New Roman" w:hAnsi="Times New Roman" w:cs="Times New Roman"/>
                <w:b/>
                <w:sz w:val="20"/>
                <w:szCs w:val="20"/>
              </w:rPr>
            </w:pPr>
            <w:r w:rsidRPr="006561A2">
              <w:rPr>
                <w:rFonts w:ascii="Times New Roman" w:hAnsi="Times New Roman" w:cs="Times New Roman"/>
                <w:b/>
                <w:sz w:val="20"/>
                <w:szCs w:val="20"/>
              </w:rPr>
              <w:t>Blinding</w:t>
            </w:r>
          </w:p>
        </w:tc>
        <w:tc>
          <w:tcPr>
            <w:tcW w:w="1060" w:type="pct"/>
            <w:tcBorders>
              <w:bottom w:val="single" w:sz="8" w:space="0" w:color="auto"/>
            </w:tcBorders>
            <w:noWrap/>
            <w:hideMark/>
          </w:tcPr>
          <w:p w:rsidR="006561A2" w:rsidRPr="006561A2" w:rsidRDefault="006561A2" w:rsidP="006561A2">
            <w:pPr>
              <w:rPr>
                <w:rFonts w:ascii="Times New Roman" w:hAnsi="Times New Roman" w:cs="Times New Roman"/>
                <w:b/>
                <w:sz w:val="20"/>
                <w:szCs w:val="20"/>
              </w:rPr>
            </w:pPr>
            <w:r w:rsidRPr="006561A2">
              <w:rPr>
                <w:rFonts w:ascii="Times New Roman" w:hAnsi="Times New Roman" w:cs="Times New Roman"/>
                <w:b/>
                <w:sz w:val="20"/>
                <w:szCs w:val="20"/>
              </w:rPr>
              <w:t>Randomization</w:t>
            </w:r>
          </w:p>
        </w:tc>
        <w:tc>
          <w:tcPr>
            <w:tcW w:w="1490" w:type="pct"/>
            <w:tcBorders>
              <w:bottom w:val="single" w:sz="8" w:space="0" w:color="auto"/>
            </w:tcBorders>
            <w:noWrap/>
            <w:hideMark/>
          </w:tcPr>
          <w:p w:rsidR="006561A2" w:rsidRPr="006561A2" w:rsidRDefault="006561A2" w:rsidP="006561A2">
            <w:pPr>
              <w:rPr>
                <w:rFonts w:ascii="Times New Roman" w:hAnsi="Times New Roman" w:cs="Times New Roman"/>
                <w:b/>
                <w:sz w:val="20"/>
                <w:szCs w:val="20"/>
              </w:rPr>
            </w:pPr>
            <w:r w:rsidRPr="006561A2">
              <w:rPr>
                <w:rFonts w:ascii="Times New Roman" w:hAnsi="Times New Roman" w:cs="Times New Roman"/>
                <w:b/>
                <w:sz w:val="20"/>
                <w:szCs w:val="20"/>
              </w:rPr>
              <w:t>An account of patients</w:t>
            </w:r>
          </w:p>
        </w:tc>
        <w:tc>
          <w:tcPr>
            <w:tcW w:w="901" w:type="pct"/>
            <w:tcBorders>
              <w:bottom w:val="single" w:sz="8" w:space="0" w:color="auto"/>
            </w:tcBorders>
            <w:noWrap/>
            <w:hideMark/>
          </w:tcPr>
          <w:p w:rsidR="006561A2" w:rsidRPr="006561A2" w:rsidRDefault="006561A2" w:rsidP="006561A2">
            <w:pPr>
              <w:rPr>
                <w:rFonts w:ascii="Times New Roman" w:hAnsi="Times New Roman" w:cs="Times New Roman"/>
                <w:b/>
                <w:sz w:val="20"/>
                <w:szCs w:val="20"/>
              </w:rPr>
            </w:pPr>
            <w:r w:rsidRPr="006561A2">
              <w:rPr>
                <w:rFonts w:ascii="Times New Roman" w:hAnsi="Times New Roman" w:cs="Times New Roman"/>
                <w:b/>
                <w:sz w:val="20"/>
                <w:szCs w:val="20"/>
              </w:rPr>
              <w:t>High quality</w:t>
            </w:r>
          </w:p>
        </w:tc>
      </w:tr>
      <w:tr w:rsidR="006561A2" w:rsidRPr="006561A2" w:rsidTr="006561A2">
        <w:trPr>
          <w:trHeight w:val="321"/>
        </w:trPr>
        <w:tc>
          <w:tcPr>
            <w:tcW w:w="872" w:type="pct"/>
            <w:tcBorders>
              <w:top w:val="single" w:sz="8" w:space="0" w:color="auto"/>
              <w:bottom w:val="nil"/>
            </w:tcBorders>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Park</w:t>
            </w:r>
          </w:p>
        </w:tc>
        <w:tc>
          <w:tcPr>
            <w:tcW w:w="676" w:type="pct"/>
            <w:tcBorders>
              <w:top w:val="single" w:sz="8" w:space="0" w:color="auto"/>
              <w:bottom w:val="nil"/>
            </w:tcBorders>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060" w:type="pct"/>
            <w:tcBorders>
              <w:top w:val="single" w:sz="8" w:space="0" w:color="auto"/>
              <w:bottom w:val="nil"/>
            </w:tcBorders>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tcBorders>
              <w:top w:val="single" w:sz="8" w:space="0" w:color="auto"/>
              <w:bottom w:val="nil"/>
            </w:tcBorders>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0</w:t>
            </w:r>
          </w:p>
        </w:tc>
        <w:tc>
          <w:tcPr>
            <w:tcW w:w="901" w:type="pct"/>
            <w:tcBorders>
              <w:top w:val="single" w:sz="8" w:space="0" w:color="auto"/>
              <w:bottom w:val="nil"/>
            </w:tcBorders>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tcBorders>
              <w:top w:val="nil"/>
            </w:tcBorders>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Zhu</w:t>
            </w:r>
          </w:p>
        </w:tc>
        <w:tc>
          <w:tcPr>
            <w:tcW w:w="676" w:type="pct"/>
            <w:tcBorders>
              <w:top w:val="nil"/>
            </w:tcBorders>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0</w:t>
            </w:r>
          </w:p>
        </w:tc>
        <w:tc>
          <w:tcPr>
            <w:tcW w:w="1060" w:type="pct"/>
            <w:tcBorders>
              <w:top w:val="nil"/>
            </w:tcBorders>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tcBorders>
              <w:top w:val="nil"/>
            </w:tcBorders>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tcBorders>
              <w:top w:val="nil"/>
            </w:tcBorders>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Smalley</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0</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Kim</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0</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Yu</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0</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Kwon</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0</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Kulig</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0</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Bamias</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Stahl</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0</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2F2FD0" w:rsidP="006561A2">
            <w:pPr>
              <w:rPr>
                <w:rFonts w:ascii="Times New Roman" w:hAnsi="Times New Roman" w:cs="Times New Roman"/>
                <w:sz w:val="20"/>
                <w:szCs w:val="20"/>
              </w:rPr>
            </w:pPr>
            <w:r>
              <w:rPr>
                <w:rFonts w:ascii="Times New Roman" w:hAnsi="Times New Roman" w:cs="Times New Roman" w:hint="eastAsia"/>
                <w:sz w:val="20"/>
                <w:szCs w:val="20"/>
              </w:rPr>
              <w:t xml:space="preserve">Di </w:t>
            </w:r>
            <w:r w:rsidR="006561A2" w:rsidRPr="006561A2">
              <w:rPr>
                <w:rFonts w:ascii="Times New Roman" w:hAnsi="Times New Roman" w:cs="Times New Roman"/>
                <w:sz w:val="20"/>
                <w:szCs w:val="20"/>
              </w:rPr>
              <w:t>Costanzo</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0</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Sakuramoto</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0</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De Vita</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0</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Nitti</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0</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Bouche</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0</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Popiela</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0</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Nashimoto</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0</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Skoropad</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0</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Bajetta</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0</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Nakajima</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0</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Cirera</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0</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Tsavaris</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0</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Neri</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0</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Macdonald</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0</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Lise</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0</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Hallissey</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0</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Grau</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0</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Krook</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0</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Coombes</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0</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Jakesz</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0</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Bonfanti</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0</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Engstrom</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Mertel</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Nakajima</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0</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Schlag</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0</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r w:rsidR="006561A2" w:rsidRPr="006561A2" w:rsidTr="006561A2">
        <w:trPr>
          <w:trHeight w:val="321"/>
        </w:trPr>
        <w:tc>
          <w:tcPr>
            <w:tcW w:w="872"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Douglass</w:t>
            </w:r>
          </w:p>
        </w:tc>
        <w:tc>
          <w:tcPr>
            <w:tcW w:w="676"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06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2</w:t>
            </w:r>
          </w:p>
        </w:tc>
        <w:tc>
          <w:tcPr>
            <w:tcW w:w="1490"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1</w:t>
            </w:r>
          </w:p>
        </w:tc>
        <w:tc>
          <w:tcPr>
            <w:tcW w:w="901" w:type="pct"/>
            <w:noWrap/>
            <w:hideMark/>
          </w:tcPr>
          <w:p w:rsidR="006561A2" w:rsidRPr="006561A2" w:rsidRDefault="006561A2" w:rsidP="006561A2">
            <w:pPr>
              <w:rPr>
                <w:rFonts w:ascii="Times New Roman" w:hAnsi="Times New Roman" w:cs="Times New Roman"/>
                <w:sz w:val="20"/>
                <w:szCs w:val="20"/>
              </w:rPr>
            </w:pPr>
            <w:r w:rsidRPr="006561A2">
              <w:rPr>
                <w:rFonts w:ascii="Times New Roman" w:hAnsi="Times New Roman" w:cs="Times New Roman"/>
                <w:sz w:val="20"/>
                <w:szCs w:val="20"/>
              </w:rPr>
              <w:t>√</w:t>
            </w:r>
          </w:p>
        </w:tc>
      </w:tr>
    </w:tbl>
    <w:p w:rsidR="00B0725E" w:rsidRPr="006561A2" w:rsidRDefault="00B0725E" w:rsidP="00B0725E">
      <w:pPr>
        <w:rPr>
          <w:rFonts w:ascii="Times New Roman" w:hAnsi="Times New Roman" w:cs="Times New Roman"/>
          <w:sz w:val="20"/>
          <w:szCs w:val="20"/>
        </w:rPr>
      </w:pPr>
      <w:r w:rsidRPr="006561A2">
        <w:rPr>
          <w:rFonts w:ascii="Times New Roman" w:hAnsi="Times New Roman" w:cs="Times New Roman"/>
          <w:sz w:val="20"/>
          <w:szCs w:val="20"/>
        </w:rPr>
        <w:t>* When total score≥3, the relative RCT will be considered as of high quality.</w:t>
      </w:r>
    </w:p>
    <w:p w:rsidR="00B0725E" w:rsidRPr="006561A2" w:rsidRDefault="00B0725E" w:rsidP="00B0725E">
      <w:pPr>
        <w:rPr>
          <w:rFonts w:ascii="Times New Roman" w:hAnsi="Times New Roman" w:cs="Times New Roman"/>
          <w:sz w:val="20"/>
          <w:szCs w:val="20"/>
        </w:rPr>
      </w:pPr>
      <w:r w:rsidRPr="006561A2">
        <w:rPr>
          <w:rFonts w:ascii="Times New Roman" w:hAnsi="Times New Roman" w:cs="Times New Roman"/>
          <w:sz w:val="20"/>
          <w:szCs w:val="20"/>
        </w:rPr>
        <w:t>The questions were as follows: 1. Was the study described as randomized? 2. Was the study described as double blind? 3. Was there a description of withdrawals and dropouts? To receive the corresponding point, an article should describe the number of withdrawals and dropouts, in each of the study groups, and the underlying reasons. Additional points were given if: 1. The method of randomization was described in the paper, and that method was appropriate. (1 extra point in randomization part); 2. The method of blinding was described, and it was appropriate. (1 extra point in blinding part)</w:t>
      </w:r>
    </w:p>
    <w:sectPr w:rsidR="00B0725E" w:rsidRPr="006561A2" w:rsidSect="003F512F">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693" w:rsidRDefault="00AA1693" w:rsidP="002F2FD0">
      <w:r>
        <w:separator/>
      </w:r>
    </w:p>
  </w:endnote>
  <w:endnote w:type="continuationSeparator" w:id="0">
    <w:p w:rsidR="00AA1693" w:rsidRDefault="00AA1693" w:rsidP="002F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693" w:rsidRDefault="00AA1693" w:rsidP="002F2FD0">
      <w:r>
        <w:separator/>
      </w:r>
    </w:p>
  </w:footnote>
  <w:footnote w:type="continuationSeparator" w:id="0">
    <w:p w:rsidR="00AA1693" w:rsidRDefault="00AA1693" w:rsidP="002F2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25E"/>
    <w:rsid w:val="00014A5E"/>
    <w:rsid w:val="002F2FD0"/>
    <w:rsid w:val="003F512F"/>
    <w:rsid w:val="004728C5"/>
    <w:rsid w:val="00643200"/>
    <w:rsid w:val="006561A2"/>
    <w:rsid w:val="00A04137"/>
    <w:rsid w:val="00AA1693"/>
    <w:rsid w:val="00B0725E"/>
    <w:rsid w:val="00EA4B0C"/>
    <w:rsid w:val="00FA146B"/>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ABA70-6BC8-49C3-BFC9-4A56EB55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7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725E"/>
    <w:rPr>
      <w:sz w:val="18"/>
      <w:szCs w:val="18"/>
    </w:rPr>
  </w:style>
  <w:style w:type="character" w:customStyle="1" w:styleId="BalloonTextChar">
    <w:name w:val="Balloon Text Char"/>
    <w:basedOn w:val="DefaultParagraphFont"/>
    <w:link w:val="BalloonText"/>
    <w:uiPriority w:val="99"/>
    <w:semiHidden/>
    <w:rsid w:val="00B0725E"/>
    <w:rPr>
      <w:sz w:val="18"/>
      <w:szCs w:val="18"/>
    </w:rPr>
  </w:style>
  <w:style w:type="paragraph" w:styleId="Header">
    <w:name w:val="header"/>
    <w:basedOn w:val="Normal"/>
    <w:link w:val="HeaderChar"/>
    <w:uiPriority w:val="99"/>
    <w:unhideWhenUsed/>
    <w:rsid w:val="002F2F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F2FD0"/>
    <w:rPr>
      <w:sz w:val="18"/>
      <w:szCs w:val="18"/>
    </w:rPr>
  </w:style>
  <w:style w:type="paragraph" w:styleId="Footer">
    <w:name w:val="footer"/>
    <w:basedOn w:val="Normal"/>
    <w:link w:val="FooterChar"/>
    <w:uiPriority w:val="99"/>
    <w:unhideWhenUsed/>
    <w:rsid w:val="002F2FD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F2F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41013">
      <w:bodyDiv w:val="1"/>
      <w:marLeft w:val="0"/>
      <w:marRight w:val="0"/>
      <w:marTop w:val="0"/>
      <w:marBottom w:val="0"/>
      <w:divBdr>
        <w:top w:val="none" w:sz="0" w:space="0" w:color="auto"/>
        <w:left w:val="none" w:sz="0" w:space="0" w:color="auto"/>
        <w:bottom w:val="none" w:sz="0" w:space="0" w:color="auto"/>
        <w:right w:val="none" w:sz="0" w:space="0" w:color="auto"/>
      </w:divBdr>
    </w:div>
    <w:div w:id="176915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Bindhu Krishnan</cp:lastModifiedBy>
  <cp:revision>2</cp:revision>
  <dcterms:created xsi:type="dcterms:W3CDTF">2018-08-13T10:01:00Z</dcterms:created>
  <dcterms:modified xsi:type="dcterms:W3CDTF">2018-08-13T10:01:00Z</dcterms:modified>
</cp:coreProperties>
</file>