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CBC0" w14:textId="6714044B" w:rsidR="00E3417E" w:rsidRPr="00B732BB" w:rsidRDefault="009B06FC" w:rsidP="00E3417E">
      <w:pPr>
        <w:rPr>
          <w:rFonts w:ascii="Times New Roman" w:hAnsi="Times New Roman" w:cs="Times New Roman"/>
          <w:sz w:val="24"/>
          <w:szCs w:val="24"/>
        </w:rPr>
      </w:pPr>
      <w:r w:rsidRPr="00B732BB">
        <w:rPr>
          <w:rFonts w:ascii="Times New Roman" w:hAnsi="Times New Roman" w:cs="Times New Roman"/>
          <w:sz w:val="24"/>
          <w:szCs w:val="24"/>
        </w:rPr>
        <w:t>Table S</w:t>
      </w:r>
      <w:r w:rsidR="00CE5A29">
        <w:rPr>
          <w:rFonts w:ascii="Times New Roman" w:hAnsi="Times New Roman" w:cs="Times New Roman"/>
          <w:sz w:val="24"/>
          <w:szCs w:val="24"/>
        </w:rPr>
        <w:t>4</w:t>
      </w:r>
      <w:r w:rsidRPr="00B732BB">
        <w:rPr>
          <w:rFonts w:ascii="Times New Roman" w:hAnsi="Times New Roman" w:cs="Times New Roman"/>
          <w:sz w:val="24"/>
          <w:szCs w:val="24"/>
        </w:rPr>
        <w:t xml:space="preserve">. </w:t>
      </w:r>
      <w:r w:rsidR="00467A98" w:rsidRPr="00B732BB">
        <w:rPr>
          <w:rFonts w:ascii="Times New Roman" w:hAnsi="Times New Roman" w:cs="Times New Roman"/>
          <w:sz w:val="24"/>
          <w:szCs w:val="24"/>
        </w:rPr>
        <w:t xml:space="preserve">Mutation </w:t>
      </w:r>
      <w:r w:rsidR="00104189" w:rsidRPr="00B732BB">
        <w:rPr>
          <w:rFonts w:ascii="Times New Roman" w:hAnsi="Times New Roman" w:cs="Times New Roman"/>
          <w:sz w:val="24"/>
          <w:szCs w:val="24"/>
        </w:rPr>
        <w:t xml:space="preserve">spectra </w:t>
      </w:r>
      <w:r w:rsidR="00467A98" w:rsidRPr="00B732BB">
        <w:rPr>
          <w:rFonts w:ascii="Times New Roman" w:hAnsi="Times New Roman" w:cs="Times New Roman"/>
          <w:sz w:val="24"/>
          <w:szCs w:val="24"/>
        </w:rPr>
        <w:t>of</w:t>
      </w:r>
      <w:r w:rsidR="004E62B5" w:rsidRPr="00B732BB">
        <w:rPr>
          <w:rFonts w:ascii="Times New Roman" w:hAnsi="Times New Roman" w:cs="Times New Roman"/>
          <w:sz w:val="24"/>
          <w:szCs w:val="24"/>
        </w:rPr>
        <w:t xml:space="preserve"> the</w:t>
      </w:r>
      <w:r w:rsidR="00467A98" w:rsidRPr="00B732BB">
        <w:rPr>
          <w:rFonts w:ascii="Times New Roman" w:hAnsi="Times New Roman" w:cs="Times New Roman"/>
          <w:sz w:val="24"/>
          <w:szCs w:val="24"/>
        </w:rPr>
        <w:t xml:space="preserve"> different</w:t>
      </w:r>
      <w:r w:rsidR="004E62B5" w:rsidRPr="00B732BB">
        <w:rPr>
          <w:rFonts w:ascii="Times New Roman" w:hAnsi="Times New Roman" w:cs="Times New Roman"/>
          <w:sz w:val="24"/>
          <w:szCs w:val="24"/>
        </w:rPr>
        <w:t xml:space="preserve"> gene-sgRNA combination</w:t>
      </w:r>
      <w:r w:rsidR="00467A98" w:rsidRPr="00B732BB">
        <w:rPr>
          <w:rFonts w:ascii="Times New Roman" w:hAnsi="Times New Roman" w:cs="Times New Roman"/>
          <w:sz w:val="24"/>
          <w:szCs w:val="24"/>
        </w:rPr>
        <w:t>s</w:t>
      </w:r>
      <w:r w:rsidR="004E62B5" w:rsidRPr="00B732BB">
        <w:rPr>
          <w:rFonts w:ascii="Times New Roman" w:hAnsi="Times New Roman" w:cs="Times New Roman"/>
          <w:sz w:val="24"/>
          <w:szCs w:val="24"/>
        </w:rPr>
        <w:t xml:space="preserve"> with only one sgRNA.</w:t>
      </w:r>
      <w:r w:rsidR="00AE71F0" w:rsidRPr="00B732BB">
        <w:rPr>
          <w:rFonts w:ascii="Times New Roman" w:hAnsi="Times New Roman" w:cs="Times New Roman"/>
          <w:sz w:val="24"/>
          <w:szCs w:val="24"/>
        </w:rPr>
        <w:t xml:space="preserve">  The most prevalent mutation type for each specific group is in bold.  The “other” mutation type </w:t>
      </w:r>
      <w:r w:rsidR="00EA290A" w:rsidRPr="00B732BB">
        <w:rPr>
          <w:rFonts w:ascii="Times New Roman" w:hAnsi="Times New Roman" w:cs="Times New Roman"/>
          <w:sz w:val="24"/>
          <w:szCs w:val="24"/>
        </w:rPr>
        <w:t xml:space="preserve">refers to nine, four, ten, and eight types corresponding to </w:t>
      </w:r>
      <w:r w:rsidR="00EA290A" w:rsidRPr="00B732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LFY-</w:t>
      </w:r>
      <w:r w:rsidR="00EA290A" w:rsidRPr="00B73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sg1, </w:t>
      </w:r>
      <w:r w:rsidR="00EA290A" w:rsidRPr="00B732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LFY-</w:t>
      </w:r>
      <w:r w:rsidR="00EA290A" w:rsidRPr="00B73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sg2, </w:t>
      </w:r>
      <w:r w:rsidR="00EA290A" w:rsidRPr="00B732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AG1-</w:t>
      </w:r>
      <w:r w:rsidR="00EA290A" w:rsidRPr="00B73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sg2, </w:t>
      </w:r>
      <w:r w:rsidR="00EA290A" w:rsidRPr="00B732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AG2-</w:t>
      </w:r>
      <w:r w:rsidR="00EA290A" w:rsidRPr="00B732BB">
        <w:rPr>
          <w:rFonts w:ascii="Times New Roman" w:eastAsia="Times New Roman" w:hAnsi="Times New Roman" w:cs="Times New Roman"/>
          <w:color w:val="000000"/>
          <w:sz w:val="24"/>
          <w:szCs w:val="24"/>
        </w:rPr>
        <w:t>sg2 respectively</w:t>
      </w:r>
      <w:r w:rsidR="004107B7" w:rsidRPr="00B73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5921" w:rsidRPr="00B732BB">
        <w:rPr>
          <w:rFonts w:ascii="Times New Roman" w:hAnsi="Times New Roman" w:cs="Times New Roman"/>
          <w:sz w:val="24"/>
          <w:szCs w:val="24"/>
        </w:rPr>
        <w:t>with lower than 4.5% prevalence.</w:t>
      </w:r>
      <w:r w:rsidR="00782D64" w:rsidRPr="00B732BB">
        <w:rPr>
          <w:rFonts w:ascii="Times New Roman" w:hAnsi="Times New Roman" w:cs="Times New Roman"/>
          <w:sz w:val="24"/>
          <w:szCs w:val="24"/>
        </w:rPr>
        <w:t xml:space="preserve">  </w:t>
      </w:r>
      <w:r w:rsidR="00577F19" w:rsidRPr="00B732BB">
        <w:rPr>
          <w:rFonts w:ascii="Times New Roman" w:hAnsi="Times New Roman" w:cs="Times New Roman"/>
          <w:sz w:val="24"/>
          <w:szCs w:val="24"/>
        </w:rPr>
        <w:t xml:space="preserve">“Other” is not bolded for </w:t>
      </w:r>
      <w:r w:rsidR="00577F19" w:rsidRPr="00B732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AG1</w:t>
      </w:r>
      <w:r w:rsidR="00577F19" w:rsidRPr="00B732BB">
        <w:rPr>
          <w:rFonts w:ascii="Times New Roman" w:eastAsia="Times New Roman" w:hAnsi="Times New Roman" w:cs="Times New Roman"/>
          <w:color w:val="000000"/>
          <w:sz w:val="24"/>
          <w:szCs w:val="24"/>
        </w:rPr>
        <w:t>-sg2 because it is made up of more than one type of mutation</w:t>
      </w:r>
      <w:r w:rsidR="007D7F4A">
        <w:rPr>
          <w:rFonts w:ascii="Times New Roman" w:hAnsi="Times New Roman" w:cs="Times New Roman"/>
          <w:sz w:val="24"/>
          <w:szCs w:val="24"/>
        </w:rPr>
        <w:t>. b</w:t>
      </w:r>
      <w:bookmarkStart w:id="0" w:name="_GoBack"/>
      <w:bookmarkEnd w:id="0"/>
      <w:r w:rsidR="007D7F4A">
        <w:rPr>
          <w:rFonts w:ascii="Times New Roman" w:hAnsi="Times New Roman" w:cs="Times New Roman"/>
          <w:sz w:val="24"/>
          <w:szCs w:val="24"/>
        </w:rPr>
        <w:t xml:space="preserve">p; </w:t>
      </w:r>
      <w:r w:rsidR="00512B96" w:rsidRPr="00B732BB">
        <w:rPr>
          <w:rFonts w:ascii="Times New Roman" w:hAnsi="Times New Roman" w:cs="Times New Roman"/>
          <w:sz w:val="24"/>
          <w:szCs w:val="24"/>
        </w:rPr>
        <w:t>base pairs</w:t>
      </w: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1088"/>
        <w:gridCol w:w="1367"/>
        <w:gridCol w:w="1307"/>
        <w:gridCol w:w="1307"/>
        <w:gridCol w:w="1307"/>
        <w:gridCol w:w="1307"/>
        <w:gridCol w:w="1306"/>
        <w:gridCol w:w="763"/>
      </w:tblGrid>
      <w:tr w:rsidR="00904E31" w:rsidRPr="00B732BB" w14:paraId="26F98AA7" w14:textId="77777777" w:rsidTr="000E1CAB">
        <w:trPr>
          <w:trHeight w:val="300"/>
        </w:trPr>
        <w:tc>
          <w:tcPr>
            <w:tcW w:w="1088" w:type="dxa"/>
            <w:noWrap/>
            <w:hideMark/>
          </w:tcPr>
          <w:p w14:paraId="5AE74483" w14:textId="77777777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noWrap/>
            <w:hideMark/>
          </w:tcPr>
          <w:p w14:paraId="753C4588" w14:textId="73D5BF66" w:rsidR="00904E31" w:rsidRPr="00B732BB" w:rsidRDefault="00904E31" w:rsidP="00904E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insertion</w:t>
            </w:r>
          </w:p>
        </w:tc>
        <w:tc>
          <w:tcPr>
            <w:tcW w:w="1307" w:type="dxa"/>
            <w:noWrap/>
            <w:hideMark/>
          </w:tcPr>
          <w:p w14:paraId="24445A7C" w14:textId="4C606836" w:rsidR="00904E31" w:rsidRPr="00B732BB" w:rsidRDefault="00904E31" w:rsidP="00904E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307" w:type="dxa"/>
            <w:noWrap/>
            <w:hideMark/>
          </w:tcPr>
          <w:p w14:paraId="6D50060F" w14:textId="563164C4" w:rsidR="00904E31" w:rsidRPr="00B732BB" w:rsidRDefault="00904E31" w:rsidP="00904E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307" w:type="dxa"/>
            <w:noWrap/>
            <w:hideMark/>
          </w:tcPr>
          <w:p w14:paraId="32056470" w14:textId="36390905" w:rsidR="00904E31" w:rsidRPr="00B732BB" w:rsidRDefault="00904E31" w:rsidP="00904E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307" w:type="dxa"/>
            <w:noWrap/>
            <w:hideMark/>
          </w:tcPr>
          <w:p w14:paraId="13EAE140" w14:textId="4252F3DB" w:rsidR="00904E31" w:rsidRPr="00B732BB" w:rsidRDefault="00904E31" w:rsidP="00904E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306" w:type="dxa"/>
            <w:noWrap/>
            <w:hideMark/>
          </w:tcPr>
          <w:p w14:paraId="34D00F72" w14:textId="77777777" w:rsidR="00904E31" w:rsidRPr="00B732BB" w:rsidRDefault="00904E31" w:rsidP="00904E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693" w:type="dxa"/>
            <w:noWrap/>
            <w:hideMark/>
          </w:tcPr>
          <w:p w14:paraId="2CED4EEC" w14:textId="77777777" w:rsidR="00904E31" w:rsidRPr="00B732BB" w:rsidRDefault="00904E31" w:rsidP="00904E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904E31" w:rsidRPr="00B732BB" w14:paraId="6A1C96E9" w14:textId="77777777" w:rsidTr="000E1CAB">
        <w:trPr>
          <w:trHeight w:val="300"/>
        </w:trPr>
        <w:tc>
          <w:tcPr>
            <w:tcW w:w="1088" w:type="dxa"/>
            <w:noWrap/>
            <w:hideMark/>
          </w:tcPr>
          <w:p w14:paraId="4E48F71E" w14:textId="77777777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LFY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-sg1</w:t>
            </w:r>
          </w:p>
        </w:tc>
        <w:tc>
          <w:tcPr>
            <w:tcW w:w="1367" w:type="dxa"/>
            <w:noWrap/>
            <w:hideMark/>
          </w:tcPr>
          <w:p w14:paraId="085D15BE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58 </w:t>
            </w:r>
          </w:p>
          <w:p w14:paraId="603D1A8E" w14:textId="4DF9EF45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(33.9%)</w:t>
            </w:r>
          </w:p>
        </w:tc>
        <w:tc>
          <w:tcPr>
            <w:tcW w:w="1307" w:type="dxa"/>
            <w:noWrap/>
            <w:hideMark/>
          </w:tcPr>
          <w:p w14:paraId="136CABBE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 </w:t>
            </w:r>
          </w:p>
          <w:p w14:paraId="23309F91" w14:textId="4A394DDB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(31.6%)</w:t>
            </w:r>
          </w:p>
        </w:tc>
        <w:tc>
          <w:tcPr>
            <w:tcW w:w="1307" w:type="dxa"/>
            <w:noWrap/>
            <w:hideMark/>
          </w:tcPr>
          <w:p w14:paraId="52AD827F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  <w:p w14:paraId="1B663952" w14:textId="4D4E5F5E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(13.5%)</w:t>
            </w:r>
          </w:p>
        </w:tc>
        <w:tc>
          <w:tcPr>
            <w:tcW w:w="1307" w:type="dxa"/>
            <w:noWrap/>
            <w:hideMark/>
          </w:tcPr>
          <w:p w14:paraId="718A48F8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  <w:p w14:paraId="3BB1C8BE" w14:textId="7FC98899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(9.9%)</w:t>
            </w:r>
          </w:p>
        </w:tc>
        <w:tc>
          <w:tcPr>
            <w:tcW w:w="1307" w:type="dxa"/>
            <w:noWrap/>
            <w:hideMark/>
          </w:tcPr>
          <w:p w14:paraId="7EB25E6D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2E6F0594" w14:textId="57E4C6FB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(2.3%)</w:t>
            </w:r>
          </w:p>
        </w:tc>
        <w:tc>
          <w:tcPr>
            <w:tcW w:w="1306" w:type="dxa"/>
            <w:noWrap/>
            <w:hideMark/>
          </w:tcPr>
          <w:p w14:paraId="1EF43E70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14:paraId="7435CF76" w14:textId="67BED4BD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(8.8%)</w:t>
            </w:r>
          </w:p>
        </w:tc>
        <w:tc>
          <w:tcPr>
            <w:tcW w:w="693" w:type="dxa"/>
            <w:noWrap/>
            <w:hideMark/>
          </w:tcPr>
          <w:p w14:paraId="4F64D3C2" w14:textId="77777777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904E31" w:rsidRPr="00B732BB" w14:paraId="08FBB20D" w14:textId="77777777" w:rsidTr="000E1CAB">
        <w:trPr>
          <w:trHeight w:val="300"/>
        </w:trPr>
        <w:tc>
          <w:tcPr>
            <w:tcW w:w="1088" w:type="dxa"/>
            <w:noWrap/>
            <w:hideMark/>
          </w:tcPr>
          <w:p w14:paraId="65D655E3" w14:textId="77777777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LFY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-sg2</w:t>
            </w:r>
          </w:p>
        </w:tc>
        <w:tc>
          <w:tcPr>
            <w:tcW w:w="1367" w:type="dxa"/>
            <w:noWrap/>
            <w:hideMark/>
          </w:tcPr>
          <w:p w14:paraId="3EB3251B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  <w:p w14:paraId="6AA9DF39" w14:textId="657E709D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(24.0%)</w:t>
            </w:r>
          </w:p>
        </w:tc>
        <w:tc>
          <w:tcPr>
            <w:tcW w:w="1307" w:type="dxa"/>
            <w:noWrap/>
            <w:hideMark/>
          </w:tcPr>
          <w:p w14:paraId="7FD3089D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  <w:p w14:paraId="11E56DEB" w14:textId="446F606D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(21.3%)</w:t>
            </w:r>
          </w:p>
        </w:tc>
        <w:tc>
          <w:tcPr>
            <w:tcW w:w="1307" w:type="dxa"/>
            <w:noWrap/>
            <w:hideMark/>
          </w:tcPr>
          <w:p w14:paraId="29B68C8A" w14:textId="77777777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 (44.0%)</w:t>
            </w:r>
          </w:p>
        </w:tc>
        <w:tc>
          <w:tcPr>
            <w:tcW w:w="1307" w:type="dxa"/>
            <w:noWrap/>
            <w:hideMark/>
          </w:tcPr>
          <w:p w14:paraId="460A5296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5B3A5E80" w14:textId="609B6F51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(1.3%)</w:t>
            </w:r>
          </w:p>
        </w:tc>
        <w:tc>
          <w:tcPr>
            <w:tcW w:w="1307" w:type="dxa"/>
            <w:noWrap/>
            <w:hideMark/>
          </w:tcPr>
          <w:p w14:paraId="361E53BC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69484291" w14:textId="75BB865B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(4.0%)</w:t>
            </w:r>
          </w:p>
        </w:tc>
        <w:tc>
          <w:tcPr>
            <w:tcW w:w="1306" w:type="dxa"/>
            <w:noWrap/>
            <w:hideMark/>
          </w:tcPr>
          <w:p w14:paraId="497F86CE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142EAE5D" w14:textId="2944A520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(5.3%)</w:t>
            </w:r>
          </w:p>
        </w:tc>
        <w:tc>
          <w:tcPr>
            <w:tcW w:w="693" w:type="dxa"/>
            <w:noWrap/>
            <w:hideMark/>
          </w:tcPr>
          <w:p w14:paraId="5DE3D8A9" w14:textId="77777777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04E31" w:rsidRPr="00B732BB" w14:paraId="517F3844" w14:textId="77777777" w:rsidTr="000E1CAB">
        <w:trPr>
          <w:trHeight w:val="300"/>
        </w:trPr>
        <w:tc>
          <w:tcPr>
            <w:tcW w:w="1088" w:type="dxa"/>
            <w:noWrap/>
            <w:hideMark/>
          </w:tcPr>
          <w:p w14:paraId="3AEA4A5B" w14:textId="6E11109E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AG1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-sg2</w:t>
            </w:r>
          </w:p>
        </w:tc>
        <w:tc>
          <w:tcPr>
            <w:tcW w:w="1367" w:type="dxa"/>
            <w:noWrap/>
            <w:hideMark/>
          </w:tcPr>
          <w:p w14:paraId="644FFA51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49335049" w14:textId="24CCEA94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(16.1%)</w:t>
            </w:r>
          </w:p>
        </w:tc>
        <w:tc>
          <w:tcPr>
            <w:tcW w:w="1307" w:type="dxa"/>
            <w:noWrap/>
            <w:hideMark/>
          </w:tcPr>
          <w:p w14:paraId="509BE872" w14:textId="77777777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 (20.5%)</w:t>
            </w:r>
          </w:p>
        </w:tc>
        <w:tc>
          <w:tcPr>
            <w:tcW w:w="1307" w:type="dxa"/>
            <w:noWrap/>
            <w:hideMark/>
          </w:tcPr>
          <w:p w14:paraId="321B3C96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  <w:p w14:paraId="083134C9" w14:textId="612A62C0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(12.5%)</w:t>
            </w:r>
          </w:p>
        </w:tc>
        <w:tc>
          <w:tcPr>
            <w:tcW w:w="1307" w:type="dxa"/>
            <w:noWrap/>
            <w:hideMark/>
          </w:tcPr>
          <w:p w14:paraId="3A59F764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  <w:p w14:paraId="62C2AE8D" w14:textId="089795C9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(9.8%)</w:t>
            </w:r>
          </w:p>
        </w:tc>
        <w:tc>
          <w:tcPr>
            <w:tcW w:w="1307" w:type="dxa"/>
            <w:noWrap/>
            <w:hideMark/>
          </w:tcPr>
          <w:p w14:paraId="328AF842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  <w:p w14:paraId="61AF4584" w14:textId="68196D82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(18.8%)</w:t>
            </w:r>
          </w:p>
        </w:tc>
        <w:tc>
          <w:tcPr>
            <w:tcW w:w="1306" w:type="dxa"/>
            <w:noWrap/>
            <w:hideMark/>
          </w:tcPr>
          <w:p w14:paraId="20AB0783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  <w:p w14:paraId="1C0AC12E" w14:textId="642CAB0D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(22.3%)</w:t>
            </w:r>
          </w:p>
        </w:tc>
        <w:tc>
          <w:tcPr>
            <w:tcW w:w="693" w:type="dxa"/>
            <w:noWrap/>
            <w:hideMark/>
          </w:tcPr>
          <w:p w14:paraId="63A1CE96" w14:textId="77777777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904E31" w:rsidRPr="00B732BB" w14:paraId="0672089C" w14:textId="77777777" w:rsidTr="000E1CAB">
        <w:trPr>
          <w:trHeight w:val="300"/>
        </w:trPr>
        <w:tc>
          <w:tcPr>
            <w:tcW w:w="1088" w:type="dxa"/>
            <w:noWrap/>
            <w:hideMark/>
          </w:tcPr>
          <w:p w14:paraId="189E7880" w14:textId="34118971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AG2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-sg2</w:t>
            </w:r>
          </w:p>
        </w:tc>
        <w:tc>
          <w:tcPr>
            <w:tcW w:w="1367" w:type="dxa"/>
            <w:noWrap/>
            <w:hideMark/>
          </w:tcPr>
          <w:p w14:paraId="6FE150EA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  <w:p w14:paraId="12817A47" w14:textId="53AEB1A1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(18.1%)</w:t>
            </w:r>
          </w:p>
        </w:tc>
        <w:tc>
          <w:tcPr>
            <w:tcW w:w="1307" w:type="dxa"/>
            <w:noWrap/>
            <w:hideMark/>
          </w:tcPr>
          <w:p w14:paraId="0C3CBCFA" w14:textId="77777777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 (35.3%)</w:t>
            </w:r>
          </w:p>
        </w:tc>
        <w:tc>
          <w:tcPr>
            <w:tcW w:w="1307" w:type="dxa"/>
            <w:noWrap/>
            <w:hideMark/>
          </w:tcPr>
          <w:p w14:paraId="43A2D85E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  <w:p w14:paraId="112A8BBB" w14:textId="308D9BE8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(6.9%)</w:t>
            </w:r>
          </w:p>
        </w:tc>
        <w:tc>
          <w:tcPr>
            <w:tcW w:w="1307" w:type="dxa"/>
            <w:noWrap/>
            <w:hideMark/>
          </w:tcPr>
          <w:p w14:paraId="25AFF119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283F2E4C" w14:textId="2E8B00F1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(8.6%)</w:t>
            </w:r>
          </w:p>
        </w:tc>
        <w:tc>
          <w:tcPr>
            <w:tcW w:w="1307" w:type="dxa"/>
            <w:noWrap/>
            <w:hideMark/>
          </w:tcPr>
          <w:p w14:paraId="0E3C8CEA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  <w:p w14:paraId="1ADFD747" w14:textId="5C5D9C28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(14.7%)</w:t>
            </w:r>
          </w:p>
        </w:tc>
        <w:tc>
          <w:tcPr>
            <w:tcW w:w="1306" w:type="dxa"/>
            <w:noWrap/>
            <w:hideMark/>
          </w:tcPr>
          <w:p w14:paraId="4FD62806" w14:textId="77777777" w:rsidR="005716D5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  <w:p w14:paraId="18528514" w14:textId="2AAD27A1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(16.4%)</w:t>
            </w:r>
          </w:p>
        </w:tc>
        <w:tc>
          <w:tcPr>
            <w:tcW w:w="693" w:type="dxa"/>
            <w:noWrap/>
            <w:hideMark/>
          </w:tcPr>
          <w:p w14:paraId="30C81247" w14:textId="77777777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904E31" w:rsidRPr="00B732BB" w14:paraId="79F3A0F4" w14:textId="77777777" w:rsidTr="000E1CAB">
        <w:trPr>
          <w:trHeight w:val="300"/>
        </w:trPr>
        <w:tc>
          <w:tcPr>
            <w:tcW w:w="1088" w:type="dxa"/>
            <w:noWrap/>
          </w:tcPr>
          <w:p w14:paraId="5FC101D7" w14:textId="77777777" w:rsidR="00904E31" w:rsidRPr="00B732BB" w:rsidRDefault="00904E31" w:rsidP="00904E3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67" w:type="dxa"/>
            <w:noWrap/>
          </w:tcPr>
          <w:p w14:paraId="0A7085A7" w14:textId="77777777" w:rsidR="00904E31" w:rsidRPr="00B732BB" w:rsidRDefault="00904E31" w:rsidP="00904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115 (24.3%)</w:t>
            </w:r>
          </w:p>
        </w:tc>
        <w:tc>
          <w:tcPr>
            <w:tcW w:w="1307" w:type="dxa"/>
            <w:noWrap/>
          </w:tcPr>
          <w:p w14:paraId="19C40467" w14:textId="77777777" w:rsidR="00904E31" w:rsidRPr="00B732BB" w:rsidRDefault="00904E31" w:rsidP="00904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134 (28.3%)</w:t>
            </w:r>
          </w:p>
        </w:tc>
        <w:tc>
          <w:tcPr>
            <w:tcW w:w="1307" w:type="dxa"/>
            <w:noWrap/>
          </w:tcPr>
          <w:p w14:paraId="5B67AB7D" w14:textId="77777777" w:rsidR="005716D5" w:rsidRPr="00B732BB" w:rsidRDefault="00904E31" w:rsidP="00904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  <w:p w14:paraId="0FE9A7C1" w14:textId="2D02B1B1" w:rsidR="00904E31" w:rsidRPr="00B732BB" w:rsidRDefault="00904E31" w:rsidP="00904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(16.5%)</w:t>
            </w:r>
          </w:p>
        </w:tc>
        <w:tc>
          <w:tcPr>
            <w:tcW w:w="1307" w:type="dxa"/>
            <w:noWrap/>
          </w:tcPr>
          <w:p w14:paraId="099B2466" w14:textId="77777777" w:rsidR="005716D5" w:rsidRPr="00B732BB" w:rsidRDefault="00904E31" w:rsidP="00904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  <w:p w14:paraId="11D563C5" w14:textId="09973A10" w:rsidR="00904E31" w:rsidRPr="00B732BB" w:rsidRDefault="00904E31" w:rsidP="00904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(8.2%)</w:t>
            </w:r>
          </w:p>
        </w:tc>
        <w:tc>
          <w:tcPr>
            <w:tcW w:w="1307" w:type="dxa"/>
            <w:noWrap/>
          </w:tcPr>
          <w:p w14:paraId="5F956A58" w14:textId="77777777" w:rsidR="005716D5" w:rsidRPr="00B732BB" w:rsidRDefault="00904E31" w:rsidP="00904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42612913" w14:textId="45B22DD7" w:rsidR="00904E31" w:rsidRPr="00B732BB" w:rsidRDefault="00904E31" w:rsidP="00904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(9.5%)</w:t>
            </w:r>
          </w:p>
        </w:tc>
        <w:tc>
          <w:tcPr>
            <w:tcW w:w="1306" w:type="dxa"/>
            <w:noWrap/>
          </w:tcPr>
          <w:p w14:paraId="6522373E" w14:textId="77777777" w:rsidR="005716D5" w:rsidRPr="00B732BB" w:rsidRDefault="00904E31" w:rsidP="00904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  <w:p w14:paraId="247193B2" w14:textId="7D313DF1" w:rsidR="00904E31" w:rsidRPr="00B732BB" w:rsidRDefault="00904E31" w:rsidP="00904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(13.3%)</w:t>
            </w:r>
          </w:p>
        </w:tc>
        <w:tc>
          <w:tcPr>
            <w:tcW w:w="693" w:type="dxa"/>
            <w:noWrap/>
          </w:tcPr>
          <w:p w14:paraId="343BECAE" w14:textId="77777777" w:rsidR="00904E31" w:rsidRPr="00B732BB" w:rsidRDefault="00904E31" w:rsidP="00904E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</w:tbl>
    <w:p w14:paraId="1272B75D" w14:textId="77777777" w:rsidR="009F2459" w:rsidRPr="00B732BB" w:rsidRDefault="009F2459" w:rsidP="00E3417E">
      <w:pPr>
        <w:rPr>
          <w:rFonts w:ascii="Times New Roman" w:hAnsi="Times New Roman" w:cs="Times New Roman"/>
          <w:sz w:val="24"/>
          <w:szCs w:val="24"/>
        </w:rPr>
      </w:pPr>
    </w:p>
    <w:p w14:paraId="55F1350A" w14:textId="67786DC6" w:rsidR="00276F32" w:rsidRPr="00B732BB" w:rsidRDefault="00276F32">
      <w:pPr>
        <w:rPr>
          <w:rFonts w:ascii="Times New Roman" w:hAnsi="Times New Roman" w:cs="Times New Roman"/>
          <w:sz w:val="24"/>
          <w:szCs w:val="24"/>
        </w:rPr>
      </w:pPr>
    </w:p>
    <w:sectPr w:rsidR="00276F32" w:rsidRPr="00B732BB" w:rsidSect="00095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20F8" w14:textId="77777777" w:rsidR="00F917C1" w:rsidRDefault="00F917C1" w:rsidP="00F40289">
      <w:pPr>
        <w:spacing w:after="0" w:line="240" w:lineRule="auto"/>
      </w:pPr>
      <w:r>
        <w:separator/>
      </w:r>
    </w:p>
  </w:endnote>
  <w:endnote w:type="continuationSeparator" w:id="0">
    <w:p w14:paraId="0A68D255" w14:textId="77777777" w:rsidR="00F917C1" w:rsidRDefault="00F917C1" w:rsidP="00F4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23ED" w14:textId="77777777" w:rsidR="00F917C1" w:rsidRDefault="00F917C1" w:rsidP="00F40289">
      <w:pPr>
        <w:spacing w:after="0" w:line="240" w:lineRule="auto"/>
      </w:pPr>
      <w:r>
        <w:separator/>
      </w:r>
    </w:p>
  </w:footnote>
  <w:footnote w:type="continuationSeparator" w:id="0">
    <w:p w14:paraId="5E0DB7CB" w14:textId="77777777" w:rsidR="00F917C1" w:rsidRDefault="00F917C1" w:rsidP="00F4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0E2A"/>
    <w:multiLevelType w:val="hybridMultilevel"/>
    <w:tmpl w:val="B81808E4"/>
    <w:lvl w:ilvl="0" w:tplc="D45A0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A6652"/>
    <w:multiLevelType w:val="hybridMultilevel"/>
    <w:tmpl w:val="2EC8F2D2"/>
    <w:lvl w:ilvl="0" w:tplc="9DB4AE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262EA"/>
    <w:multiLevelType w:val="hybridMultilevel"/>
    <w:tmpl w:val="2AE2A6DE"/>
    <w:lvl w:ilvl="0" w:tplc="F3824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0D81"/>
    <w:multiLevelType w:val="hybridMultilevel"/>
    <w:tmpl w:val="B66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6E"/>
    <w:rsid w:val="000014F7"/>
    <w:rsid w:val="0000680D"/>
    <w:rsid w:val="00020327"/>
    <w:rsid w:val="00022B9C"/>
    <w:rsid w:val="00033E99"/>
    <w:rsid w:val="000370E3"/>
    <w:rsid w:val="0004070D"/>
    <w:rsid w:val="00041097"/>
    <w:rsid w:val="00045D98"/>
    <w:rsid w:val="00055317"/>
    <w:rsid w:val="00067EF6"/>
    <w:rsid w:val="00077317"/>
    <w:rsid w:val="0008266F"/>
    <w:rsid w:val="000827DC"/>
    <w:rsid w:val="000950AD"/>
    <w:rsid w:val="000A2AF5"/>
    <w:rsid w:val="000B3220"/>
    <w:rsid w:val="000C50C4"/>
    <w:rsid w:val="000D4ECD"/>
    <w:rsid w:val="000E1CAB"/>
    <w:rsid w:val="000F51DD"/>
    <w:rsid w:val="00104189"/>
    <w:rsid w:val="00106911"/>
    <w:rsid w:val="00117FF5"/>
    <w:rsid w:val="001213F2"/>
    <w:rsid w:val="00127588"/>
    <w:rsid w:val="00130368"/>
    <w:rsid w:val="0013199C"/>
    <w:rsid w:val="00134546"/>
    <w:rsid w:val="0013607E"/>
    <w:rsid w:val="0014349F"/>
    <w:rsid w:val="00146CC5"/>
    <w:rsid w:val="001510D1"/>
    <w:rsid w:val="001543EE"/>
    <w:rsid w:val="001557F8"/>
    <w:rsid w:val="00155C70"/>
    <w:rsid w:val="00167B75"/>
    <w:rsid w:val="0017029D"/>
    <w:rsid w:val="00186234"/>
    <w:rsid w:val="001A2A6A"/>
    <w:rsid w:val="001B2A9B"/>
    <w:rsid w:val="001B388B"/>
    <w:rsid w:val="001C1A4C"/>
    <w:rsid w:val="001C265E"/>
    <w:rsid w:val="001D12A4"/>
    <w:rsid w:val="001D1556"/>
    <w:rsid w:val="001D27E0"/>
    <w:rsid w:val="001D5921"/>
    <w:rsid w:val="001F6107"/>
    <w:rsid w:val="002009C3"/>
    <w:rsid w:val="0021372A"/>
    <w:rsid w:val="00222BB6"/>
    <w:rsid w:val="002233A4"/>
    <w:rsid w:val="0022437B"/>
    <w:rsid w:val="002243D8"/>
    <w:rsid w:val="00232B3A"/>
    <w:rsid w:val="00235A1B"/>
    <w:rsid w:val="00237EA8"/>
    <w:rsid w:val="002448D3"/>
    <w:rsid w:val="0024746A"/>
    <w:rsid w:val="002504D1"/>
    <w:rsid w:val="00253420"/>
    <w:rsid w:val="00257140"/>
    <w:rsid w:val="00260B1C"/>
    <w:rsid w:val="002657A8"/>
    <w:rsid w:val="00276F32"/>
    <w:rsid w:val="002934B3"/>
    <w:rsid w:val="002A1DB0"/>
    <w:rsid w:val="002A3BD5"/>
    <w:rsid w:val="002A5BAC"/>
    <w:rsid w:val="002B23BE"/>
    <w:rsid w:val="002B2939"/>
    <w:rsid w:val="002B5B9B"/>
    <w:rsid w:val="002C129D"/>
    <w:rsid w:val="002C275D"/>
    <w:rsid w:val="002C2766"/>
    <w:rsid w:val="002C466C"/>
    <w:rsid w:val="002C6035"/>
    <w:rsid w:val="002C7B86"/>
    <w:rsid w:val="002E04C6"/>
    <w:rsid w:val="002E0966"/>
    <w:rsid w:val="00310785"/>
    <w:rsid w:val="003107CC"/>
    <w:rsid w:val="003142C8"/>
    <w:rsid w:val="00346F34"/>
    <w:rsid w:val="00347DEC"/>
    <w:rsid w:val="00356970"/>
    <w:rsid w:val="003638EF"/>
    <w:rsid w:val="00370778"/>
    <w:rsid w:val="00370DC6"/>
    <w:rsid w:val="00371B7B"/>
    <w:rsid w:val="003907DD"/>
    <w:rsid w:val="0039781A"/>
    <w:rsid w:val="003A0965"/>
    <w:rsid w:val="003A0DFF"/>
    <w:rsid w:val="003A5B07"/>
    <w:rsid w:val="003B1BC7"/>
    <w:rsid w:val="003B37BB"/>
    <w:rsid w:val="003C0859"/>
    <w:rsid w:val="003D44A5"/>
    <w:rsid w:val="003E075F"/>
    <w:rsid w:val="003E2A92"/>
    <w:rsid w:val="003F4876"/>
    <w:rsid w:val="00400DF6"/>
    <w:rsid w:val="00400F9C"/>
    <w:rsid w:val="004107B7"/>
    <w:rsid w:val="00414D15"/>
    <w:rsid w:val="00414D66"/>
    <w:rsid w:val="0046172D"/>
    <w:rsid w:val="004657C8"/>
    <w:rsid w:val="00467A98"/>
    <w:rsid w:val="0047145C"/>
    <w:rsid w:val="00491600"/>
    <w:rsid w:val="004A1C0E"/>
    <w:rsid w:val="004A3083"/>
    <w:rsid w:val="004A54DC"/>
    <w:rsid w:val="004B1909"/>
    <w:rsid w:val="004B6289"/>
    <w:rsid w:val="004B764F"/>
    <w:rsid w:val="004C39AA"/>
    <w:rsid w:val="004D2CD8"/>
    <w:rsid w:val="004E227F"/>
    <w:rsid w:val="004E62B5"/>
    <w:rsid w:val="004F7DC9"/>
    <w:rsid w:val="00512B96"/>
    <w:rsid w:val="005133F1"/>
    <w:rsid w:val="005135BA"/>
    <w:rsid w:val="005136E0"/>
    <w:rsid w:val="00516CAA"/>
    <w:rsid w:val="00517B19"/>
    <w:rsid w:val="0052341B"/>
    <w:rsid w:val="00524A6F"/>
    <w:rsid w:val="00533464"/>
    <w:rsid w:val="00543A5B"/>
    <w:rsid w:val="00556F2B"/>
    <w:rsid w:val="00567AC1"/>
    <w:rsid w:val="005716D5"/>
    <w:rsid w:val="00577F19"/>
    <w:rsid w:val="005B2914"/>
    <w:rsid w:val="005B4408"/>
    <w:rsid w:val="005B7E02"/>
    <w:rsid w:val="005D43E5"/>
    <w:rsid w:val="005F3A24"/>
    <w:rsid w:val="005F55CD"/>
    <w:rsid w:val="006015F1"/>
    <w:rsid w:val="0061152D"/>
    <w:rsid w:val="0061300E"/>
    <w:rsid w:val="00616329"/>
    <w:rsid w:val="00630946"/>
    <w:rsid w:val="006405DE"/>
    <w:rsid w:val="00641BBD"/>
    <w:rsid w:val="00642918"/>
    <w:rsid w:val="006450BB"/>
    <w:rsid w:val="006460D8"/>
    <w:rsid w:val="00653DA8"/>
    <w:rsid w:val="00655874"/>
    <w:rsid w:val="0065671B"/>
    <w:rsid w:val="0066086F"/>
    <w:rsid w:val="00672184"/>
    <w:rsid w:val="0067638C"/>
    <w:rsid w:val="00683F56"/>
    <w:rsid w:val="00684779"/>
    <w:rsid w:val="006861FC"/>
    <w:rsid w:val="00692B1F"/>
    <w:rsid w:val="00696046"/>
    <w:rsid w:val="006A5D5A"/>
    <w:rsid w:val="006B139A"/>
    <w:rsid w:val="006B7DE2"/>
    <w:rsid w:val="006C4B94"/>
    <w:rsid w:val="006C4D17"/>
    <w:rsid w:val="006D13D8"/>
    <w:rsid w:val="006D21A6"/>
    <w:rsid w:val="006D333B"/>
    <w:rsid w:val="006E02CD"/>
    <w:rsid w:val="006E56AE"/>
    <w:rsid w:val="007028F2"/>
    <w:rsid w:val="00711855"/>
    <w:rsid w:val="00711CE7"/>
    <w:rsid w:val="00717592"/>
    <w:rsid w:val="0072543D"/>
    <w:rsid w:val="0073602B"/>
    <w:rsid w:val="00747D8B"/>
    <w:rsid w:val="00751D2F"/>
    <w:rsid w:val="007721F0"/>
    <w:rsid w:val="00772D99"/>
    <w:rsid w:val="00782D64"/>
    <w:rsid w:val="007973A5"/>
    <w:rsid w:val="007978BD"/>
    <w:rsid w:val="007A0E08"/>
    <w:rsid w:val="007A66E1"/>
    <w:rsid w:val="007B3CFB"/>
    <w:rsid w:val="007C01C1"/>
    <w:rsid w:val="007D7F4A"/>
    <w:rsid w:val="007E3F6E"/>
    <w:rsid w:val="00800C33"/>
    <w:rsid w:val="00813FC9"/>
    <w:rsid w:val="00823295"/>
    <w:rsid w:val="00824A75"/>
    <w:rsid w:val="008304F1"/>
    <w:rsid w:val="008343CA"/>
    <w:rsid w:val="008517D1"/>
    <w:rsid w:val="008608A8"/>
    <w:rsid w:val="00864F6A"/>
    <w:rsid w:val="008706FF"/>
    <w:rsid w:val="008754F1"/>
    <w:rsid w:val="00885004"/>
    <w:rsid w:val="00896DCE"/>
    <w:rsid w:val="0089777B"/>
    <w:rsid w:val="008A02BD"/>
    <w:rsid w:val="008A2710"/>
    <w:rsid w:val="008B024D"/>
    <w:rsid w:val="008B2253"/>
    <w:rsid w:val="008B4BDC"/>
    <w:rsid w:val="008C19D8"/>
    <w:rsid w:val="008C364D"/>
    <w:rsid w:val="008D5004"/>
    <w:rsid w:val="008E038D"/>
    <w:rsid w:val="008F4094"/>
    <w:rsid w:val="00900E90"/>
    <w:rsid w:val="00904E31"/>
    <w:rsid w:val="009056D4"/>
    <w:rsid w:val="009127BF"/>
    <w:rsid w:val="00924268"/>
    <w:rsid w:val="00924A98"/>
    <w:rsid w:val="00930027"/>
    <w:rsid w:val="00932CAF"/>
    <w:rsid w:val="00934663"/>
    <w:rsid w:val="00957D95"/>
    <w:rsid w:val="009617F5"/>
    <w:rsid w:val="00976EFB"/>
    <w:rsid w:val="0098279D"/>
    <w:rsid w:val="0099297C"/>
    <w:rsid w:val="0099611D"/>
    <w:rsid w:val="009A44A5"/>
    <w:rsid w:val="009B06FC"/>
    <w:rsid w:val="009B2C9A"/>
    <w:rsid w:val="009C23F4"/>
    <w:rsid w:val="009E2564"/>
    <w:rsid w:val="009F09C4"/>
    <w:rsid w:val="009F2459"/>
    <w:rsid w:val="00A03B90"/>
    <w:rsid w:val="00A215AD"/>
    <w:rsid w:val="00A427D3"/>
    <w:rsid w:val="00A479AB"/>
    <w:rsid w:val="00A50131"/>
    <w:rsid w:val="00A51717"/>
    <w:rsid w:val="00A57439"/>
    <w:rsid w:val="00A608D5"/>
    <w:rsid w:val="00A62C3A"/>
    <w:rsid w:val="00A91CC8"/>
    <w:rsid w:val="00AA6CDE"/>
    <w:rsid w:val="00AB13F0"/>
    <w:rsid w:val="00AC2840"/>
    <w:rsid w:val="00AC4594"/>
    <w:rsid w:val="00AD5BD6"/>
    <w:rsid w:val="00AE03A6"/>
    <w:rsid w:val="00AE71F0"/>
    <w:rsid w:val="00AF0CB7"/>
    <w:rsid w:val="00AF1F94"/>
    <w:rsid w:val="00AF7576"/>
    <w:rsid w:val="00B001EE"/>
    <w:rsid w:val="00B05826"/>
    <w:rsid w:val="00B1132D"/>
    <w:rsid w:val="00B2786D"/>
    <w:rsid w:val="00B3616A"/>
    <w:rsid w:val="00B37D69"/>
    <w:rsid w:val="00B43573"/>
    <w:rsid w:val="00B44B23"/>
    <w:rsid w:val="00B51154"/>
    <w:rsid w:val="00B63C52"/>
    <w:rsid w:val="00B710F0"/>
    <w:rsid w:val="00B732BB"/>
    <w:rsid w:val="00B75452"/>
    <w:rsid w:val="00B863B2"/>
    <w:rsid w:val="00B927E9"/>
    <w:rsid w:val="00B94C18"/>
    <w:rsid w:val="00BA7557"/>
    <w:rsid w:val="00BC5CD1"/>
    <w:rsid w:val="00BC756B"/>
    <w:rsid w:val="00BD10DD"/>
    <w:rsid w:val="00BD2158"/>
    <w:rsid w:val="00BE2274"/>
    <w:rsid w:val="00BE3DAE"/>
    <w:rsid w:val="00BE515F"/>
    <w:rsid w:val="00BE5B06"/>
    <w:rsid w:val="00BE761F"/>
    <w:rsid w:val="00BE7DFC"/>
    <w:rsid w:val="00BF628C"/>
    <w:rsid w:val="00C06514"/>
    <w:rsid w:val="00C14762"/>
    <w:rsid w:val="00C16D91"/>
    <w:rsid w:val="00C338CB"/>
    <w:rsid w:val="00C47AFF"/>
    <w:rsid w:val="00C67CEB"/>
    <w:rsid w:val="00C8739E"/>
    <w:rsid w:val="00CA58B8"/>
    <w:rsid w:val="00CB0CA0"/>
    <w:rsid w:val="00CB48F5"/>
    <w:rsid w:val="00CC08F8"/>
    <w:rsid w:val="00CD0EB5"/>
    <w:rsid w:val="00CE5A29"/>
    <w:rsid w:val="00D0599C"/>
    <w:rsid w:val="00D06B3A"/>
    <w:rsid w:val="00D32E75"/>
    <w:rsid w:val="00D45849"/>
    <w:rsid w:val="00D45A72"/>
    <w:rsid w:val="00D46A89"/>
    <w:rsid w:val="00D608D5"/>
    <w:rsid w:val="00D6094F"/>
    <w:rsid w:val="00D7426A"/>
    <w:rsid w:val="00D76C7C"/>
    <w:rsid w:val="00D80124"/>
    <w:rsid w:val="00D931EB"/>
    <w:rsid w:val="00DA235A"/>
    <w:rsid w:val="00DA2B72"/>
    <w:rsid w:val="00DA7882"/>
    <w:rsid w:val="00DC40C4"/>
    <w:rsid w:val="00DD608E"/>
    <w:rsid w:val="00DD7698"/>
    <w:rsid w:val="00DE4CFE"/>
    <w:rsid w:val="00DE4F03"/>
    <w:rsid w:val="00DF079A"/>
    <w:rsid w:val="00DF6BE5"/>
    <w:rsid w:val="00DF6EDF"/>
    <w:rsid w:val="00E07BA8"/>
    <w:rsid w:val="00E12E35"/>
    <w:rsid w:val="00E13E12"/>
    <w:rsid w:val="00E17BFA"/>
    <w:rsid w:val="00E21A83"/>
    <w:rsid w:val="00E30A89"/>
    <w:rsid w:val="00E33418"/>
    <w:rsid w:val="00E3417E"/>
    <w:rsid w:val="00E37B84"/>
    <w:rsid w:val="00E418A6"/>
    <w:rsid w:val="00E41E3C"/>
    <w:rsid w:val="00E44C0F"/>
    <w:rsid w:val="00E508C6"/>
    <w:rsid w:val="00E549CE"/>
    <w:rsid w:val="00E733D7"/>
    <w:rsid w:val="00E84BB2"/>
    <w:rsid w:val="00E91370"/>
    <w:rsid w:val="00E9524B"/>
    <w:rsid w:val="00EA290A"/>
    <w:rsid w:val="00EB023E"/>
    <w:rsid w:val="00EB208C"/>
    <w:rsid w:val="00EB2556"/>
    <w:rsid w:val="00EB536B"/>
    <w:rsid w:val="00EB6350"/>
    <w:rsid w:val="00EE430D"/>
    <w:rsid w:val="00EF1FCD"/>
    <w:rsid w:val="00F06A08"/>
    <w:rsid w:val="00F14C8F"/>
    <w:rsid w:val="00F169FC"/>
    <w:rsid w:val="00F365A5"/>
    <w:rsid w:val="00F40289"/>
    <w:rsid w:val="00F7081B"/>
    <w:rsid w:val="00F70CF1"/>
    <w:rsid w:val="00F85FD3"/>
    <w:rsid w:val="00F917C1"/>
    <w:rsid w:val="00F933D1"/>
    <w:rsid w:val="00F94D49"/>
    <w:rsid w:val="00FA0CBE"/>
    <w:rsid w:val="00FD7D5E"/>
    <w:rsid w:val="00FE04BD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293A"/>
  <w15:docId w15:val="{71F21CA7-4E9C-4BB6-90E6-FE24E26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9A44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BE51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A608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A6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4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8E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8E03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7Colorful1">
    <w:name w:val="Grid Table 7 Colorful1"/>
    <w:basedOn w:val="TableNormal"/>
    <w:uiPriority w:val="52"/>
    <w:rsid w:val="00B36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B361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85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89"/>
  </w:style>
  <w:style w:type="paragraph" w:styleId="Footer">
    <w:name w:val="footer"/>
    <w:basedOn w:val="Normal"/>
    <w:link w:val="Foot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89"/>
  </w:style>
  <w:style w:type="character" w:styleId="CommentReference">
    <w:name w:val="annotation reference"/>
    <w:basedOn w:val="DefaultParagraphFont"/>
    <w:uiPriority w:val="99"/>
    <w:semiHidden/>
    <w:unhideWhenUsed/>
    <w:rsid w:val="00DF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CA42-F599-4FF8-868D-57E82B4B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Elorriaga, Estefania</dc:creator>
  <cp:lastModifiedBy>Elorriaga, Estefania</cp:lastModifiedBy>
  <cp:revision>6</cp:revision>
  <dcterms:created xsi:type="dcterms:W3CDTF">2018-02-21T17:19:00Z</dcterms:created>
  <dcterms:modified xsi:type="dcterms:W3CDTF">2018-04-24T00:18:00Z</dcterms:modified>
</cp:coreProperties>
</file>