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970F69" w:rsidRDefault="00970F69" w:rsidP="0001436A">
      <w:pPr>
        <w:pStyle w:val="AuthorList"/>
        <w:rPr>
          <w:sz w:val="32"/>
          <w:szCs w:val="32"/>
        </w:rPr>
      </w:pPr>
      <w:r w:rsidRPr="00970F69">
        <w:rPr>
          <w:sz w:val="32"/>
          <w:szCs w:val="32"/>
        </w:rPr>
        <w:t xml:space="preserve">Potential microbial sulfate reduction up to 2.5 km below the seafloor in the deep coalbed biosphere off </w:t>
      </w:r>
      <w:proofErr w:type="spellStart"/>
      <w:r w:rsidRPr="00970F69">
        <w:rPr>
          <w:sz w:val="32"/>
          <w:szCs w:val="32"/>
        </w:rPr>
        <w:t>Shimokita</w:t>
      </w:r>
      <w:proofErr w:type="spellEnd"/>
      <w:r w:rsidRPr="00970F69">
        <w:rPr>
          <w:sz w:val="32"/>
          <w:szCs w:val="32"/>
        </w:rPr>
        <w:t xml:space="preserve"> (Japan)</w:t>
      </w:r>
    </w:p>
    <w:p w:rsidR="00970F69" w:rsidRPr="00970F69" w:rsidRDefault="00970F69" w:rsidP="00970F69">
      <w:pPr>
        <w:spacing w:after="0"/>
        <w:rPr>
          <w:rFonts w:cs="Times New Roman"/>
          <w:b/>
          <w:szCs w:val="24"/>
          <w:vertAlign w:val="superscript"/>
          <w:lang w:val="da-DK"/>
        </w:rPr>
      </w:pPr>
      <w:r w:rsidRPr="00017426">
        <w:rPr>
          <w:rFonts w:cs="Times New Roman"/>
          <w:b/>
          <w:szCs w:val="24"/>
          <w:lang w:val="da-DK"/>
        </w:rPr>
        <w:t xml:space="preserve">Clemens Glombitza*, Rishi R. Adhikari, Natascha </w:t>
      </w:r>
      <w:proofErr w:type="spellStart"/>
      <w:r w:rsidRPr="00017426">
        <w:rPr>
          <w:rFonts w:cs="Times New Roman"/>
          <w:b/>
          <w:szCs w:val="24"/>
          <w:lang w:val="da-DK"/>
        </w:rPr>
        <w:t>Riedinger</w:t>
      </w:r>
      <w:proofErr w:type="spellEnd"/>
      <w:r w:rsidRPr="00017426">
        <w:rPr>
          <w:rFonts w:cs="Times New Roman"/>
          <w:b/>
          <w:szCs w:val="24"/>
          <w:lang w:val="da-DK"/>
        </w:rPr>
        <w:t xml:space="preserve">, William P. </w:t>
      </w:r>
      <w:proofErr w:type="spellStart"/>
      <w:r w:rsidRPr="00017426">
        <w:rPr>
          <w:rFonts w:cs="Times New Roman"/>
          <w:b/>
          <w:szCs w:val="24"/>
          <w:lang w:val="da-DK"/>
        </w:rPr>
        <w:t>Gilhooly</w:t>
      </w:r>
      <w:proofErr w:type="spellEnd"/>
      <w:r w:rsidR="00207DA0">
        <w:rPr>
          <w:rFonts w:cs="Times New Roman"/>
          <w:b/>
          <w:szCs w:val="24"/>
          <w:lang w:val="da-DK"/>
        </w:rPr>
        <w:t xml:space="preserve"> III</w:t>
      </w:r>
      <w:r w:rsidRPr="00017426">
        <w:rPr>
          <w:rFonts w:cs="Times New Roman"/>
          <w:b/>
          <w:szCs w:val="24"/>
          <w:lang w:val="da-DK"/>
        </w:rPr>
        <w:t xml:space="preserve">, </w:t>
      </w:r>
      <w:r w:rsidR="003B0DD2">
        <w:rPr>
          <w:rFonts w:cs="Times New Roman"/>
          <w:b/>
          <w:szCs w:val="24"/>
          <w:lang w:val="da-DK"/>
        </w:rPr>
        <w:t xml:space="preserve">Kai-Uwe Hinrichs, and </w:t>
      </w:r>
      <w:r w:rsidRPr="00017426">
        <w:rPr>
          <w:rFonts w:cs="Times New Roman"/>
          <w:b/>
          <w:szCs w:val="24"/>
          <w:lang w:val="da-DK"/>
        </w:rPr>
        <w:t>Fumio Inagaki</w:t>
      </w:r>
    </w:p>
    <w:p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r w:rsidR="00970F69">
        <w:rPr>
          <w:rFonts w:cs="Times New Roman"/>
        </w:rPr>
        <w:t>clemens.glombitza@bios.au.dk</w:t>
      </w:r>
    </w:p>
    <w:p w:rsidR="00994A3D" w:rsidRPr="00994A3D" w:rsidRDefault="00654E8F" w:rsidP="0001436A">
      <w:pPr>
        <w:pStyle w:val="Heading1"/>
      </w:pPr>
      <w:r w:rsidRPr="00994A3D">
        <w:t>Supplementary Figures and Tables</w:t>
      </w:r>
    </w:p>
    <w:p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</w:t>
      </w:r>
      <w:r w:rsidR="00970F69">
        <w:t>Tables</w:t>
      </w:r>
    </w:p>
    <w:p w:rsidR="00970F69" w:rsidRDefault="00970F69" w:rsidP="002B4A57">
      <w:pPr>
        <w:keepNext/>
        <w:rPr>
          <w:rFonts w:cs="Times New Roman"/>
          <w:b/>
          <w:szCs w:val="24"/>
        </w:rPr>
      </w:pPr>
    </w:p>
    <w:p w:rsidR="00994A3D" w:rsidRDefault="00994A3D" w:rsidP="002B4A57">
      <w:pPr>
        <w:keepNext/>
        <w:rPr>
          <w:rFonts w:cs="Times New Roman"/>
          <w:szCs w:val="24"/>
        </w:rPr>
      </w:pPr>
      <w:proofErr w:type="gramStart"/>
      <w:r w:rsidRPr="0001436A">
        <w:rPr>
          <w:rFonts w:cs="Times New Roman"/>
          <w:b/>
          <w:szCs w:val="24"/>
        </w:rPr>
        <w:t xml:space="preserve">Supplementary </w:t>
      </w:r>
      <w:r w:rsidR="00970F69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6C6360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proofErr w:type="gramEnd"/>
      <w:r w:rsidRPr="001549D3">
        <w:rPr>
          <w:rFonts w:cs="Times New Roman"/>
          <w:szCs w:val="24"/>
        </w:rPr>
        <w:t xml:space="preserve"> </w:t>
      </w:r>
      <w:r w:rsidR="00970F69" w:rsidRPr="00970F69">
        <w:rPr>
          <w:rFonts w:cs="Times New Roman"/>
          <w:szCs w:val="24"/>
        </w:rPr>
        <w:t>Hydrogen oxidation rate measur</w:t>
      </w:r>
      <w:r w:rsidR="008F33DF">
        <w:rPr>
          <w:rFonts w:cs="Times New Roman"/>
          <w:szCs w:val="24"/>
        </w:rPr>
        <w:t>ed</w:t>
      </w:r>
      <w:r w:rsidR="00970F69" w:rsidRPr="00970F69">
        <w:rPr>
          <w:rFonts w:cs="Times New Roman"/>
          <w:szCs w:val="24"/>
        </w:rPr>
        <w:t xml:space="preserve"> by the </w:t>
      </w:r>
      <w:r w:rsidR="008F33DF">
        <w:rPr>
          <w:rFonts w:cs="Times New Roman"/>
          <w:szCs w:val="24"/>
        </w:rPr>
        <w:t>t</w:t>
      </w:r>
      <w:r w:rsidR="00970F69" w:rsidRPr="00970F69">
        <w:rPr>
          <w:rFonts w:cs="Times New Roman"/>
          <w:szCs w:val="24"/>
        </w:rPr>
        <w:t xml:space="preserve">ritium </w:t>
      </w:r>
      <w:r w:rsidR="008F33DF">
        <w:rPr>
          <w:rFonts w:cs="Times New Roman"/>
          <w:szCs w:val="24"/>
        </w:rPr>
        <w:t xml:space="preserve">based hydrogenase enzyme </w:t>
      </w:r>
      <w:r w:rsidR="00970F69" w:rsidRPr="00970F69">
        <w:rPr>
          <w:rFonts w:cs="Times New Roman"/>
          <w:szCs w:val="24"/>
        </w:rPr>
        <w:t xml:space="preserve">essay (Adhikari et al., 2016), including core and section numbers, sample depth, sample lithology, lithological unit and maximum and minimum hydrogen oxidation rates of the sample replicates. Grey rows </w:t>
      </w:r>
      <w:r w:rsidR="00207DA0">
        <w:rPr>
          <w:rFonts w:cs="Times New Roman"/>
          <w:szCs w:val="24"/>
        </w:rPr>
        <w:t>indicate</w:t>
      </w:r>
      <w:r w:rsidR="00207DA0" w:rsidRPr="00970F69">
        <w:rPr>
          <w:rFonts w:cs="Times New Roman"/>
          <w:szCs w:val="24"/>
        </w:rPr>
        <w:t xml:space="preserve"> </w:t>
      </w:r>
      <w:r w:rsidR="00970F69" w:rsidRPr="00970F69">
        <w:rPr>
          <w:rFonts w:cs="Times New Roman"/>
          <w:szCs w:val="24"/>
        </w:rPr>
        <w:t>samples from whole round core that were excluded from sulfate reduction rates due to possible contaminations.</w:t>
      </w:r>
    </w:p>
    <w:tbl>
      <w:tblPr>
        <w:tblW w:w="0" w:type="auto"/>
        <w:jc w:val="center"/>
        <w:tblInd w:w="-139" w:type="dxa"/>
        <w:tblLayout w:type="fixed"/>
        <w:tblLook w:val="04A0" w:firstRow="1" w:lastRow="0" w:firstColumn="1" w:lastColumn="0" w:noHBand="0" w:noVBand="1"/>
      </w:tblPr>
      <w:tblGrid>
        <w:gridCol w:w="1632"/>
        <w:gridCol w:w="1134"/>
        <w:gridCol w:w="1417"/>
        <w:gridCol w:w="851"/>
        <w:gridCol w:w="1842"/>
        <w:gridCol w:w="1910"/>
      </w:tblGrid>
      <w:tr w:rsidR="001C0588" w:rsidRPr="005B4314" w:rsidTr="001C0588">
        <w:trPr>
          <w:trHeight w:val="300"/>
          <w:jc w:val="center"/>
        </w:trPr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AF471F">
              <w:rPr>
                <w:rFonts w:eastAsia="Times New Roman" w:cs="Times New Roman"/>
                <w:b/>
                <w:bCs/>
                <w:color w:val="000000"/>
              </w:rPr>
              <w:t>Core</w:t>
            </w:r>
            <w:r>
              <w:rPr>
                <w:rFonts w:eastAsia="Times New Roman" w:cs="Times New Roman"/>
                <w:b/>
                <w:bCs/>
                <w:color w:val="000000"/>
              </w:rPr>
              <w:t>-</w:t>
            </w:r>
            <w:r w:rsidRPr="00AF471F">
              <w:rPr>
                <w:rFonts w:eastAsia="Times New Roman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585F9F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AF471F">
              <w:rPr>
                <w:rFonts w:eastAsia="Times New Roman" w:cs="Times New Roman"/>
                <w:b/>
                <w:bCs/>
                <w:color w:val="000000"/>
              </w:rPr>
              <w:t>Depth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585F9F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AF471F">
              <w:rPr>
                <w:rFonts w:eastAsia="Times New Roman" w:cs="Times New Roman"/>
                <w:b/>
                <w:bCs/>
                <w:color w:val="000000"/>
              </w:rPr>
              <w:t>Sample Lithology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1C0588" w:rsidRPr="00AF471F" w:rsidRDefault="001C0588" w:rsidP="00585F9F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AF471F">
              <w:rPr>
                <w:rFonts w:eastAsia="Times New Roman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585F9F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AF471F">
              <w:rPr>
                <w:rFonts w:eastAsia="Times New Roman" w:cs="Times New Roman"/>
                <w:b/>
                <w:bCs/>
                <w:color w:val="000000"/>
              </w:rPr>
              <w:t>Max. H</w:t>
            </w:r>
            <w:r w:rsidRPr="00AF471F">
              <w:rPr>
                <w:rFonts w:eastAsia="Times New Roman" w:cs="Times New Roman"/>
                <w:b/>
                <w:bCs/>
                <w:color w:val="000000"/>
                <w:vertAlign w:val="subscript"/>
              </w:rPr>
              <w:t>2</w:t>
            </w:r>
            <w:r w:rsidRPr="00AF471F">
              <w:rPr>
                <w:rFonts w:eastAsia="Times New Roman" w:cs="Times New Roman"/>
                <w:b/>
                <w:bCs/>
                <w:color w:val="000000"/>
              </w:rPr>
              <w:t xml:space="preserve"> oxidation rate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585F9F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AF471F">
              <w:rPr>
                <w:rFonts w:eastAsia="Times New Roman" w:cs="Times New Roman"/>
                <w:b/>
                <w:bCs/>
                <w:color w:val="000000"/>
              </w:rPr>
              <w:t>Min. H</w:t>
            </w:r>
            <w:r w:rsidRPr="00AF471F">
              <w:rPr>
                <w:rFonts w:eastAsia="Times New Roman" w:cs="Times New Roman"/>
                <w:b/>
                <w:bCs/>
                <w:color w:val="000000"/>
                <w:vertAlign w:val="subscript"/>
              </w:rPr>
              <w:t>2</w:t>
            </w:r>
            <w:r w:rsidRPr="00AF471F">
              <w:rPr>
                <w:rFonts w:eastAsia="Times New Roman" w:cs="Times New Roman"/>
                <w:b/>
                <w:bCs/>
                <w:color w:val="000000"/>
              </w:rPr>
              <w:t xml:space="preserve"> oxidation rate </w:t>
            </w:r>
          </w:p>
        </w:tc>
      </w:tr>
      <w:tr w:rsidR="001C0588" w:rsidRPr="005B4314" w:rsidTr="001C0588">
        <w:trPr>
          <w:trHeight w:val="300"/>
          <w:jc w:val="center"/>
        </w:trPr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585F9F">
            <w:pPr>
              <w:spacing w:after="0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585F9F">
            <w:pPr>
              <w:spacing w:after="0"/>
              <w:rPr>
                <w:rFonts w:eastAsia="Times New Roman" w:cs="Times New Roman"/>
                <w:bCs/>
                <w:color w:val="000000"/>
              </w:rPr>
            </w:pPr>
            <w:r w:rsidRPr="00AF471F">
              <w:rPr>
                <w:rFonts w:eastAsia="Times New Roman" w:cs="Times New Roman"/>
                <w:bCs/>
                <w:color w:val="000000"/>
              </w:rPr>
              <w:t>[</w:t>
            </w:r>
            <w:proofErr w:type="spellStart"/>
            <w:r w:rsidRPr="00AF471F">
              <w:rPr>
                <w:rFonts w:eastAsia="Times New Roman" w:cs="Times New Roman"/>
                <w:bCs/>
                <w:color w:val="000000"/>
              </w:rPr>
              <w:t>mbsf</w:t>
            </w:r>
            <w:proofErr w:type="spellEnd"/>
            <w:r w:rsidRPr="00AF471F">
              <w:rPr>
                <w:rFonts w:eastAsia="Times New Roman" w:cs="Times New Roman"/>
                <w:bCs/>
                <w:color w:val="000000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585F9F">
            <w:pPr>
              <w:spacing w:after="0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588" w:rsidRPr="00AF471F" w:rsidRDefault="001C0588" w:rsidP="00585F9F">
            <w:pPr>
              <w:spacing w:after="0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585F9F">
            <w:pPr>
              <w:spacing w:after="0"/>
              <w:rPr>
                <w:rFonts w:eastAsia="Times New Roman" w:cs="Times New Roman"/>
                <w:bCs/>
                <w:color w:val="000000"/>
              </w:rPr>
            </w:pPr>
            <w:r w:rsidRPr="00AF471F">
              <w:rPr>
                <w:rFonts w:eastAsia="Times New Roman" w:cs="Times New Roman"/>
                <w:bCs/>
                <w:color w:val="000000"/>
              </w:rPr>
              <w:t>[</w:t>
            </w:r>
            <w:proofErr w:type="spellStart"/>
            <w:r w:rsidRPr="00AF471F">
              <w:rPr>
                <w:rFonts w:eastAsia="Times New Roman" w:cs="Times New Roman"/>
                <w:bCs/>
                <w:color w:val="000000"/>
              </w:rPr>
              <w:t>nmol</w:t>
            </w:r>
            <w:proofErr w:type="spellEnd"/>
            <w:r w:rsidRPr="00AF471F">
              <w:rPr>
                <w:rFonts w:eastAsia="Times New Roman" w:cs="Times New Roman"/>
                <w:bCs/>
                <w:color w:val="000000"/>
              </w:rPr>
              <w:t xml:space="preserve"> H</w:t>
            </w:r>
            <w:r w:rsidRPr="00AF471F">
              <w:rPr>
                <w:rFonts w:eastAsia="Times New Roman" w:cs="Times New Roman"/>
                <w:bCs/>
                <w:color w:val="000000"/>
                <w:vertAlign w:val="subscript"/>
              </w:rPr>
              <w:t>2</w:t>
            </w:r>
            <w:r w:rsidRPr="00AF471F">
              <w:rPr>
                <w:rFonts w:eastAsia="Times New Roman" w:cs="Times New Roman"/>
                <w:bCs/>
                <w:color w:val="000000"/>
              </w:rPr>
              <w:t xml:space="preserve"> g</w:t>
            </w:r>
            <w:r w:rsidRPr="00AF471F">
              <w:rPr>
                <w:rFonts w:eastAsia="Times New Roman" w:cs="Times New Roman"/>
                <w:bCs/>
                <w:color w:val="000000"/>
                <w:vertAlign w:val="superscript"/>
              </w:rPr>
              <w:t>-1</w:t>
            </w:r>
            <w:r w:rsidRPr="00AF471F">
              <w:rPr>
                <w:rFonts w:eastAsia="Times New Roman" w:cs="Times New Roman"/>
                <w:bCs/>
                <w:color w:val="000000"/>
              </w:rPr>
              <w:t xml:space="preserve"> d</w:t>
            </w:r>
            <w:r w:rsidRPr="00AF471F">
              <w:rPr>
                <w:rFonts w:eastAsia="Times New Roman" w:cs="Times New Roman"/>
                <w:bCs/>
                <w:color w:val="000000"/>
                <w:vertAlign w:val="superscript"/>
              </w:rPr>
              <w:t>-1</w:t>
            </w:r>
            <w:r w:rsidRPr="00AF471F">
              <w:rPr>
                <w:rFonts w:eastAsia="Times New Roman" w:cs="Times New Roman"/>
                <w:bCs/>
                <w:color w:val="000000"/>
              </w:rPr>
              <w:t>]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585F9F">
            <w:pPr>
              <w:spacing w:after="0"/>
              <w:rPr>
                <w:rFonts w:eastAsia="Times New Roman" w:cs="Times New Roman"/>
                <w:bCs/>
                <w:color w:val="000000"/>
              </w:rPr>
            </w:pPr>
            <w:r w:rsidRPr="00AF471F">
              <w:rPr>
                <w:rFonts w:eastAsia="Times New Roman" w:cs="Times New Roman"/>
                <w:bCs/>
                <w:color w:val="000000"/>
              </w:rPr>
              <w:t xml:space="preserve"> [</w:t>
            </w:r>
            <w:proofErr w:type="spellStart"/>
            <w:r w:rsidRPr="00AF471F">
              <w:rPr>
                <w:rFonts w:eastAsia="Times New Roman" w:cs="Times New Roman"/>
                <w:bCs/>
                <w:color w:val="000000"/>
              </w:rPr>
              <w:t>nmol</w:t>
            </w:r>
            <w:proofErr w:type="spellEnd"/>
            <w:r w:rsidRPr="00AF471F">
              <w:rPr>
                <w:rFonts w:eastAsia="Times New Roman" w:cs="Times New Roman"/>
                <w:bCs/>
                <w:color w:val="000000"/>
              </w:rPr>
              <w:t xml:space="preserve"> H</w:t>
            </w:r>
            <w:r w:rsidRPr="00AF471F">
              <w:rPr>
                <w:rFonts w:eastAsia="Times New Roman" w:cs="Times New Roman"/>
                <w:bCs/>
                <w:color w:val="000000"/>
                <w:vertAlign w:val="subscript"/>
              </w:rPr>
              <w:t>2</w:t>
            </w:r>
            <w:r w:rsidRPr="00AF471F">
              <w:rPr>
                <w:rFonts w:eastAsia="Times New Roman" w:cs="Times New Roman"/>
                <w:bCs/>
                <w:color w:val="000000"/>
              </w:rPr>
              <w:t xml:space="preserve"> g</w:t>
            </w:r>
            <w:r w:rsidRPr="00AF471F">
              <w:rPr>
                <w:rFonts w:eastAsia="Times New Roman" w:cs="Times New Roman"/>
                <w:bCs/>
                <w:color w:val="000000"/>
                <w:vertAlign w:val="superscript"/>
              </w:rPr>
              <w:t>-1</w:t>
            </w:r>
            <w:r w:rsidRPr="00AF471F">
              <w:rPr>
                <w:rFonts w:eastAsia="Times New Roman" w:cs="Times New Roman"/>
                <w:bCs/>
                <w:color w:val="000000"/>
              </w:rPr>
              <w:t xml:space="preserve"> d</w:t>
            </w:r>
            <w:r w:rsidRPr="00AF471F">
              <w:rPr>
                <w:rFonts w:eastAsia="Times New Roman" w:cs="Times New Roman"/>
                <w:bCs/>
                <w:color w:val="000000"/>
                <w:vertAlign w:val="superscript"/>
              </w:rPr>
              <w:t>-1</w:t>
            </w:r>
            <w:r w:rsidRPr="00AF471F">
              <w:rPr>
                <w:rFonts w:eastAsia="Times New Roman" w:cs="Times New Roman"/>
                <w:bCs/>
                <w:color w:val="000000"/>
              </w:rPr>
              <w:t>]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970F69">
            <w:pPr>
              <w:pStyle w:val="NoSpacing"/>
            </w:pPr>
            <w:r w:rsidRPr="00AF471F">
              <w:t>1276.75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Fine Sand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1395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C0588" w:rsidRPr="00AF471F" w:rsidRDefault="001C0588" w:rsidP="00970F69">
            <w:pPr>
              <w:pStyle w:val="NoSpacing"/>
            </w:pPr>
            <w:r w:rsidRPr="00AF471F">
              <w:t>600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1C0588">
            <w:pPr>
              <w:pStyle w:val="NoSpacing"/>
              <w:jc w:val="center"/>
            </w:pPr>
            <w:r w:rsidRPr="00AF471F">
              <w:t>2R</w:t>
            </w:r>
            <w:r>
              <w:t>-</w:t>
            </w:r>
            <w:r w:rsidRPr="00AF471F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970F69">
            <w:pPr>
              <w:pStyle w:val="NoSpacing"/>
            </w:pPr>
            <w:r w:rsidRPr="00AF471F">
              <w:t>1287.87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970F69">
            <w:pPr>
              <w:pStyle w:val="NoSpacing"/>
            </w:pPr>
            <w:r w:rsidRPr="00AF471F">
              <w:t>Sandstone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1C0588" w:rsidRPr="00AF471F" w:rsidRDefault="001C0588" w:rsidP="00970F69">
            <w:pPr>
              <w:pStyle w:val="NoSpacing"/>
              <w:jc w:val="center"/>
            </w:pPr>
            <w:r w:rsidRPr="00AF471F">
              <w:t>II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1C0588" w:rsidRPr="00AF471F" w:rsidRDefault="001C0588" w:rsidP="00970F69">
            <w:pPr>
              <w:pStyle w:val="NoSpacing"/>
            </w:pPr>
            <w:r w:rsidRPr="00AF471F">
              <w:t>508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C0588" w:rsidRPr="00AF471F" w:rsidRDefault="001C0588" w:rsidP="00970F69">
            <w:pPr>
              <w:pStyle w:val="NoSpacing"/>
            </w:pPr>
            <w:r w:rsidRPr="00AF471F">
              <w:t>0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1C0588">
            <w:pPr>
              <w:pStyle w:val="NoSpacing"/>
              <w:jc w:val="center"/>
            </w:pPr>
            <w:r w:rsidRPr="00AF471F">
              <w:t>3R</w:t>
            </w:r>
            <w:r>
              <w:t>-</w:t>
            </w:r>
            <w:r w:rsidRPr="00AF471F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970F69">
            <w:pPr>
              <w:pStyle w:val="NoSpacing"/>
            </w:pPr>
            <w:r w:rsidRPr="00AF471F">
              <w:t>1371.94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970F69">
            <w:pPr>
              <w:pStyle w:val="NoSpacing"/>
            </w:pPr>
            <w:r w:rsidRPr="00AF471F">
              <w:t>Siltstone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1C0588" w:rsidRPr="00AF471F" w:rsidRDefault="001C0588" w:rsidP="00970F69">
            <w:pPr>
              <w:pStyle w:val="NoSpacing"/>
              <w:jc w:val="center"/>
            </w:pPr>
            <w:r w:rsidRPr="00AF471F">
              <w:t>II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1C0588" w:rsidRPr="00AF471F" w:rsidRDefault="001C0588" w:rsidP="00970F69">
            <w:pPr>
              <w:pStyle w:val="NoSpacing"/>
            </w:pPr>
            <w:r w:rsidRPr="00AF471F">
              <w:t>377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C0588" w:rsidRPr="00AF471F" w:rsidRDefault="001C0588" w:rsidP="00970F69">
            <w:pPr>
              <w:pStyle w:val="NoSpacing"/>
            </w:pPr>
            <w:r w:rsidRPr="00AF471F">
              <w:t>321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1C0588">
            <w:pPr>
              <w:pStyle w:val="NoSpacing"/>
              <w:jc w:val="center"/>
            </w:pPr>
            <w:r w:rsidRPr="00AF471F">
              <w:t>6R</w:t>
            </w:r>
            <w:r>
              <w:t>-</w:t>
            </w:r>
            <w:r w:rsidRPr="00AF471F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970F69">
            <w:pPr>
              <w:pStyle w:val="NoSpacing"/>
            </w:pPr>
            <w:r w:rsidRPr="00AF471F">
              <w:t>1495.05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970F69">
            <w:pPr>
              <w:pStyle w:val="NoSpacing"/>
            </w:pPr>
            <w:r w:rsidRPr="00AF471F">
              <w:t>Sandstone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1C0588" w:rsidRPr="00AF471F" w:rsidRDefault="001C0588" w:rsidP="00970F69">
            <w:pPr>
              <w:pStyle w:val="NoSpacing"/>
              <w:jc w:val="center"/>
            </w:pPr>
            <w:r w:rsidRPr="00AF471F">
              <w:t>II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1C0588" w:rsidRPr="00AF471F" w:rsidRDefault="001C0588" w:rsidP="00970F69">
            <w:pPr>
              <w:pStyle w:val="NoSpacing"/>
            </w:pPr>
            <w:r w:rsidRPr="00AF471F">
              <w:t>1809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C0588" w:rsidRPr="00AF471F" w:rsidRDefault="001C0588" w:rsidP="00970F69">
            <w:pPr>
              <w:pStyle w:val="NoSpacing"/>
            </w:pPr>
            <w:r w:rsidRPr="00AF471F">
              <w:t>0</w:t>
            </w:r>
          </w:p>
        </w:tc>
      </w:tr>
      <w:tr w:rsidR="001C0588" w:rsidRPr="005B4314" w:rsidTr="001C0588">
        <w:trPr>
          <w:trHeight w:val="70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1C0588">
            <w:pPr>
              <w:pStyle w:val="NoSpacing"/>
              <w:jc w:val="center"/>
            </w:pPr>
            <w:r w:rsidRPr="00AF471F">
              <w:t>8L</w:t>
            </w:r>
            <w:r>
              <w:t>-</w:t>
            </w:r>
            <w:r w:rsidRPr="00AF471F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970F69">
            <w:pPr>
              <w:pStyle w:val="NoSpacing"/>
            </w:pPr>
            <w:r w:rsidRPr="00AF471F">
              <w:t>1607.26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970F69">
            <w:pPr>
              <w:pStyle w:val="NoSpacing"/>
            </w:pPr>
            <w:r w:rsidRPr="00AF471F">
              <w:t>Shale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1C0588" w:rsidRPr="00AF471F" w:rsidRDefault="001C0588" w:rsidP="00970F69">
            <w:pPr>
              <w:pStyle w:val="NoSpacing"/>
              <w:jc w:val="center"/>
            </w:pPr>
            <w:r w:rsidRPr="00AF471F">
              <w:t>II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1C0588" w:rsidRPr="00AF471F" w:rsidRDefault="001C0588" w:rsidP="00970F69">
            <w:pPr>
              <w:pStyle w:val="NoSpacing"/>
            </w:pPr>
            <w:r w:rsidRPr="00AF471F">
              <w:t>160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C0588" w:rsidRPr="00AF471F" w:rsidRDefault="001C0588" w:rsidP="00970F69">
            <w:pPr>
              <w:pStyle w:val="NoSpacing"/>
            </w:pPr>
            <w:r w:rsidRPr="00AF471F">
              <w:t>0</w:t>
            </w:r>
          </w:p>
        </w:tc>
      </w:tr>
      <w:tr w:rsidR="001C0588" w:rsidRPr="005B4314" w:rsidTr="001C0588">
        <w:trPr>
          <w:trHeight w:val="379"/>
          <w:jc w:val="center"/>
        </w:trPr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pStyle w:val="NoSpacing"/>
              <w:jc w:val="center"/>
            </w:pPr>
            <w:r w:rsidRPr="00AF471F">
              <w:t>9R</w:t>
            </w:r>
            <w:r>
              <w:t>-</w:t>
            </w:r>
            <w:r w:rsidRPr="00AF471F">
              <w:t>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pStyle w:val="NoSpacing"/>
            </w:pPr>
            <w:r w:rsidRPr="00AF471F">
              <w:t>1625.56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pStyle w:val="NoSpacing"/>
            </w:pPr>
            <w:r w:rsidRPr="00AF471F">
              <w:t>Sandstone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1C0588" w:rsidRPr="00AF471F" w:rsidRDefault="001C0588" w:rsidP="00970F69">
            <w:pPr>
              <w:pStyle w:val="NoSpacing"/>
              <w:jc w:val="center"/>
            </w:pPr>
            <w:r w:rsidRPr="00AF471F">
              <w:t>II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0588" w:rsidRPr="00AF471F" w:rsidRDefault="001C0588" w:rsidP="00970F69">
            <w:pPr>
              <w:pStyle w:val="NoSpacing"/>
            </w:pPr>
            <w:r w:rsidRPr="00AF471F">
              <w:t>382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0588" w:rsidRPr="00AF471F" w:rsidRDefault="001C0588" w:rsidP="00970F69">
            <w:pPr>
              <w:pStyle w:val="NoSpacing"/>
            </w:pPr>
            <w:r w:rsidRPr="00AF471F">
              <w:t>129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10R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1630.16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Siltstone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1391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524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11R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1738.80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Sandstone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13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13R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1760.49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Siltstone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II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1070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357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14R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1822.41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Siltstone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1809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1743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15R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1921.98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Lignite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164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124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15R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1924.13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Shale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3579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2251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16R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1930.42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Fine Sand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0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18R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1945.71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Lignite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2520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721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19R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1950.04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Sandstone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4538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853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20R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1965.11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Shale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1226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1225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23R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1984.25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Siltstone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561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561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25R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1997.54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Lignite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563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563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25R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1998.75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Silty Clay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0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lastRenderedPageBreak/>
              <w:t>26R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2113.51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Shale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1806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1771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27R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2200.91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Shale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IV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2796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1433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28R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2304.83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Siltstone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IV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233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0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28R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2305.34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Siltstone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IV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0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29R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2405.52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Siltstone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IV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715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473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30R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2447.61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Lignite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IV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761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0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30R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2449.43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Shale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IV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5201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2738</w:t>
            </w:r>
          </w:p>
        </w:tc>
      </w:tr>
      <w:tr w:rsidR="001C0588" w:rsidRPr="005B4314" w:rsidTr="001C0588">
        <w:trPr>
          <w:trHeight w:val="255"/>
          <w:jc w:val="center"/>
        </w:trPr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1C0588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32R</w:t>
            </w:r>
            <w:r>
              <w:rPr>
                <w:rFonts w:eastAsia="Times New Roman" w:cs="Times New Roman"/>
              </w:rPr>
              <w:t>-</w:t>
            </w:r>
            <w:r w:rsidRPr="00AF471F">
              <w:rPr>
                <w:rFonts w:eastAsia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2456.72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Shale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588" w:rsidRPr="00AF471F" w:rsidRDefault="001C0588" w:rsidP="00970F69">
            <w:pPr>
              <w:spacing w:before="0" w:after="0"/>
              <w:jc w:val="center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1340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0588" w:rsidRPr="00AF471F" w:rsidRDefault="001C0588" w:rsidP="00970F69">
            <w:pPr>
              <w:spacing w:before="0" w:after="0"/>
              <w:rPr>
                <w:rFonts w:eastAsia="Times New Roman" w:cs="Times New Roman"/>
              </w:rPr>
            </w:pPr>
            <w:r w:rsidRPr="00AF471F">
              <w:rPr>
                <w:rFonts w:eastAsia="Times New Roman" w:cs="Times New Roman"/>
              </w:rPr>
              <w:t>880</w:t>
            </w:r>
          </w:p>
        </w:tc>
      </w:tr>
    </w:tbl>
    <w:p w:rsidR="00970F69" w:rsidRDefault="00970F69" w:rsidP="00970F69"/>
    <w:p w:rsidR="009070C8" w:rsidRDefault="00970F69" w:rsidP="00970F69">
      <w:pPr>
        <w:spacing w:after="0"/>
        <w:rPr>
          <w:rFonts w:cs="Times New Roman"/>
          <w:szCs w:val="24"/>
        </w:rPr>
      </w:pPr>
      <w:proofErr w:type="gramStart"/>
      <w:r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t xml:space="preserve">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proofErr w:type="gramEnd"/>
      <w:r w:rsidRPr="001549D3">
        <w:rPr>
          <w:rFonts w:cs="Times New Roman"/>
          <w:szCs w:val="24"/>
        </w:rPr>
        <w:t xml:space="preserve"> </w:t>
      </w:r>
      <w:r w:rsidRPr="00017426">
        <w:rPr>
          <w:rFonts w:cs="Times New Roman"/>
          <w:szCs w:val="24"/>
        </w:rPr>
        <w:t>Sediment sulfur fractions (AVS: acid-volatile sulfide, CRS: chromium-reducible sulfur) and isotopic composition (</w:t>
      </w:r>
      <w:r w:rsidRPr="00970F69">
        <w:rPr>
          <w:rFonts w:ascii="Symbol" w:hAnsi="Symbol" w:cs="Times New Roman"/>
          <w:szCs w:val="24"/>
        </w:rPr>
        <w:t></w:t>
      </w:r>
      <w:r w:rsidRPr="00970F69">
        <w:rPr>
          <w:rFonts w:cs="Times New Roman"/>
          <w:szCs w:val="24"/>
          <w:vertAlign w:val="superscript"/>
        </w:rPr>
        <w:t>34</w:t>
      </w:r>
      <w:r w:rsidRPr="00017426">
        <w:rPr>
          <w:rFonts w:cs="Times New Roman"/>
          <w:szCs w:val="24"/>
        </w:rPr>
        <w:t>S in ‰ of</w:t>
      </w:r>
      <w:r w:rsidR="00207DA0">
        <w:rPr>
          <w:rFonts w:cs="Times New Roman"/>
          <w:szCs w:val="24"/>
        </w:rPr>
        <w:t xml:space="preserve"> Vienna</w:t>
      </w:r>
      <w:r w:rsidRPr="00017426">
        <w:rPr>
          <w:rFonts w:cs="Times New Roman"/>
          <w:szCs w:val="24"/>
        </w:rPr>
        <w:t xml:space="preserve"> Canyon </w:t>
      </w:r>
      <w:proofErr w:type="spellStart"/>
      <w:r w:rsidRPr="00017426">
        <w:rPr>
          <w:rFonts w:cs="Times New Roman"/>
          <w:szCs w:val="24"/>
        </w:rPr>
        <w:t>Diabolo</w:t>
      </w:r>
      <w:proofErr w:type="spellEnd"/>
      <w:r w:rsidRPr="00017426">
        <w:rPr>
          <w:rFonts w:cs="Times New Roman"/>
          <w:szCs w:val="24"/>
        </w:rPr>
        <w:t xml:space="preserve"> </w:t>
      </w:r>
      <w:proofErr w:type="spellStart"/>
      <w:r w:rsidRPr="00017426">
        <w:rPr>
          <w:rFonts w:cs="Times New Roman"/>
          <w:szCs w:val="24"/>
        </w:rPr>
        <w:t>Troilite</w:t>
      </w:r>
      <w:proofErr w:type="spellEnd"/>
      <w:r w:rsidRPr="00017426">
        <w:rPr>
          <w:rFonts w:cs="Times New Roman"/>
          <w:szCs w:val="24"/>
        </w:rPr>
        <w:t xml:space="preserve"> (</w:t>
      </w:r>
      <w:r w:rsidR="00207DA0">
        <w:rPr>
          <w:rFonts w:cs="Times New Roman"/>
          <w:szCs w:val="24"/>
        </w:rPr>
        <w:t>V</w:t>
      </w:r>
      <w:r w:rsidRPr="00017426">
        <w:rPr>
          <w:rFonts w:cs="Times New Roman"/>
          <w:szCs w:val="24"/>
        </w:rPr>
        <w:t xml:space="preserve">CDT) standard) of the CRS fraction containing the pyrites, core numbers, section numbers and lithological </w:t>
      </w:r>
    </w:p>
    <w:p w:rsidR="00970F69" w:rsidRDefault="00970F69" w:rsidP="00970F69">
      <w:pPr>
        <w:spacing w:after="0"/>
        <w:rPr>
          <w:rFonts w:cs="Times New Roman"/>
          <w:szCs w:val="24"/>
        </w:rPr>
      </w:pPr>
      <w:r w:rsidRPr="00017426">
        <w:rPr>
          <w:rFonts w:cs="Times New Roman"/>
          <w:szCs w:val="24"/>
        </w:rPr>
        <w:t>unit.</w:t>
      </w:r>
    </w:p>
    <w:p w:rsidR="00970F69" w:rsidRPr="00017426" w:rsidRDefault="00970F69" w:rsidP="00970F69">
      <w:pPr>
        <w:spacing w:after="0"/>
        <w:rPr>
          <w:rFonts w:cs="Times New Roman"/>
          <w:szCs w:val="24"/>
        </w:rPr>
      </w:pPr>
    </w:p>
    <w:tbl>
      <w:tblPr>
        <w:tblW w:w="7659" w:type="dxa"/>
        <w:jc w:val="center"/>
        <w:tblInd w:w="-537" w:type="dxa"/>
        <w:tblLook w:val="04A0" w:firstRow="1" w:lastRow="0" w:firstColumn="1" w:lastColumn="0" w:noHBand="0" w:noVBand="1"/>
      </w:tblPr>
      <w:tblGrid>
        <w:gridCol w:w="1271"/>
        <w:gridCol w:w="1710"/>
        <w:gridCol w:w="1418"/>
        <w:gridCol w:w="992"/>
        <w:gridCol w:w="992"/>
        <w:gridCol w:w="1276"/>
      </w:tblGrid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C0588" w:rsidRPr="00A509E9" w:rsidRDefault="001C0588" w:rsidP="001C0588">
            <w:pPr>
              <w:pStyle w:val="NoSpacing"/>
              <w:rPr>
                <w:b/>
              </w:rPr>
            </w:pPr>
            <w:r>
              <w:rPr>
                <w:b/>
              </w:rPr>
              <w:t>Core-</w:t>
            </w:r>
          </w:p>
          <w:p w:rsidR="001C0588" w:rsidRPr="00A509E9" w:rsidRDefault="001C0588" w:rsidP="001C0588">
            <w:pPr>
              <w:pStyle w:val="NoSpacing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  <w:rPr>
                <w:b/>
              </w:rPr>
            </w:pPr>
            <w:r>
              <w:rPr>
                <w:b/>
              </w:rPr>
              <w:t>Depth</w:t>
            </w:r>
            <w:r w:rsidRPr="00A509E9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0588" w:rsidRPr="00A509E9" w:rsidRDefault="001C0588" w:rsidP="001C0588">
            <w:pPr>
              <w:pStyle w:val="NoSpacing"/>
              <w:jc w:val="center"/>
              <w:rPr>
                <w:b/>
              </w:rPr>
            </w:pPr>
            <w:r w:rsidRPr="00A509E9">
              <w:rPr>
                <w:b/>
              </w:rPr>
              <w:t>Unit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rPr>
                <w:b/>
              </w:rPr>
            </w:pPr>
            <w:r w:rsidRPr="00A509E9">
              <w:rPr>
                <w:b/>
              </w:rPr>
              <w:t>AVS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rPr>
                <w:b/>
              </w:rPr>
            </w:pPr>
            <w:r w:rsidRPr="00A509E9">
              <w:rPr>
                <w:b/>
              </w:rPr>
              <w:t>CRS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rPr>
                <w:b/>
              </w:rPr>
            </w:pPr>
            <w:r w:rsidRPr="00A509E9">
              <w:rPr>
                <w:rFonts w:ascii="Symbol" w:hAnsi="Symbol"/>
                <w:b/>
              </w:rPr>
              <w:t></w:t>
            </w:r>
            <w:r w:rsidRPr="00A509E9">
              <w:rPr>
                <w:b/>
                <w:vertAlign w:val="superscript"/>
              </w:rPr>
              <w:t>34</w:t>
            </w:r>
            <w:r w:rsidRPr="00A509E9">
              <w:rPr>
                <w:b/>
              </w:rPr>
              <w:t>S-CRS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0588" w:rsidRPr="00A509E9" w:rsidRDefault="001C0588" w:rsidP="00585F9F">
            <w:pPr>
              <w:pStyle w:val="NoSpacing"/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[</w:t>
            </w:r>
            <w:proofErr w:type="spellStart"/>
            <w:r>
              <w:t>mbsf</w:t>
            </w:r>
            <w:proofErr w:type="spellEnd"/>
            <w:r w:rsidRPr="00A509E9"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0588" w:rsidRPr="00A509E9" w:rsidRDefault="001C0588" w:rsidP="00585F9F">
            <w:pPr>
              <w:pStyle w:val="NoSpacing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[ppm]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[ppm]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207DA0">
            <w:pPr>
              <w:pStyle w:val="NoSpacing"/>
            </w:pPr>
            <w:r w:rsidRPr="00A509E9">
              <w:t>[‰]</w:t>
            </w:r>
          </w:p>
        </w:tc>
      </w:tr>
      <w:tr w:rsidR="001C0588" w:rsidRPr="00A509E9" w:rsidTr="001C0588">
        <w:trPr>
          <w:trHeight w:val="105"/>
          <w:jc w:val="center"/>
        </w:trPr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>
              <w:t>2R-3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1289.52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-3.2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3R</w:t>
            </w:r>
            <w:r>
              <w:t>-3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1372.675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6180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-33.1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4R</w:t>
            </w:r>
            <w:r>
              <w:t>-3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1378.15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28.8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5R</w:t>
            </w:r>
            <w:r>
              <w:t>-3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1492.165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7711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-3.9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6R</w:t>
            </w:r>
            <w:r>
              <w:t>-3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1496.48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6427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rPr>
                <w:rFonts w:cs="Arial"/>
              </w:rPr>
            </w:pPr>
            <w:r w:rsidRPr="00A509E9">
              <w:rPr>
                <w:rFonts w:cs="Arial"/>
              </w:rPr>
              <w:t>-15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7R</w:t>
            </w:r>
            <w:r>
              <w:t>-1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1599.59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10753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3.9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8L</w:t>
            </w:r>
            <w:r>
              <w:t>-5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1607.435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8L</w:t>
            </w:r>
            <w:r>
              <w:t>-9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1611.25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6342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-30.7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9R</w:t>
            </w:r>
            <w:r>
              <w:t>-4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1628.446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2.25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5422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-29.4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10R</w:t>
            </w:r>
            <w:r>
              <w:t>-2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1631.525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6680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-17.6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11R</w:t>
            </w:r>
            <w:r>
              <w:t>-3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1739.72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4880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-37.2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11R</w:t>
            </w:r>
            <w:r>
              <w:t>-5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1743.165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1365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-35.8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12R</w:t>
            </w:r>
            <w:r>
              <w:t>-6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1753.845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1545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0.8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12R</w:t>
            </w:r>
            <w:r>
              <w:t>-7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1754.76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5806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-3.1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13R</w:t>
            </w:r>
            <w:r>
              <w:t>-2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1758.3525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7721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rPr>
                <w:rFonts w:cs="Arial"/>
              </w:rPr>
            </w:pPr>
            <w:r w:rsidRPr="00A509E9">
              <w:rPr>
                <w:rFonts w:cs="Arial"/>
              </w:rPr>
              <w:t>13.7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13R</w:t>
            </w:r>
            <w:r>
              <w:t>-8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1765.204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0.40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8271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-4.5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14R</w:t>
            </w:r>
            <w:r>
              <w:t>-2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1822.535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9638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-32.4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15R</w:t>
            </w:r>
            <w:r>
              <w:t>-2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1920.48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15R</w:t>
            </w:r>
            <w:r>
              <w:t>-5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1923.74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723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45.6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15R</w:t>
            </w:r>
            <w:r>
              <w:t>-7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1925.835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2681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29.3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16R</w:t>
            </w:r>
            <w:r>
              <w:t>-2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1929.6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2132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30.8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17R</w:t>
            </w:r>
            <w:r>
              <w:t>-1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1936.525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1.34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759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35.3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17R</w:t>
            </w:r>
            <w:r>
              <w:t>-4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1939.6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1049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27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17R</w:t>
            </w:r>
            <w:r>
              <w:t>-9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1944.315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1213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26.7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18R</w:t>
            </w:r>
            <w:r>
              <w:t>-1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1946.6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1952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-13.4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19R</w:t>
            </w:r>
            <w:r>
              <w:t>-1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1951.181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1250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26.4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19R</w:t>
            </w:r>
            <w:r>
              <w:t>-5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1954.2585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1.68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1397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18.7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19R</w:t>
            </w:r>
            <w:r>
              <w:t>-8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1958.476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1843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33.2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lastRenderedPageBreak/>
              <w:t>20R</w:t>
            </w:r>
            <w:r>
              <w:t>-3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1961.63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3348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20.1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20R</w:t>
            </w:r>
            <w:r>
              <w:t>-7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1966.38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2093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43.3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21R</w:t>
            </w:r>
            <w:r>
              <w:t>-4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1971.775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2287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40.5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23R</w:t>
            </w:r>
            <w:r>
              <w:t>-8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1989.344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39.7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24R</w:t>
            </w:r>
            <w:r>
              <w:t>-3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1993.815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3.7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25R</w:t>
            </w:r>
            <w:r>
              <w:t>-1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1995.83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21.5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25R</w:t>
            </w:r>
            <w:r>
              <w:t>-2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1997.185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8.2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25R</w:t>
            </w:r>
            <w:r>
              <w:t>-3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1999.125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235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2.6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25R</w:t>
            </w:r>
            <w:r>
              <w:t>-4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1999.305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4.2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26R</w:t>
            </w:r>
            <w:r>
              <w:t>-2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2111.4255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3265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-28.6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26R</w:t>
            </w:r>
            <w:r>
              <w:t>-6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2115.657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1947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-21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26R</w:t>
            </w:r>
            <w:r>
              <w:t>-7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2117.8785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4854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-21.7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27R</w:t>
            </w:r>
            <w:r>
              <w:t>-2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2201.7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3656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-27.1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28R</w:t>
            </w:r>
            <w:r>
              <w:t>-3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2302.937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1111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11.7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28R</w:t>
            </w:r>
            <w:r>
              <w:t>-6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2306.773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23.9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29R</w:t>
            </w:r>
            <w:r>
              <w:t>-2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2401.618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5.4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29R</w:t>
            </w:r>
            <w:r>
              <w:t>-5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2405.6475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809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-4.6</w:t>
            </w:r>
          </w:p>
        </w:tc>
      </w:tr>
      <w:tr w:rsidR="001C0588" w:rsidRPr="00A509E9" w:rsidTr="001C0588">
        <w:trPr>
          <w:trHeight w:val="255"/>
          <w:jc w:val="center"/>
        </w:trPr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30R</w:t>
            </w:r>
            <w:r>
              <w:t>-4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2449.845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IV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3471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2.6</w:t>
            </w:r>
          </w:p>
        </w:tc>
      </w:tr>
      <w:tr w:rsidR="001C0588" w:rsidRPr="00A509E9" w:rsidTr="001C0588">
        <w:trPr>
          <w:trHeight w:val="188"/>
          <w:jc w:val="center"/>
        </w:trPr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1C0588">
            <w:pPr>
              <w:pStyle w:val="NoSpacing"/>
              <w:jc w:val="center"/>
            </w:pPr>
            <w:r w:rsidRPr="00A509E9">
              <w:t>32R</w:t>
            </w:r>
            <w:r>
              <w:t>-2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0588" w:rsidRPr="00A509E9" w:rsidRDefault="001C0588" w:rsidP="001C0588">
            <w:pPr>
              <w:pStyle w:val="NoSpacing"/>
            </w:pPr>
            <w:r w:rsidRPr="00A509E9">
              <w:t>2458.3215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  <w:jc w:val="center"/>
            </w:pPr>
            <w:r w:rsidRPr="00A509E9"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588" w:rsidRPr="00A509E9" w:rsidRDefault="001C0588" w:rsidP="00585F9F">
            <w:pPr>
              <w:pStyle w:val="NoSpacing"/>
            </w:pPr>
            <w:r w:rsidRPr="00A509E9">
              <w:t>6.7</w:t>
            </w:r>
          </w:p>
        </w:tc>
      </w:tr>
    </w:tbl>
    <w:p w:rsidR="00970F69" w:rsidRDefault="00970F69" w:rsidP="00970F69"/>
    <w:p w:rsidR="00585F9F" w:rsidRPr="00994A3D" w:rsidRDefault="00585F9F" w:rsidP="00585F9F">
      <w:pPr>
        <w:pStyle w:val="Heading1"/>
      </w:pPr>
      <w:bookmarkStart w:id="0" w:name="_GoBack"/>
      <w:r w:rsidRPr="00994A3D">
        <w:t xml:space="preserve">Supplementary </w:t>
      </w:r>
      <w:r>
        <w:t>Movie</w:t>
      </w:r>
    </w:p>
    <w:p w:rsidR="00970F69" w:rsidRDefault="00585F9F" w:rsidP="002B4A57">
      <w:pPr>
        <w:keepNext/>
        <w:rPr>
          <w:rFonts w:cs="Times New Roman"/>
          <w:szCs w:val="24"/>
        </w:rPr>
      </w:pPr>
      <w:r w:rsidRPr="0057723D">
        <w:rPr>
          <w:rFonts w:cs="Times New Roman"/>
          <w:szCs w:val="24"/>
        </w:rPr>
        <w:t>File</w:t>
      </w:r>
      <w:r>
        <w:rPr>
          <w:rFonts w:cs="Times New Roman"/>
          <w:szCs w:val="24"/>
        </w:rPr>
        <w:t xml:space="preserve"> name: C0020A-30R-2.mov</w:t>
      </w:r>
    </w:p>
    <w:p w:rsidR="00802045" w:rsidRDefault="00B12CEE" w:rsidP="002B4A57">
      <w:pPr>
        <w:keepNext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Movie file available via </w:t>
      </w:r>
      <w:proofErr w:type="spellStart"/>
      <w:r>
        <w:rPr>
          <w:rFonts w:cs="Times New Roman"/>
          <w:szCs w:val="24"/>
        </w:rPr>
        <w:t>F</w:t>
      </w:r>
      <w:r w:rsidR="00802045">
        <w:rPr>
          <w:rFonts w:cs="Times New Roman"/>
          <w:szCs w:val="24"/>
        </w:rPr>
        <w:t>igshare</w:t>
      </w:r>
      <w:proofErr w:type="spellEnd"/>
      <w:r w:rsidR="00802045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Link: </w:t>
      </w:r>
      <w:r w:rsidR="00802045" w:rsidRPr="00802045">
        <w:rPr>
          <w:rFonts w:cs="Times New Roman"/>
          <w:szCs w:val="24"/>
        </w:rPr>
        <w:t>https://figshare.com/s/6ac50e6f31d5ce0b45f3</w:t>
      </w:r>
    </w:p>
    <w:bookmarkEnd w:id="0"/>
    <w:p w:rsidR="00585F9F" w:rsidRPr="0057723D" w:rsidRDefault="00585F9F" w:rsidP="002B4A57">
      <w:pPr>
        <w:keepNext/>
        <w:rPr>
          <w:rFonts w:cs="Times New Roman"/>
          <w:szCs w:val="24"/>
        </w:rPr>
      </w:pPr>
      <w:r>
        <w:rPr>
          <w:rFonts w:cs="Times New Roman"/>
          <w:szCs w:val="24"/>
        </w:rPr>
        <w:t>Description: Video clip of the computer tomography (CT) scan of core section 30R-2</w:t>
      </w:r>
      <w:r w:rsidR="0057723D">
        <w:rPr>
          <w:rFonts w:cs="Times New Roman"/>
          <w:szCs w:val="24"/>
        </w:rPr>
        <w:t xml:space="preserve"> containing</w:t>
      </w:r>
      <w:r>
        <w:rPr>
          <w:rFonts w:cs="Times New Roman"/>
          <w:szCs w:val="24"/>
        </w:rPr>
        <w:t xml:space="preserve"> the deep lignite layer showing the locations of fractures as well as the occurrence of pyrite</w:t>
      </w:r>
      <w:r w:rsidR="001C0588">
        <w:rPr>
          <w:rFonts w:cs="Times New Roman"/>
          <w:szCs w:val="24"/>
        </w:rPr>
        <w:t xml:space="preserve"> (bright spots)</w:t>
      </w:r>
      <w:r>
        <w:rPr>
          <w:rFonts w:cs="Times New Roman"/>
          <w:szCs w:val="24"/>
        </w:rPr>
        <w:t xml:space="preserve"> in </w:t>
      </w:r>
      <w:r w:rsidR="0057723D">
        <w:rPr>
          <w:rFonts w:cs="Times New Roman"/>
          <w:szCs w:val="24"/>
        </w:rPr>
        <w:t>veins</w:t>
      </w:r>
      <w:r>
        <w:rPr>
          <w:rFonts w:cs="Times New Roman"/>
          <w:szCs w:val="24"/>
        </w:rPr>
        <w:t xml:space="preserve"> and </w:t>
      </w:r>
      <w:r w:rsidR="0057723D">
        <w:rPr>
          <w:rFonts w:cs="Times New Roman"/>
          <w:szCs w:val="24"/>
        </w:rPr>
        <w:t>granules</w:t>
      </w:r>
      <w:r>
        <w:rPr>
          <w:rFonts w:cs="Times New Roman"/>
          <w:szCs w:val="24"/>
        </w:rPr>
        <w:t xml:space="preserve">. </w:t>
      </w:r>
    </w:p>
    <w:p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88" w:rsidRDefault="001C0588" w:rsidP="00117666">
      <w:pPr>
        <w:spacing w:after="0"/>
      </w:pPr>
      <w:r>
        <w:separator/>
      </w:r>
    </w:p>
  </w:endnote>
  <w:endnote w:type="continuationSeparator" w:id="0">
    <w:p w:rsidR="001C0588" w:rsidRDefault="001C058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88" w:rsidRPr="00577C4C" w:rsidRDefault="001C0588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C0588" w:rsidRPr="00577C4C" w:rsidRDefault="001C0588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E0E5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1C0588" w:rsidRPr="00577C4C" w:rsidRDefault="001C0588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E0E51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88" w:rsidRPr="00577C4C" w:rsidRDefault="001C0588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C0588" w:rsidRPr="00577C4C" w:rsidRDefault="001C0588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E0E5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1C0588" w:rsidRPr="00577C4C" w:rsidRDefault="001C0588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E0E51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88" w:rsidRDefault="001C0588" w:rsidP="00117666">
      <w:pPr>
        <w:spacing w:after="0"/>
      </w:pPr>
      <w:r>
        <w:separator/>
      </w:r>
    </w:p>
  </w:footnote>
  <w:footnote w:type="continuationSeparator" w:id="0">
    <w:p w:rsidR="001C0588" w:rsidRDefault="001C058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88" w:rsidRPr="009151AA" w:rsidRDefault="001C0588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88" w:rsidRDefault="001C0588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E9"/>
    <w:rsid w:val="0001436A"/>
    <w:rsid w:val="00034304"/>
    <w:rsid w:val="00035434"/>
    <w:rsid w:val="00050F3E"/>
    <w:rsid w:val="00052A14"/>
    <w:rsid w:val="00077D53"/>
    <w:rsid w:val="00105FD9"/>
    <w:rsid w:val="001136C0"/>
    <w:rsid w:val="00117666"/>
    <w:rsid w:val="00153ADC"/>
    <w:rsid w:val="001549D3"/>
    <w:rsid w:val="00160065"/>
    <w:rsid w:val="00177D84"/>
    <w:rsid w:val="001874DC"/>
    <w:rsid w:val="001C0588"/>
    <w:rsid w:val="00207DA0"/>
    <w:rsid w:val="00246745"/>
    <w:rsid w:val="00267D18"/>
    <w:rsid w:val="002868E2"/>
    <w:rsid w:val="002869C3"/>
    <w:rsid w:val="002936E4"/>
    <w:rsid w:val="002B4A57"/>
    <w:rsid w:val="002C74CA"/>
    <w:rsid w:val="002F29D4"/>
    <w:rsid w:val="003544FB"/>
    <w:rsid w:val="003B0DD2"/>
    <w:rsid w:val="003D2F2D"/>
    <w:rsid w:val="00401590"/>
    <w:rsid w:val="00447801"/>
    <w:rsid w:val="00452E9C"/>
    <w:rsid w:val="004735C8"/>
    <w:rsid w:val="004961FF"/>
    <w:rsid w:val="00517A89"/>
    <w:rsid w:val="005250F2"/>
    <w:rsid w:val="00571147"/>
    <w:rsid w:val="0057723D"/>
    <w:rsid w:val="00585F9F"/>
    <w:rsid w:val="00593EEA"/>
    <w:rsid w:val="005A5EEE"/>
    <w:rsid w:val="006375C7"/>
    <w:rsid w:val="00654E8F"/>
    <w:rsid w:val="00660D05"/>
    <w:rsid w:val="006820B1"/>
    <w:rsid w:val="006B4CE9"/>
    <w:rsid w:val="006B7D14"/>
    <w:rsid w:val="006C6360"/>
    <w:rsid w:val="00701727"/>
    <w:rsid w:val="0070566C"/>
    <w:rsid w:val="00714C50"/>
    <w:rsid w:val="00725A7D"/>
    <w:rsid w:val="007501BE"/>
    <w:rsid w:val="00790BB3"/>
    <w:rsid w:val="007C206C"/>
    <w:rsid w:val="007E0E51"/>
    <w:rsid w:val="00802045"/>
    <w:rsid w:val="008078B7"/>
    <w:rsid w:val="00817DD6"/>
    <w:rsid w:val="00885156"/>
    <w:rsid w:val="008E4F85"/>
    <w:rsid w:val="008F33DF"/>
    <w:rsid w:val="009070C8"/>
    <w:rsid w:val="009151AA"/>
    <w:rsid w:val="0093429D"/>
    <w:rsid w:val="00943573"/>
    <w:rsid w:val="00970F69"/>
    <w:rsid w:val="00970F7D"/>
    <w:rsid w:val="00994A3D"/>
    <w:rsid w:val="009C2B12"/>
    <w:rsid w:val="00A050B1"/>
    <w:rsid w:val="00A174D9"/>
    <w:rsid w:val="00AB6715"/>
    <w:rsid w:val="00B12CEE"/>
    <w:rsid w:val="00B1671E"/>
    <w:rsid w:val="00B25EB8"/>
    <w:rsid w:val="00B37F4D"/>
    <w:rsid w:val="00B94904"/>
    <w:rsid w:val="00C52A7B"/>
    <w:rsid w:val="00C56BAF"/>
    <w:rsid w:val="00C679AA"/>
    <w:rsid w:val="00C75972"/>
    <w:rsid w:val="00CD066B"/>
    <w:rsid w:val="00CE4FEE"/>
    <w:rsid w:val="00DB59C3"/>
    <w:rsid w:val="00DC259A"/>
    <w:rsid w:val="00DE23E8"/>
    <w:rsid w:val="00DE76CE"/>
    <w:rsid w:val="00E52377"/>
    <w:rsid w:val="00E64E17"/>
    <w:rsid w:val="00E866C9"/>
    <w:rsid w:val="00EA3D3C"/>
    <w:rsid w:val="00F46900"/>
    <w:rsid w:val="00F61D8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gl\AppData\Local\Temp\Temp1_Frontiers_Supplementary_Material.zip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A612DA38D149ADF48D3242A3DCE8" ma:contentTypeVersion="7" ma:contentTypeDescription="Create a new document." ma:contentTypeScope="" ma:versionID="03421108f7cd4b46e7a728a847026b0a">
  <xsd:schema xmlns:xsd="http://www.w3.org/2001/XMLSchema" xmlns:p="http://schemas.microsoft.com/office/2006/metadata/properties" xmlns:ns2="51a4dbfa-0bca-4c6a-9525-343a3bff2cd1" targetNamespace="http://schemas.microsoft.com/office/2006/metadata/properties" ma:root="true" ma:fieldsID="b3c40b11ea1b7ed52142b151f7ded52a" ns2:_="">
    <xsd:import namespace="51a4dbfa-0bca-4c6a-9525-343a3bff2cd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1a4dbfa-0bca-4c6a-9525-343a3bff2cd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hecked_x0020_Out_x0020_To xmlns="51a4dbfa-0bca-4c6a-9525-343a3bff2cd1">
      <UserInfo>
        <DisplayName/>
        <AccountId xsi:nil="true"/>
        <AccountType/>
      </UserInfo>
    </Checked_x0020_Out_x0020_To>
    <TitleName xmlns="51a4dbfa-0bca-4c6a-9525-343a3bff2cd1">Data Sheet 1.DOCX</TitleName>
    <DocumentId xmlns="51a4dbfa-0bca-4c6a-9525-343a3bff2cd1">Data Sheet 1.DOCX</DocumentId>
    <IsDeleted xmlns="51a4dbfa-0bca-4c6a-9525-343a3bff2cd1">false</IsDeleted>
    <DocumentType xmlns="51a4dbfa-0bca-4c6a-9525-343a3bff2cd1">Data Sheet</DocumentType>
    <FileFormat xmlns="51a4dbfa-0bca-4c6a-9525-343a3bff2cd1">DOCX</FileFormat>
    <StageName xmlns="51a4dbfa-0bca-4c6a-9525-343a3bff2cd1" xsi:nil="true"/>
  </documentManagement>
</p:properties>
</file>

<file path=customXml/itemProps1.xml><?xml version="1.0" encoding="utf-8"?>
<ds:datastoreItem xmlns:ds="http://schemas.openxmlformats.org/officeDocument/2006/customXml" ds:itemID="{75C45F7A-560A-4FEC-B8F2-795A438AD8DD}"/>
</file>

<file path=customXml/itemProps2.xml><?xml version="1.0" encoding="utf-8"?>
<ds:datastoreItem xmlns:ds="http://schemas.openxmlformats.org/officeDocument/2006/customXml" ds:itemID="{C0D0728E-5250-42CD-9117-D4FD8AE6EE8F}"/>
</file>

<file path=customXml/itemProps3.xml><?xml version="1.0" encoding="utf-8"?>
<ds:datastoreItem xmlns:ds="http://schemas.openxmlformats.org/officeDocument/2006/customXml" ds:itemID="{15F94D35-3971-49A6-B663-1A9619899966}"/>
</file>

<file path=customXml/itemProps4.xml><?xml version="1.0" encoding="utf-8"?>
<ds:datastoreItem xmlns:ds="http://schemas.openxmlformats.org/officeDocument/2006/customXml" ds:itemID="{AC8C1A24-C486-4D28-BEF8-8037AFB241CD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NFIT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Clemens Glombitza</dc:creator>
  <cp:lastModifiedBy>Clemens Glombitza</cp:lastModifiedBy>
  <cp:revision>2</cp:revision>
  <cp:lastPrinted>2016-07-15T08:20:00Z</cp:lastPrinted>
  <dcterms:created xsi:type="dcterms:W3CDTF">2016-08-30T09:27:00Z</dcterms:created>
  <dcterms:modified xsi:type="dcterms:W3CDTF">2016-08-30T09:27:00Z</dcterms:modified>
</cp:coreProperties>
</file>