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F1" w:rsidRDefault="00F563F1" w:rsidP="00F563F1">
      <w:pPr>
        <w:pStyle w:val="Heading1"/>
        <w:spacing w:line="480" w:lineRule="auto"/>
      </w:pPr>
    </w:p>
    <w:p w:rsidR="00F563F1" w:rsidRDefault="00F563F1" w:rsidP="00F563F1">
      <w:pPr>
        <w:pStyle w:val="Heading1"/>
        <w:spacing w:line="480" w:lineRule="auto"/>
      </w:pPr>
      <w:r>
        <w:t xml:space="preserve"> Supplementary material</w:t>
      </w:r>
    </w:p>
    <w:p w:rsidR="00F563F1" w:rsidRPr="00A07C7C" w:rsidRDefault="00F563F1" w:rsidP="00F563F1">
      <w:pPr>
        <w:widowControl w:val="0"/>
        <w:spacing w:line="480" w:lineRule="auto"/>
        <w:rPr>
          <w:b/>
        </w:rPr>
      </w:pPr>
      <w:r w:rsidRPr="00A07C7C">
        <w:rPr>
          <w:b/>
        </w:rPr>
        <w:t xml:space="preserve">Precision effects </w:t>
      </w:r>
      <w:r>
        <w:rPr>
          <w:b/>
        </w:rPr>
        <w:t>using condition-wise regression</w:t>
      </w:r>
    </w:p>
    <w:p w:rsidR="00F563F1" w:rsidRDefault="00F563F1" w:rsidP="00F563F1">
      <w:pPr>
        <w:widowControl w:val="0"/>
      </w:pPr>
      <w:r>
        <w:t xml:space="preserve">Participants might systematically over- or under-estimate durations under certain conditions. Removing such effects is desirable because biases do not necessarily indicate decay of memory; for example, a large but stable bias is compatible with a strong memory representation of the item in memory. To rule out that bias could account for the variation in precision across conditions, we examined errors relative to a regression line in each condition. A separate linear regression was performed for each set size, serial position, and (in </w:t>
      </w:r>
      <w:proofErr w:type="spellStart"/>
      <w:r>
        <w:t>Expts</w:t>
      </w:r>
      <w:proofErr w:type="spellEnd"/>
      <w:r>
        <w:t xml:space="preserve"> 2 and 3) broken down by filtering or expectation. This ensures that the precision measure calculated from the residuals is independent of perceptual bias. </w:t>
      </w:r>
    </w:p>
    <w:p w:rsidR="00F563F1" w:rsidRDefault="00F563F1" w:rsidP="00F563F1">
      <w:pPr>
        <w:suppressAutoHyphens w:val="0"/>
      </w:pPr>
      <w:r>
        <w:br w:type="page"/>
      </w:r>
      <w:bookmarkStart w:id="0" w:name="_GoBack"/>
      <w:bookmarkEnd w:id="0"/>
    </w:p>
    <w:p w:rsidR="00F563F1" w:rsidRDefault="00F563F1" w:rsidP="00F563F1">
      <w:pPr>
        <w:widowControl w:val="0"/>
        <w:spacing w:line="480" w:lineRule="auto"/>
      </w:pPr>
    </w:p>
    <w:p w:rsidR="00F563F1" w:rsidRDefault="00F563F1" w:rsidP="00F563F1">
      <w:pPr>
        <w:rPr>
          <w:noProof/>
        </w:rPr>
      </w:pPr>
      <w:r w:rsidRPr="008D031F">
        <w:rPr>
          <w:noProof/>
        </w:rPr>
        <w:drawing>
          <wp:inline distT="0" distB="0" distL="0" distR="0" wp14:anchorId="509CEA8F" wp14:editId="2EDF631E">
            <wp:extent cx="5736590" cy="31026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6590" cy="3102610"/>
                    </a:xfrm>
                    <a:prstGeom prst="rect">
                      <a:avLst/>
                    </a:prstGeom>
                    <a:noFill/>
                    <a:ln>
                      <a:noFill/>
                    </a:ln>
                  </pic:spPr>
                </pic:pic>
              </a:graphicData>
            </a:graphic>
          </wp:inline>
        </w:drawing>
      </w:r>
    </w:p>
    <w:p w:rsidR="00F563F1" w:rsidRPr="004D2C08" w:rsidRDefault="00F563F1" w:rsidP="00F563F1">
      <w:pPr>
        <w:rPr>
          <w:b/>
          <w:noProof/>
        </w:rPr>
      </w:pPr>
      <w:r w:rsidRPr="004D2C08">
        <w:rPr>
          <w:b/>
          <w:noProof/>
        </w:rPr>
        <w:t>Figure S1: Regression per condition separates out effects on biases and variation.</w:t>
      </w:r>
    </w:p>
    <w:p w:rsidR="00F563F1" w:rsidRDefault="00F563F1" w:rsidP="00F563F1">
      <w:pPr>
        <w:rPr>
          <w:noProof/>
        </w:rPr>
      </w:pPr>
      <w:r>
        <w:rPr>
          <w:noProof/>
        </w:rPr>
        <w:t>Horizontal: first row is data from Expt 1, second row Expt 2, third row Expt 3.</w:t>
      </w:r>
    </w:p>
    <w:p w:rsidR="00F563F1" w:rsidRDefault="00F563F1" w:rsidP="00F563F1">
      <w:pPr>
        <w:rPr>
          <w:noProof/>
        </w:rPr>
      </w:pPr>
    </w:p>
    <w:p w:rsidR="00F563F1" w:rsidRDefault="00F563F1" w:rsidP="00F563F1">
      <w:pPr>
        <w:rPr>
          <w:noProof/>
        </w:rPr>
      </w:pPr>
      <w:r>
        <w:rPr>
          <w:noProof/>
        </w:rPr>
        <w:t xml:space="preserve">A-F: Linear regression was performed on each subject and each condition, and results in an intercept and slope for each condition. The means and within-subject standard errors of these two parameter estimates across participants are plotted for each condition. There were significant effects of set size and serial position in all experiments. Importantly these parameters were not affected by the manipulations of Expts 2 and 3, indicating that the effects of filtering and expectation could not be explained in terms of bias to report intervals as longer or shorter. </w:t>
      </w:r>
    </w:p>
    <w:p w:rsidR="00F563F1" w:rsidRDefault="00F563F1" w:rsidP="00F563F1">
      <w:pPr>
        <w:rPr>
          <w:noProof/>
        </w:rPr>
      </w:pPr>
    </w:p>
    <w:p w:rsidR="00F563F1" w:rsidRDefault="00F563F1" w:rsidP="00F563F1">
      <w:pPr>
        <w:rPr>
          <w:noProof/>
        </w:rPr>
      </w:pPr>
      <w:r>
        <w:rPr>
          <w:noProof/>
        </w:rPr>
        <w:t>G-H: To establish that the attentional effects were in fact due to variability, the residuals from the condition-wise regression were analysed just as in the primary analysis, by calculating the effective precision (1/standard deviation) for each condition. These are shown as subject means with standard error.   The primary findings were reproduced, indicating that even after accounting for any differences in timimg bias, both filtering and expectation led to a precision difference when a single item was presented.</w:t>
      </w:r>
    </w:p>
    <w:p w:rsidR="00F563F1" w:rsidRDefault="00F563F1" w:rsidP="00F563F1">
      <w:pPr>
        <w:rPr>
          <w:noProof/>
        </w:rPr>
      </w:pPr>
    </w:p>
    <w:p w:rsidR="00F563F1" w:rsidRDefault="00F563F1" w:rsidP="00F563F1">
      <w:pPr>
        <w:rPr>
          <w:noProof/>
        </w:rPr>
      </w:pPr>
      <w:r>
        <w:rPr>
          <w:noProof/>
        </w:rPr>
        <w:t xml:space="preserve">J-L: The raw error was calculated as the actual response duration minus the target duration on each trial. These values do not show significant effects of filtering or expectation, but would be expected to show a mixture of effects. </w:t>
      </w:r>
    </w:p>
    <w:p w:rsidR="00F563F1" w:rsidRDefault="00F563F1" w:rsidP="00F563F1">
      <w:pPr>
        <w:widowControl w:val="0"/>
        <w:spacing w:line="480" w:lineRule="auto"/>
      </w:pPr>
    </w:p>
    <w:p w:rsidR="00F563F1" w:rsidRDefault="00F563F1" w:rsidP="00F563F1">
      <w:pPr>
        <w:suppressAutoHyphens w:val="0"/>
      </w:pPr>
      <w:r>
        <w:br w:type="page"/>
      </w:r>
    </w:p>
    <w:p w:rsidR="00F563F1" w:rsidRDefault="00F563F1" w:rsidP="00F563F1">
      <w:pPr>
        <w:widowControl w:val="0"/>
        <w:spacing w:line="480" w:lineRule="auto"/>
      </w:pPr>
    </w:p>
    <w:p w:rsidR="00F563F1" w:rsidRDefault="00F563F1" w:rsidP="00F563F1">
      <w:pPr>
        <w:suppressAutoHyphens w:val="0"/>
        <w:ind w:left="72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800"/>
        <w:gridCol w:w="785"/>
        <w:gridCol w:w="660"/>
        <w:gridCol w:w="661"/>
        <w:gridCol w:w="661"/>
        <w:gridCol w:w="661"/>
        <w:gridCol w:w="661"/>
        <w:gridCol w:w="661"/>
        <w:gridCol w:w="661"/>
        <w:gridCol w:w="661"/>
      </w:tblGrid>
      <w:tr w:rsidR="00F563F1" w:rsidRPr="00691BDE" w:rsidTr="009C3FC0">
        <w:tc>
          <w:tcPr>
            <w:tcW w:w="1134" w:type="dxa"/>
            <w:shd w:val="clear" w:color="auto" w:fill="auto"/>
          </w:tcPr>
          <w:p w:rsidR="00F563F1" w:rsidRPr="00691BDE" w:rsidRDefault="00F563F1" w:rsidP="009C3FC0">
            <w:pPr>
              <w:rPr>
                <w:sz w:val="20"/>
                <w:szCs w:val="20"/>
              </w:rPr>
            </w:pPr>
            <w:r w:rsidRPr="00691BDE">
              <w:rPr>
                <w:sz w:val="20"/>
                <w:szCs w:val="20"/>
              </w:rPr>
              <w:t>Paired t-tests</w:t>
            </w:r>
          </w:p>
        </w:tc>
        <w:tc>
          <w:tcPr>
            <w:tcW w:w="808" w:type="dxa"/>
            <w:shd w:val="clear" w:color="auto" w:fill="auto"/>
          </w:tcPr>
          <w:p w:rsidR="00F563F1" w:rsidRPr="00691BDE" w:rsidRDefault="00F563F1" w:rsidP="009C3FC0">
            <w:pPr>
              <w:rPr>
                <w:sz w:val="20"/>
                <w:szCs w:val="20"/>
              </w:rPr>
            </w:pPr>
            <w:r w:rsidRPr="00691BDE">
              <w:rPr>
                <w:sz w:val="20"/>
                <w:szCs w:val="20"/>
              </w:rPr>
              <w:t>1</w:t>
            </w:r>
          </w:p>
        </w:tc>
        <w:tc>
          <w:tcPr>
            <w:tcW w:w="808" w:type="dxa"/>
            <w:shd w:val="clear" w:color="auto" w:fill="auto"/>
          </w:tcPr>
          <w:p w:rsidR="00F563F1" w:rsidRPr="00691BDE" w:rsidRDefault="00F563F1" w:rsidP="009C3FC0">
            <w:pPr>
              <w:rPr>
                <w:sz w:val="20"/>
                <w:szCs w:val="20"/>
              </w:rPr>
            </w:pPr>
            <w:r w:rsidRPr="00691BDE">
              <w:rPr>
                <w:sz w:val="20"/>
                <w:szCs w:val="20"/>
              </w:rPr>
              <w:t>2:1</w:t>
            </w:r>
          </w:p>
        </w:tc>
        <w:tc>
          <w:tcPr>
            <w:tcW w:w="680" w:type="dxa"/>
            <w:shd w:val="clear" w:color="auto" w:fill="auto"/>
          </w:tcPr>
          <w:p w:rsidR="00F563F1" w:rsidRPr="00691BDE" w:rsidRDefault="00F563F1" w:rsidP="009C3FC0">
            <w:pPr>
              <w:rPr>
                <w:sz w:val="20"/>
                <w:szCs w:val="20"/>
              </w:rPr>
            </w:pPr>
            <w:r w:rsidRPr="00691BDE">
              <w:rPr>
                <w:sz w:val="20"/>
                <w:szCs w:val="20"/>
              </w:rPr>
              <w:t>2:2</w:t>
            </w:r>
          </w:p>
        </w:tc>
        <w:tc>
          <w:tcPr>
            <w:tcW w:w="680" w:type="dxa"/>
            <w:shd w:val="clear" w:color="auto" w:fill="auto"/>
          </w:tcPr>
          <w:p w:rsidR="00F563F1" w:rsidRPr="00691BDE" w:rsidRDefault="00F563F1" w:rsidP="009C3FC0">
            <w:pPr>
              <w:rPr>
                <w:sz w:val="20"/>
                <w:szCs w:val="20"/>
              </w:rPr>
            </w:pPr>
            <w:r w:rsidRPr="00691BDE">
              <w:rPr>
                <w:sz w:val="20"/>
                <w:szCs w:val="20"/>
              </w:rPr>
              <w:t>3:1</w:t>
            </w:r>
          </w:p>
        </w:tc>
        <w:tc>
          <w:tcPr>
            <w:tcW w:w="680" w:type="dxa"/>
            <w:shd w:val="clear" w:color="auto" w:fill="auto"/>
          </w:tcPr>
          <w:p w:rsidR="00F563F1" w:rsidRPr="00691BDE" w:rsidRDefault="00F563F1" w:rsidP="009C3FC0">
            <w:pPr>
              <w:rPr>
                <w:sz w:val="20"/>
                <w:szCs w:val="20"/>
              </w:rPr>
            </w:pPr>
            <w:r w:rsidRPr="00691BDE">
              <w:rPr>
                <w:sz w:val="20"/>
                <w:szCs w:val="20"/>
              </w:rPr>
              <w:t>3:2</w:t>
            </w:r>
          </w:p>
        </w:tc>
        <w:tc>
          <w:tcPr>
            <w:tcW w:w="680" w:type="dxa"/>
            <w:shd w:val="clear" w:color="auto" w:fill="auto"/>
          </w:tcPr>
          <w:p w:rsidR="00F563F1" w:rsidRPr="00691BDE" w:rsidRDefault="00F563F1" w:rsidP="009C3FC0">
            <w:pPr>
              <w:rPr>
                <w:sz w:val="20"/>
                <w:szCs w:val="20"/>
              </w:rPr>
            </w:pPr>
            <w:r w:rsidRPr="00691BDE">
              <w:rPr>
                <w:sz w:val="20"/>
                <w:szCs w:val="20"/>
              </w:rPr>
              <w:t>3:3</w:t>
            </w:r>
          </w:p>
        </w:tc>
        <w:tc>
          <w:tcPr>
            <w:tcW w:w="680" w:type="dxa"/>
            <w:shd w:val="clear" w:color="auto" w:fill="auto"/>
          </w:tcPr>
          <w:p w:rsidR="00F563F1" w:rsidRPr="00691BDE" w:rsidRDefault="00F563F1" w:rsidP="009C3FC0">
            <w:pPr>
              <w:rPr>
                <w:sz w:val="20"/>
                <w:szCs w:val="20"/>
              </w:rPr>
            </w:pPr>
            <w:r w:rsidRPr="00691BDE">
              <w:rPr>
                <w:sz w:val="20"/>
                <w:szCs w:val="20"/>
              </w:rPr>
              <w:t>4:1</w:t>
            </w:r>
          </w:p>
        </w:tc>
        <w:tc>
          <w:tcPr>
            <w:tcW w:w="680" w:type="dxa"/>
            <w:shd w:val="clear" w:color="auto" w:fill="auto"/>
          </w:tcPr>
          <w:p w:rsidR="00F563F1" w:rsidRPr="00691BDE" w:rsidRDefault="00F563F1" w:rsidP="009C3FC0">
            <w:pPr>
              <w:rPr>
                <w:sz w:val="20"/>
                <w:szCs w:val="20"/>
              </w:rPr>
            </w:pPr>
            <w:r w:rsidRPr="00691BDE">
              <w:rPr>
                <w:sz w:val="20"/>
                <w:szCs w:val="20"/>
              </w:rPr>
              <w:t>4:2</w:t>
            </w:r>
          </w:p>
        </w:tc>
        <w:tc>
          <w:tcPr>
            <w:tcW w:w="680" w:type="dxa"/>
            <w:shd w:val="clear" w:color="auto" w:fill="auto"/>
          </w:tcPr>
          <w:p w:rsidR="00F563F1" w:rsidRPr="00691BDE" w:rsidRDefault="00F563F1" w:rsidP="009C3FC0">
            <w:pPr>
              <w:rPr>
                <w:sz w:val="20"/>
                <w:szCs w:val="20"/>
              </w:rPr>
            </w:pPr>
            <w:r w:rsidRPr="00691BDE">
              <w:rPr>
                <w:sz w:val="20"/>
                <w:szCs w:val="20"/>
              </w:rPr>
              <w:t>4:3</w:t>
            </w:r>
          </w:p>
        </w:tc>
        <w:tc>
          <w:tcPr>
            <w:tcW w:w="680" w:type="dxa"/>
            <w:shd w:val="clear" w:color="auto" w:fill="auto"/>
          </w:tcPr>
          <w:p w:rsidR="00F563F1" w:rsidRPr="00691BDE" w:rsidRDefault="00F563F1" w:rsidP="009C3FC0">
            <w:pPr>
              <w:rPr>
                <w:sz w:val="20"/>
                <w:szCs w:val="20"/>
              </w:rPr>
            </w:pPr>
            <w:r w:rsidRPr="00691BDE">
              <w:rPr>
                <w:sz w:val="20"/>
                <w:szCs w:val="20"/>
              </w:rPr>
              <w:t>4:4</w:t>
            </w:r>
          </w:p>
        </w:tc>
      </w:tr>
      <w:tr w:rsidR="00F563F1" w:rsidRPr="00691BDE" w:rsidTr="009C3FC0">
        <w:tc>
          <w:tcPr>
            <w:tcW w:w="1134" w:type="dxa"/>
            <w:shd w:val="clear" w:color="auto" w:fill="auto"/>
          </w:tcPr>
          <w:p w:rsidR="00F563F1" w:rsidRPr="00691BDE" w:rsidRDefault="00F563F1" w:rsidP="009C3FC0">
            <w:pPr>
              <w:rPr>
                <w:sz w:val="20"/>
                <w:szCs w:val="20"/>
              </w:rPr>
            </w:pPr>
            <w:proofErr w:type="spellStart"/>
            <w:r w:rsidRPr="00691BDE">
              <w:rPr>
                <w:b/>
                <w:sz w:val="20"/>
                <w:szCs w:val="20"/>
              </w:rPr>
              <w:t>Exp</w:t>
            </w:r>
            <w:proofErr w:type="spellEnd"/>
            <w:r w:rsidRPr="00691BDE">
              <w:rPr>
                <w:b/>
                <w:sz w:val="20"/>
                <w:szCs w:val="20"/>
              </w:rPr>
              <w:t xml:space="preserve"> 2: </w:t>
            </w:r>
            <w:r w:rsidRPr="00691BDE">
              <w:rPr>
                <w:sz w:val="20"/>
                <w:szCs w:val="20"/>
              </w:rPr>
              <w:t>p=</w:t>
            </w:r>
          </w:p>
        </w:tc>
        <w:tc>
          <w:tcPr>
            <w:tcW w:w="808" w:type="dxa"/>
            <w:shd w:val="clear" w:color="auto" w:fill="auto"/>
          </w:tcPr>
          <w:p w:rsidR="00F563F1" w:rsidRPr="00691BDE" w:rsidRDefault="00F563F1" w:rsidP="009C3FC0">
            <w:pPr>
              <w:rPr>
                <w:sz w:val="20"/>
                <w:szCs w:val="20"/>
              </w:rPr>
            </w:pPr>
            <w:r w:rsidRPr="00691BDE">
              <w:rPr>
                <w:sz w:val="20"/>
                <w:szCs w:val="20"/>
              </w:rPr>
              <w:t>0.0017</w:t>
            </w:r>
          </w:p>
        </w:tc>
        <w:tc>
          <w:tcPr>
            <w:tcW w:w="808" w:type="dxa"/>
            <w:shd w:val="clear" w:color="auto" w:fill="auto"/>
          </w:tcPr>
          <w:p w:rsidR="00F563F1" w:rsidRPr="00691BDE" w:rsidRDefault="00F563F1" w:rsidP="009C3FC0">
            <w:pPr>
              <w:rPr>
                <w:sz w:val="20"/>
                <w:szCs w:val="20"/>
              </w:rPr>
            </w:pPr>
            <w:r w:rsidRPr="00691BDE">
              <w:rPr>
                <w:sz w:val="20"/>
                <w:szCs w:val="20"/>
              </w:rPr>
              <w:t>&gt;0.05</w:t>
            </w:r>
          </w:p>
        </w:tc>
        <w:tc>
          <w:tcPr>
            <w:tcW w:w="680" w:type="dxa"/>
            <w:shd w:val="clear" w:color="auto" w:fill="auto"/>
          </w:tcPr>
          <w:p w:rsidR="00F563F1" w:rsidRPr="00691BDE" w:rsidRDefault="00F563F1" w:rsidP="009C3FC0">
            <w:pPr>
              <w:rPr>
                <w:sz w:val="20"/>
                <w:szCs w:val="20"/>
              </w:rPr>
            </w:pPr>
          </w:p>
        </w:tc>
        <w:tc>
          <w:tcPr>
            <w:tcW w:w="680" w:type="dxa"/>
            <w:shd w:val="clear" w:color="auto" w:fill="auto"/>
          </w:tcPr>
          <w:p w:rsidR="00F563F1" w:rsidRPr="00691BDE" w:rsidRDefault="00F563F1" w:rsidP="009C3FC0">
            <w:pPr>
              <w:rPr>
                <w:sz w:val="20"/>
                <w:szCs w:val="20"/>
              </w:rPr>
            </w:pPr>
          </w:p>
        </w:tc>
        <w:tc>
          <w:tcPr>
            <w:tcW w:w="680" w:type="dxa"/>
            <w:shd w:val="clear" w:color="auto" w:fill="auto"/>
          </w:tcPr>
          <w:p w:rsidR="00F563F1" w:rsidRPr="00691BDE" w:rsidRDefault="00F563F1" w:rsidP="009C3FC0">
            <w:pPr>
              <w:rPr>
                <w:sz w:val="20"/>
                <w:szCs w:val="20"/>
              </w:rPr>
            </w:pPr>
          </w:p>
        </w:tc>
        <w:tc>
          <w:tcPr>
            <w:tcW w:w="680" w:type="dxa"/>
            <w:shd w:val="clear" w:color="auto" w:fill="auto"/>
          </w:tcPr>
          <w:p w:rsidR="00F563F1" w:rsidRPr="00691BDE" w:rsidRDefault="00F563F1" w:rsidP="009C3FC0">
            <w:pPr>
              <w:rPr>
                <w:sz w:val="20"/>
                <w:szCs w:val="20"/>
              </w:rPr>
            </w:pPr>
          </w:p>
        </w:tc>
        <w:tc>
          <w:tcPr>
            <w:tcW w:w="680" w:type="dxa"/>
            <w:shd w:val="clear" w:color="auto" w:fill="auto"/>
          </w:tcPr>
          <w:p w:rsidR="00F563F1" w:rsidRPr="00691BDE" w:rsidRDefault="00F563F1" w:rsidP="009C3FC0">
            <w:pPr>
              <w:rPr>
                <w:sz w:val="20"/>
                <w:szCs w:val="20"/>
              </w:rPr>
            </w:pPr>
          </w:p>
        </w:tc>
        <w:tc>
          <w:tcPr>
            <w:tcW w:w="680" w:type="dxa"/>
            <w:shd w:val="clear" w:color="auto" w:fill="auto"/>
          </w:tcPr>
          <w:p w:rsidR="00F563F1" w:rsidRPr="00691BDE" w:rsidRDefault="00F563F1" w:rsidP="009C3FC0">
            <w:pPr>
              <w:rPr>
                <w:sz w:val="20"/>
                <w:szCs w:val="20"/>
              </w:rPr>
            </w:pPr>
          </w:p>
        </w:tc>
        <w:tc>
          <w:tcPr>
            <w:tcW w:w="680" w:type="dxa"/>
            <w:shd w:val="clear" w:color="auto" w:fill="auto"/>
          </w:tcPr>
          <w:p w:rsidR="00F563F1" w:rsidRPr="00691BDE" w:rsidRDefault="00F563F1" w:rsidP="009C3FC0">
            <w:pPr>
              <w:rPr>
                <w:sz w:val="20"/>
                <w:szCs w:val="20"/>
              </w:rPr>
            </w:pPr>
          </w:p>
        </w:tc>
        <w:tc>
          <w:tcPr>
            <w:tcW w:w="680" w:type="dxa"/>
            <w:shd w:val="clear" w:color="auto" w:fill="auto"/>
          </w:tcPr>
          <w:p w:rsidR="00F563F1" w:rsidRPr="00691BDE" w:rsidRDefault="00F563F1" w:rsidP="009C3FC0">
            <w:pPr>
              <w:rPr>
                <w:sz w:val="20"/>
                <w:szCs w:val="20"/>
              </w:rPr>
            </w:pPr>
          </w:p>
        </w:tc>
      </w:tr>
      <w:tr w:rsidR="00F563F1" w:rsidRPr="00691BDE" w:rsidTr="009C3FC0">
        <w:tc>
          <w:tcPr>
            <w:tcW w:w="1134" w:type="dxa"/>
            <w:shd w:val="clear" w:color="auto" w:fill="auto"/>
          </w:tcPr>
          <w:p w:rsidR="00F563F1" w:rsidRPr="00691BDE" w:rsidRDefault="00F563F1" w:rsidP="009C3FC0">
            <w:pPr>
              <w:rPr>
                <w:sz w:val="20"/>
                <w:szCs w:val="20"/>
              </w:rPr>
            </w:pPr>
            <w:proofErr w:type="gramStart"/>
            <w:r w:rsidRPr="00691BDE">
              <w:rPr>
                <w:i/>
                <w:sz w:val="20"/>
                <w:szCs w:val="20"/>
              </w:rPr>
              <w:t>t</w:t>
            </w:r>
            <w:r w:rsidRPr="00691BDE">
              <w:rPr>
                <w:sz w:val="20"/>
                <w:szCs w:val="20"/>
              </w:rPr>
              <w:t>(</w:t>
            </w:r>
            <w:proofErr w:type="gramEnd"/>
            <w:r w:rsidRPr="00691BDE">
              <w:rPr>
                <w:sz w:val="20"/>
                <w:szCs w:val="20"/>
              </w:rPr>
              <w:t>12)</w:t>
            </w:r>
          </w:p>
        </w:tc>
        <w:tc>
          <w:tcPr>
            <w:tcW w:w="808" w:type="dxa"/>
            <w:shd w:val="clear" w:color="auto" w:fill="auto"/>
          </w:tcPr>
          <w:p w:rsidR="00F563F1" w:rsidRPr="00691BDE" w:rsidRDefault="00F563F1" w:rsidP="009C3FC0">
            <w:pPr>
              <w:rPr>
                <w:sz w:val="20"/>
                <w:szCs w:val="20"/>
              </w:rPr>
            </w:pPr>
            <w:r w:rsidRPr="00691BDE">
              <w:rPr>
                <w:sz w:val="20"/>
                <w:szCs w:val="20"/>
              </w:rPr>
              <w:t>4.024</w:t>
            </w:r>
          </w:p>
        </w:tc>
        <w:tc>
          <w:tcPr>
            <w:tcW w:w="808" w:type="dxa"/>
            <w:shd w:val="clear" w:color="auto" w:fill="auto"/>
          </w:tcPr>
          <w:p w:rsidR="00F563F1" w:rsidRPr="00691BDE" w:rsidRDefault="00F563F1" w:rsidP="009C3FC0">
            <w:pPr>
              <w:rPr>
                <w:sz w:val="20"/>
                <w:szCs w:val="20"/>
              </w:rPr>
            </w:pPr>
            <w:r w:rsidRPr="00691BDE">
              <w:rPr>
                <w:sz w:val="20"/>
                <w:szCs w:val="20"/>
              </w:rPr>
              <w:t>0.83</w:t>
            </w:r>
          </w:p>
        </w:tc>
        <w:tc>
          <w:tcPr>
            <w:tcW w:w="680" w:type="dxa"/>
            <w:shd w:val="clear" w:color="auto" w:fill="auto"/>
          </w:tcPr>
          <w:p w:rsidR="00F563F1" w:rsidRPr="00691BDE" w:rsidRDefault="00F563F1" w:rsidP="009C3FC0">
            <w:pPr>
              <w:rPr>
                <w:sz w:val="20"/>
                <w:szCs w:val="20"/>
              </w:rPr>
            </w:pPr>
            <w:r w:rsidRPr="00691BDE">
              <w:rPr>
                <w:sz w:val="20"/>
                <w:szCs w:val="20"/>
              </w:rPr>
              <w:t>-0.70</w:t>
            </w:r>
          </w:p>
        </w:tc>
        <w:tc>
          <w:tcPr>
            <w:tcW w:w="680" w:type="dxa"/>
            <w:shd w:val="clear" w:color="auto" w:fill="auto"/>
          </w:tcPr>
          <w:p w:rsidR="00F563F1" w:rsidRPr="00691BDE" w:rsidRDefault="00F563F1" w:rsidP="009C3FC0">
            <w:pPr>
              <w:rPr>
                <w:sz w:val="20"/>
                <w:szCs w:val="20"/>
              </w:rPr>
            </w:pPr>
            <w:r w:rsidRPr="00691BDE">
              <w:rPr>
                <w:sz w:val="20"/>
                <w:szCs w:val="20"/>
              </w:rPr>
              <w:t>0.16</w:t>
            </w:r>
          </w:p>
        </w:tc>
        <w:tc>
          <w:tcPr>
            <w:tcW w:w="680" w:type="dxa"/>
            <w:shd w:val="clear" w:color="auto" w:fill="auto"/>
          </w:tcPr>
          <w:p w:rsidR="00F563F1" w:rsidRPr="00691BDE" w:rsidRDefault="00F563F1" w:rsidP="009C3FC0">
            <w:pPr>
              <w:rPr>
                <w:sz w:val="20"/>
                <w:szCs w:val="20"/>
              </w:rPr>
            </w:pPr>
            <w:r w:rsidRPr="00691BDE">
              <w:rPr>
                <w:sz w:val="20"/>
                <w:szCs w:val="20"/>
              </w:rPr>
              <w:t>0.79</w:t>
            </w:r>
          </w:p>
        </w:tc>
        <w:tc>
          <w:tcPr>
            <w:tcW w:w="680" w:type="dxa"/>
            <w:shd w:val="clear" w:color="auto" w:fill="auto"/>
          </w:tcPr>
          <w:p w:rsidR="00F563F1" w:rsidRPr="00691BDE" w:rsidRDefault="00F563F1" w:rsidP="009C3FC0">
            <w:pPr>
              <w:rPr>
                <w:sz w:val="20"/>
                <w:szCs w:val="20"/>
              </w:rPr>
            </w:pPr>
            <w:r w:rsidRPr="00691BDE">
              <w:rPr>
                <w:sz w:val="20"/>
                <w:szCs w:val="20"/>
              </w:rPr>
              <w:t>0.63</w:t>
            </w:r>
          </w:p>
        </w:tc>
        <w:tc>
          <w:tcPr>
            <w:tcW w:w="680" w:type="dxa"/>
            <w:shd w:val="clear" w:color="auto" w:fill="auto"/>
          </w:tcPr>
          <w:p w:rsidR="00F563F1" w:rsidRPr="00691BDE" w:rsidRDefault="00F563F1" w:rsidP="009C3FC0">
            <w:pPr>
              <w:rPr>
                <w:sz w:val="20"/>
                <w:szCs w:val="20"/>
              </w:rPr>
            </w:pPr>
            <w:r w:rsidRPr="00691BDE">
              <w:rPr>
                <w:sz w:val="20"/>
                <w:szCs w:val="20"/>
              </w:rPr>
              <w:t>0.87</w:t>
            </w:r>
          </w:p>
        </w:tc>
        <w:tc>
          <w:tcPr>
            <w:tcW w:w="680" w:type="dxa"/>
            <w:shd w:val="clear" w:color="auto" w:fill="auto"/>
          </w:tcPr>
          <w:p w:rsidR="00F563F1" w:rsidRPr="00691BDE" w:rsidRDefault="00F563F1" w:rsidP="009C3FC0">
            <w:pPr>
              <w:rPr>
                <w:sz w:val="20"/>
                <w:szCs w:val="20"/>
              </w:rPr>
            </w:pPr>
            <w:r w:rsidRPr="00691BDE">
              <w:rPr>
                <w:sz w:val="20"/>
                <w:szCs w:val="20"/>
              </w:rPr>
              <w:t>0.89</w:t>
            </w:r>
          </w:p>
        </w:tc>
        <w:tc>
          <w:tcPr>
            <w:tcW w:w="680" w:type="dxa"/>
            <w:shd w:val="clear" w:color="auto" w:fill="auto"/>
          </w:tcPr>
          <w:p w:rsidR="00F563F1" w:rsidRPr="00691BDE" w:rsidRDefault="00F563F1" w:rsidP="009C3FC0">
            <w:pPr>
              <w:rPr>
                <w:sz w:val="20"/>
                <w:szCs w:val="20"/>
              </w:rPr>
            </w:pPr>
            <w:r w:rsidRPr="00691BDE">
              <w:rPr>
                <w:sz w:val="20"/>
                <w:szCs w:val="20"/>
              </w:rPr>
              <w:t>0.25</w:t>
            </w:r>
          </w:p>
        </w:tc>
        <w:tc>
          <w:tcPr>
            <w:tcW w:w="680" w:type="dxa"/>
            <w:shd w:val="clear" w:color="auto" w:fill="auto"/>
          </w:tcPr>
          <w:p w:rsidR="00F563F1" w:rsidRPr="00691BDE" w:rsidRDefault="00F563F1" w:rsidP="009C3FC0">
            <w:pPr>
              <w:rPr>
                <w:sz w:val="20"/>
                <w:szCs w:val="20"/>
              </w:rPr>
            </w:pPr>
            <w:r w:rsidRPr="00691BDE">
              <w:rPr>
                <w:sz w:val="20"/>
                <w:szCs w:val="20"/>
              </w:rPr>
              <w:t>0.96</w:t>
            </w:r>
          </w:p>
        </w:tc>
      </w:tr>
      <w:tr w:rsidR="00F563F1" w:rsidRPr="00691BDE" w:rsidTr="009C3FC0">
        <w:tc>
          <w:tcPr>
            <w:tcW w:w="1134" w:type="dxa"/>
            <w:shd w:val="clear" w:color="auto" w:fill="auto"/>
          </w:tcPr>
          <w:p w:rsidR="00F563F1" w:rsidRPr="00691BDE" w:rsidRDefault="00F563F1" w:rsidP="009C3FC0">
            <w:pPr>
              <w:rPr>
                <w:sz w:val="20"/>
                <w:szCs w:val="20"/>
              </w:rPr>
            </w:pPr>
            <w:proofErr w:type="spellStart"/>
            <w:r w:rsidRPr="00691BDE">
              <w:rPr>
                <w:b/>
                <w:sz w:val="20"/>
                <w:szCs w:val="20"/>
              </w:rPr>
              <w:t>Exp</w:t>
            </w:r>
            <w:proofErr w:type="spellEnd"/>
            <w:r w:rsidRPr="00691BDE">
              <w:rPr>
                <w:b/>
                <w:sz w:val="20"/>
                <w:szCs w:val="20"/>
              </w:rPr>
              <w:t xml:space="preserve"> 3: </w:t>
            </w:r>
            <w:r w:rsidRPr="00691BDE">
              <w:rPr>
                <w:sz w:val="20"/>
                <w:szCs w:val="20"/>
              </w:rPr>
              <w:t>p=</w:t>
            </w:r>
          </w:p>
        </w:tc>
        <w:tc>
          <w:tcPr>
            <w:tcW w:w="808" w:type="dxa"/>
            <w:shd w:val="clear" w:color="auto" w:fill="auto"/>
          </w:tcPr>
          <w:p w:rsidR="00F563F1" w:rsidRPr="00691BDE" w:rsidRDefault="00F563F1" w:rsidP="009C3FC0">
            <w:pPr>
              <w:rPr>
                <w:sz w:val="20"/>
                <w:szCs w:val="20"/>
              </w:rPr>
            </w:pPr>
            <w:r w:rsidRPr="00691BDE">
              <w:rPr>
                <w:sz w:val="20"/>
                <w:szCs w:val="20"/>
              </w:rPr>
              <w:t>0.021</w:t>
            </w:r>
          </w:p>
        </w:tc>
        <w:tc>
          <w:tcPr>
            <w:tcW w:w="808" w:type="dxa"/>
            <w:shd w:val="clear" w:color="auto" w:fill="auto"/>
          </w:tcPr>
          <w:p w:rsidR="00F563F1" w:rsidRPr="00691BDE" w:rsidRDefault="00F563F1" w:rsidP="009C3FC0">
            <w:pPr>
              <w:rPr>
                <w:sz w:val="20"/>
                <w:szCs w:val="20"/>
              </w:rPr>
            </w:pPr>
            <w:r w:rsidRPr="00691BDE">
              <w:rPr>
                <w:sz w:val="20"/>
                <w:szCs w:val="20"/>
              </w:rPr>
              <w:t>&gt;0.05</w:t>
            </w:r>
          </w:p>
        </w:tc>
        <w:tc>
          <w:tcPr>
            <w:tcW w:w="680" w:type="dxa"/>
            <w:shd w:val="clear" w:color="auto" w:fill="auto"/>
          </w:tcPr>
          <w:p w:rsidR="00F563F1" w:rsidRPr="00691BDE" w:rsidRDefault="00F563F1" w:rsidP="009C3FC0">
            <w:pPr>
              <w:rPr>
                <w:sz w:val="20"/>
                <w:szCs w:val="20"/>
              </w:rPr>
            </w:pPr>
          </w:p>
        </w:tc>
        <w:tc>
          <w:tcPr>
            <w:tcW w:w="680" w:type="dxa"/>
            <w:shd w:val="clear" w:color="auto" w:fill="auto"/>
          </w:tcPr>
          <w:p w:rsidR="00F563F1" w:rsidRPr="00691BDE" w:rsidRDefault="00F563F1" w:rsidP="009C3FC0">
            <w:pPr>
              <w:rPr>
                <w:sz w:val="20"/>
                <w:szCs w:val="20"/>
              </w:rPr>
            </w:pPr>
          </w:p>
        </w:tc>
        <w:tc>
          <w:tcPr>
            <w:tcW w:w="680" w:type="dxa"/>
            <w:shd w:val="clear" w:color="auto" w:fill="auto"/>
          </w:tcPr>
          <w:p w:rsidR="00F563F1" w:rsidRPr="00691BDE" w:rsidRDefault="00F563F1" w:rsidP="009C3FC0">
            <w:pPr>
              <w:rPr>
                <w:sz w:val="20"/>
                <w:szCs w:val="20"/>
              </w:rPr>
            </w:pPr>
          </w:p>
        </w:tc>
        <w:tc>
          <w:tcPr>
            <w:tcW w:w="680" w:type="dxa"/>
            <w:shd w:val="clear" w:color="auto" w:fill="auto"/>
          </w:tcPr>
          <w:p w:rsidR="00F563F1" w:rsidRPr="00691BDE" w:rsidRDefault="00F563F1" w:rsidP="009C3FC0">
            <w:pPr>
              <w:rPr>
                <w:sz w:val="20"/>
                <w:szCs w:val="20"/>
              </w:rPr>
            </w:pPr>
          </w:p>
        </w:tc>
        <w:tc>
          <w:tcPr>
            <w:tcW w:w="680" w:type="dxa"/>
            <w:shd w:val="clear" w:color="auto" w:fill="auto"/>
          </w:tcPr>
          <w:p w:rsidR="00F563F1" w:rsidRPr="00691BDE" w:rsidRDefault="00F563F1" w:rsidP="009C3FC0">
            <w:pPr>
              <w:rPr>
                <w:sz w:val="20"/>
                <w:szCs w:val="20"/>
              </w:rPr>
            </w:pPr>
          </w:p>
        </w:tc>
        <w:tc>
          <w:tcPr>
            <w:tcW w:w="680" w:type="dxa"/>
            <w:shd w:val="clear" w:color="auto" w:fill="auto"/>
          </w:tcPr>
          <w:p w:rsidR="00F563F1" w:rsidRPr="00691BDE" w:rsidRDefault="00F563F1" w:rsidP="009C3FC0">
            <w:pPr>
              <w:rPr>
                <w:sz w:val="20"/>
                <w:szCs w:val="20"/>
              </w:rPr>
            </w:pPr>
          </w:p>
        </w:tc>
        <w:tc>
          <w:tcPr>
            <w:tcW w:w="680" w:type="dxa"/>
            <w:shd w:val="clear" w:color="auto" w:fill="auto"/>
          </w:tcPr>
          <w:p w:rsidR="00F563F1" w:rsidRPr="00691BDE" w:rsidRDefault="00F563F1" w:rsidP="009C3FC0">
            <w:pPr>
              <w:rPr>
                <w:sz w:val="20"/>
                <w:szCs w:val="20"/>
              </w:rPr>
            </w:pPr>
          </w:p>
        </w:tc>
        <w:tc>
          <w:tcPr>
            <w:tcW w:w="680" w:type="dxa"/>
            <w:shd w:val="clear" w:color="auto" w:fill="auto"/>
          </w:tcPr>
          <w:p w:rsidR="00F563F1" w:rsidRPr="00691BDE" w:rsidRDefault="00F563F1" w:rsidP="009C3FC0">
            <w:pPr>
              <w:rPr>
                <w:sz w:val="20"/>
                <w:szCs w:val="20"/>
              </w:rPr>
            </w:pPr>
          </w:p>
        </w:tc>
      </w:tr>
      <w:tr w:rsidR="00F563F1" w:rsidRPr="00691BDE" w:rsidTr="009C3FC0">
        <w:tc>
          <w:tcPr>
            <w:tcW w:w="1134" w:type="dxa"/>
            <w:shd w:val="clear" w:color="auto" w:fill="auto"/>
          </w:tcPr>
          <w:p w:rsidR="00F563F1" w:rsidRPr="00691BDE" w:rsidRDefault="00F563F1" w:rsidP="009C3FC0">
            <w:pPr>
              <w:rPr>
                <w:sz w:val="20"/>
                <w:szCs w:val="20"/>
              </w:rPr>
            </w:pPr>
            <w:proofErr w:type="gramStart"/>
            <w:r w:rsidRPr="00691BDE">
              <w:rPr>
                <w:i/>
                <w:sz w:val="20"/>
                <w:szCs w:val="20"/>
              </w:rPr>
              <w:t>t</w:t>
            </w:r>
            <w:r w:rsidRPr="00691BDE">
              <w:rPr>
                <w:sz w:val="20"/>
                <w:szCs w:val="20"/>
              </w:rPr>
              <w:t>(</w:t>
            </w:r>
            <w:proofErr w:type="gramEnd"/>
            <w:r w:rsidRPr="00691BDE">
              <w:rPr>
                <w:sz w:val="20"/>
                <w:szCs w:val="20"/>
              </w:rPr>
              <w:t>14)</w:t>
            </w:r>
          </w:p>
        </w:tc>
        <w:tc>
          <w:tcPr>
            <w:tcW w:w="808" w:type="dxa"/>
            <w:shd w:val="clear" w:color="auto" w:fill="auto"/>
          </w:tcPr>
          <w:p w:rsidR="00F563F1" w:rsidRPr="00691BDE" w:rsidRDefault="00F563F1" w:rsidP="009C3FC0">
            <w:pPr>
              <w:rPr>
                <w:sz w:val="20"/>
                <w:szCs w:val="20"/>
              </w:rPr>
            </w:pPr>
            <w:r w:rsidRPr="00691BDE">
              <w:rPr>
                <w:sz w:val="20"/>
                <w:szCs w:val="20"/>
              </w:rPr>
              <w:t>2.61</w:t>
            </w:r>
          </w:p>
        </w:tc>
        <w:tc>
          <w:tcPr>
            <w:tcW w:w="808" w:type="dxa"/>
            <w:shd w:val="clear" w:color="auto" w:fill="auto"/>
          </w:tcPr>
          <w:p w:rsidR="00F563F1" w:rsidRPr="00691BDE" w:rsidRDefault="00F563F1" w:rsidP="009C3FC0">
            <w:pPr>
              <w:rPr>
                <w:sz w:val="20"/>
                <w:szCs w:val="20"/>
              </w:rPr>
            </w:pPr>
            <w:r w:rsidRPr="00691BDE">
              <w:rPr>
                <w:sz w:val="20"/>
                <w:szCs w:val="20"/>
              </w:rPr>
              <w:t>.60</w:t>
            </w:r>
          </w:p>
        </w:tc>
        <w:tc>
          <w:tcPr>
            <w:tcW w:w="680" w:type="dxa"/>
            <w:shd w:val="clear" w:color="auto" w:fill="auto"/>
          </w:tcPr>
          <w:p w:rsidR="00F563F1" w:rsidRPr="00691BDE" w:rsidRDefault="00F563F1" w:rsidP="009C3FC0">
            <w:pPr>
              <w:rPr>
                <w:sz w:val="20"/>
                <w:szCs w:val="20"/>
              </w:rPr>
            </w:pPr>
            <w:r w:rsidRPr="00691BDE">
              <w:rPr>
                <w:sz w:val="20"/>
                <w:szCs w:val="20"/>
              </w:rPr>
              <w:t>.43</w:t>
            </w:r>
          </w:p>
        </w:tc>
        <w:tc>
          <w:tcPr>
            <w:tcW w:w="680" w:type="dxa"/>
            <w:shd w:val="clear" w:color="auto" w:fill="auto"/>
          </w:tcPr>
          <w:p w:rsidR="00F563F1" w:rsidRPr="00691BDE" w:rsidRDefault="00F563F1" w:rsidP="009C3FC0">
            <w:pPr>
              <w:rPr>
                <w:sz w:val="20"/>
                <w:szCs w:val="20"/>
              </w:rPr>
            </w:pPr>
            <w:r w:rsidRPr="00691BDE">
              <w:rPr>
                <w:sz w:val="20"/>
                <w:szCs w:val="20"/>
              </w:rPr>
              <w:t>-.14</w:t>
            </w:r>
          </w:p>
        </w:tc>
        <w:tc>
          <w:tcPr>
            <w:tcW w:w="680" w:type="dxa"/>
            <w:shd w:val="clear" w:color="auto" w:fill="auto"/>
          </w:tcPr>
          <w:p w:rsidR="00F563F1" w:rsidRPr="00691BDE" w:rsidRDefault="00F563F1" w:rsidP="009C3FC0">
            <w:pPr>
              <w:rPr>
                <w:sz w:val="20"/>
                <w:szCs w:val="20"/>
              </w:rPr>
            </w:pPr>
            <w:r w:rsidRPr="00691BDE">
              <w:rPr>
                <w:sz w:val="20"/>
                <w:szCs w:val="20"/>
              </w:rPr>
              <w:t>-1.14</w:t>
            </w:r>
          </w:p>
        </w:tc>
        <w:tc>
          <w:tcPr>
            <w:tcW w:w="680" w:type="dxa"/>
            <w:shd w:val="clear" w:color="auto" w:fill="auto"/>
          </w:tcPr>
          <w:p w:rsidR="00F563F1" w:rsidRPr="00691BDE" w:rsidRDefault="00F563F1" w:rsidP="009C3FC0">
            <w:pPr>
              <w:rPr>
                <w:sz w:val="20"/>
                <w:szCs w:val="20"/>
              </w:rPr>
            </w:pPr>
            <w:r w:rsidRPr="00691BDE">
              <w:rPr>
                <w:sz w:val="20"/>
                <w:szCs w:val="20"/>
              </w:rPr>
              <w:t>-2.09</w:t>
            </w:r>
          </w:p>
        </w:tc>
        <w:tc>
          <w:tcPr>
            <w:tcW w:w="680" w:type="dxa"/>
            <w:shd w:val="clear" w:color="auto" w:fill="auto"/>
          </w:tcPr>
          <w:p w:rsidR="00F563F1" w:rsidRPr="00691BDE" w:rsidRDefault="00F563F1" w:rsidP="009C3FC0">
            <w:pPr>
              <w:rPr>
                <w:sz w:val="20"/>
                <w:szCs w:val="20"/>
              </w:rPr>
            </w:pPr>
            <w:r w:rsidRPr="00691BDE">
              <w:rPr>
                <w:sz w:val="20"/>
                <w:szCs w:val="20"/>
              </w:rPr>
              <w:t>-.88</w:t>
            </w:r>
          </w:p>
        </w:tc>
        <w:tc>
          <w:tcPr>
            <w:tcW w:w="680" w:type="dxa"/>
            <w:shd w:val="clear" w:color="auto" w:fill="auto"/>
          </w:tcPr>
          <w:p w:rsidR="00F563F1" w:rsidRPr="00691BDE" w:rsidRDefault="00F563F1" w:rsidP="009C3FC0">
            <w:pPr>
              <w:rPr>
                <w:sz w:val="20"/>
                <w:szCs w:val="20"/>
              </w:rPr>
            </w:pPr>
            <w:r w:rsidRPr="00691BDE">
              <w:rPr>
                <w:sz w:val="20"/>
                <w:szCs w:val="20"/>
              </w:rPr>
              <w:t>1.36</w:t>
            </w:r>
          </w:p>
        </w:tc>
        <w:tc>
          <w:tcPr>
            <w:tcW w:w="680" w:type="dxa"/>
            <w:shd w:val="clear" w:color="auto" w:fill="auto"/>
          </w:tcPr>
          <w:p w:rsidR="00F563F1" w:rsidRPr="00691BDE" w:rsidRDefault="00F563F1" w:rsidP="009C3FC0">
            <w:pPr>
              <w:rPr>
                <w:sz w:val="20"/>
                <w:szCs w:val="20"/>
              </w:rPr>
            </w:pPr>
            <w:r w:rsidRPr="00691BDE">
              <w:rPr>
                <w:sz w:val="20"/>
                <w:szCs w:val="20"/>
              </w:rPr>
              <w:t>-.19</w:t>
            </w:r>
          </w:p>
        </w:tc>
        <w:tc>
          <w:tcPr>
            <w:tcW w:w="680" w:type="dxa"/>
            <w:shd w:val="clear" w:color="auto" w:fill="auto"/>
          </w:tcPr>
          <w:p w:rsidR="00F563F1" w:rsidRPr="00691BDE" w:rsidRDefault="00F563F1" w:rsidP="009C3FC0">
            <w:pPr>
              <w:rPr>
                <w:sz w:val="20"/>
                <w:szCs w:val="20"/>
              </w:rPr>
            </w:pPr>
            <w:r w:rsidRPr="00691BDE">
              <w:rPr>
                <w:sz w:val="20"/>
                <w:szCs w:val="20"/>
              </w:rPr>
              <w:t>-1.04</w:t>
            </w:r>
          </w:p>
        </w:tc>
      </w:tr>
    </w:tbl>
    <w:p w:rsidR="00F563F1" w:rsidRDefault="00F563F1" w:rsidP="00F563F1">
      <w:pPr>
        <w:ind w:left="360"/>
      </w:pPr>
    </w:p>
    <w:p w:rsidR="00F563F1" w:rsidRDefault="00F563F1" w:rsidP="00F563F1">
      <w:pPr>
        <w:ind w:left="360"/>
      </w:pPr>
      <w:r w:rsidRPr="00A704CA">
        <w:rPr>
          <w:b/>
        </w:rPr>
        <w:t>Table S1</w:t>
      </w:r>
      <w:r>
        <w:t xml:space="preserve">: </w:t>
      </w:r>
      <w:r w:rsidRPr="00A07C7C">
        <w:rPr>
          <w:b/>
        </w:rPr>
        <w:t>Residuals from within-condition regression showed same effect as grand-regression residuals</w:t>
      </w:r>
    </w:p>
    <w:p w:rsidR="00F563F1" w:rsidRDefault="00F563F1" w:rsidP="00F563F1">
      <w:pPr>
        <w:ind w:left="360"/>
      </w:pPr>
      <w:r>
        <w:t xml:space="preserve">Pairwise comparisons of the effect of filtering (Exp2) and the effect of expectation (Exp3) were performed for each set-size and serial position. This analysis uses residuals calculated for regression within each condition, rather than the grand regression line. This means that the error values are not influenced by differences in biases between conditions.  Two-tailed p-values are shown with paired-samples t-statistic below. Blank cells are all p&gt;0.05. </w:t>
      </w:r>
    </w:p>
    <w:p w:rsidR="00F563F1" w:rsidRDefault="00F563F1" w:rsidP="00F563F1">
      <w:pPr>
        <w:widowControl w:val="0"/>
        <w:spacing w:line="480" w:lineRule="auto"/>
      </w:pPr>
    </w:p>
    <w:p w:rsidR="00F563F1" w:rsidRPr="00A07C7C" w:rsidRDefault="00F563F1" w:rsidP="00F563F1">
      <w:pPr>
        <w:widowControl w:val="0"/>
        <w:spacing w:line="480" w:lineRule="auto"/>
        <w:rPr>
          <w:b/>
        </w:rPr>
      </w:pPr>
      <w:r w:rsidRPr="00A07C7C">
        <w:rPr>
          <w:b/>
        </w:rPr>
        <w:t>Analysis of Bias</w:t>
      </w:r>
    </w:p>
    <w:p w:rsidR="00F563F1" w:rsidRDefault="00F563F1" w:rsidP="00F563F1">
      <w:pPr>
        <w:widowControl w:val="0"/>
      </w:pPr>
      <w:r>
        <w:t>For each subject a single linear regression was performed for all trials across conditions, and residuals relative to this global regression were examined for each condition. The mean bias varied by condition (</w:t>
      </w:r>
      <w:proofErr w:type="gramStart"/>
      <w:r>
        <w:t>F(</w:t>
      </w:r>
      <w:proofErr w:type="gramEnd"/>
      <w:r>
        <w:t>14,193)=3.16, p&lt;0.001) such that items in longer sequences were remembered as longer, and items later in a sequence were remembered as longer (Fig S2).</w:t>
      </w:r>
    </w:p>
    <w:p w:rsidR="00F563F1" w:rsidRDefault="00F563F1" w:rsidP="00F563F1">
      <w:pPr>
        <w:widowControl w:val="0"/>
        <w:spacing w:line="480" w:lineRule="auto"/>
      </w:pPr>
    </w:p>
    <w:p w:rsidR="00F563F1" w:rsidRPr="00A07C7C" w:rsidRDefault="00F563F1" w:rsidP="00F563F1">
      <w:pPr>
        <w:widowControl w:val="0"/>
        <w:spacing w:line="480" w:lineRule="auto"/>
        <w:rPr>
          <w:b/>
        </w:rPr>
      </w:pPr>
      <w:r w:rsidRPr="00A07C7C">
        <w:rPr>
          <w:b/>
        </w:rPr>
        <w:t>Tests on log-transformed times</w:t>
      </w:r>
    </w:p>
    <w:p w:rsidR="00F563F1" w:rsidRDefault="00F563F1" w:rsidP="00F563F1">
      <w:pPr>
        <w:widowControl w:val="0"/>
      </w:pPr>
      <w:r>
        <w:t>The calculation of linear regression residuals for a range of durations accounts for biases, but does not account for Weber-type effects, in which the variation in interval production scales up with the size of the interval (</w:t>
      </w:r>
      <w:proofErr w:type="spellStart"/>
      <w:r>
        <w:t>Zarco</w:t>
      </w:r>
      <w:proofErr w:type="spellEnd"/>
      <w:r>
        <w:t xml:space="preserve"> et al 2009; </w:t>
      </w:r>
      <w:proofErr w:type="spellStart"/>
      <w:r>
        <w:t>Acerbi</w:t>
      </w:r>
      <w:proofErr w:type="spellEnd"/>
      <w:r>
        <w:t xml:space="preserve"> et al 2012). </w:t>
      </w:r>
      <w:proofErr w:type="gramStart"/>
      <w:r>
        <w:t>Indeed</w:t>
      </w:r>
      <w:proofErr w:type="gramEnd"/>
      <w:r>
        <w:t xml:space="preserve"> the distributions of residuals did deviate from normality by the Kolmogorov-Smirnov test, applied to each participant’s error distribution individually (Fig. S4).</w:t>
      </w:r>
    </w:p>
    <w:p w:rsidR="00F563F1" w:rsidRDefault="00F563F1" w:rsidP="00F563F1">
      <w:pPr>
        <w:widowControl w:val="0"/>
      </w:pPr>
    </w:p>
    <w:p w:rsidR="00F563F1" w:rsidRDefault="00F563F1" w:rsidP="00F563F1">
      <w:pPr>
        <w:widowControl w:val="0"/>
      </w:pPr>
      <w:r>
        <w:t xml:space="preserve">To test whether our ANOVA was robust to this deviation from normality, we re-calculated the linear regression using logarithms of time, i.e. regressing </w:t>
      </w:r>
      <w:proofErr w:type="gramStart"/>
      <w:r>
        <w:t>log(</w:t>
      </w:r>
      <w:proofErr w:type="gramEnd"/>
      <w:r>
        <w:t xml:space="preserve">response duration) against log(target duration). This effectively makes the residuals </w:t>
      </w:r>
      <w:r w:rsidRPr="00267EEA">
        <w:rPr>
          <w:i/>
        </w:rPr>
        <w:t>proportional</w:t>
      </w:r>
      <w:r>
        <w:t xml:space="preserve"> to the probed duration, rather than simply linearly deviates. These residuals were normally distributed. </w:t>
      </w:r>
    </w:p>
    <w:p w:rsidR="00F563F1" w:rsidRDefault="00F563F1" w:rsidP="00F563F1">
      <w:pPr>
        <w:widowControl w:val="0"/>
        <w:spacing w:line="480" w:lineRule="auto"/>
      </w:pPr>
    </w:p>
    <w:p w:rsidR="00F563F1" w:rsidRDefault="00F563F1" w:rsidP="00F563F1">
      <w:pPr>
        <w:rPr>
          <w:noProof/>
        </w:rPr>
      </w:pPr>
      <w:r w:rsidRPr="00063343">
        <w:rPr>
          <w:noProof/>
        </w:rPr>
        <w:lastRenderedPageBreak/>
        <w:drawing>
          <wp:inline distT="0" distB="0" distL="0" distR="0" wp14:anchorId="4AEA3058" wp14:editId="154D6D86">
            <wp:extent cx="4392295" cy="3133725"/>
            <wp:effectExtent l="0" t="0" r="82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2295" cy="3133725"/>
                    </a:xfrm>
                    <a:prstGeom prst="rect">
                      <a:avLst/>
                    </a:prstGeom>
                    <a:noFill/>
                    <a:ln>
                      <a:noFill/>
                    </a:ln>
                  </pic:spPr>
                </pic:pic>
              </a:graphicData>
            </a:graphic>
          </wp:inline>
        </w:drawing>
      </w:r>
    </w:p>
    <w:p w:rsidR="00F563F1" w:rsidRDefault="00F563F1" w:rsidP="00F563F1">
      <w:pPr>
        <w:rPr>
          <w:noProof/>
        </w:rPr>
      </w:pPr>
    </w:p>
    <w:p w:rsidR="00F563F1" w:rsidRPr="000949C3" w:rsidRDefault="00F563F1" w:rsidP="00F563F1">
      <w:pPr>
        <w:rPr>
          <w:b/>
          <w:noProof/>
        </w:rPr>
      </w:pPr>
      <w:r w:rsidRPr="000949C3">
        <w:rPr>
          <w:b/>
          <w:noProof/>
        </w:rPr>
        <w:t>Figure S</w:t>
      </w:r>
      <w:r>
        <w:rPr>
          <w:b/>
          <w:noProof/>
        </w:rPr>
        <w:t>2</w:t>
      </w:r>
      <w:r w:rsidRPr="000949C3">
        <w:rPr>
          <w:b/>
          <w:noProof/>
        </w:rPr>
        <w:t>: Log proportional error is normally distributed.</w:t>
      </w:r>
    </w:p>
    <w:p w:rsidR="00F563F1" w:rsidRDefault="00F563F1" w:rsidP="00F563F1">
      <w:pPr>
        <w:rPr>
          <w:noProof/>
        </w:rPr>
      </w:pPr>
      <w:r>
        <w:rPr>
          <w:noProof/>
        </w:rPr>
        <w:t xml:space="preserve">A: For each participant, set-size and serial position, a histogram of error values was constructed, and this histogram was averaged across participants to give the green curves. Each row is a set size, columns indicate serial position. A value of 0 indicates the probe is identical to the response. </w:t>
      </w:r>
    </w:p>
    <w:p w:rsidR="00F563F1" w:rsidRDefault="00F563F1" w:rsidP="00F563F1">
      <w:pPr>
        <w:rPr>
          <w:noProof/>
        </w:rPr>
      </w:pPr>
      <w:r>
        <w:rPr>
          <w:noProof/>
        </w:rPr>
        <w:t xml:space="preserve">B: Each participant’s log-proportional error histogram is shown in a different colour, with all conditions averaged. The curves for each subject did not deviate from normality according to the Kolmogorov-Smirnov statistic.  </w:t>
      </w:r>
    </w:p>
    <w:p w:rsidR="00F563F1" w:rsidRDefault="00F563F1" w:rsidP="00F563F1">
      <w:pPr>
        <w:rPr>
          <w:noProof/>
        </w:rPr>
      </w:pPr>
      <w:r>
        <w:rPr>
          <w:noProof/>
        </w:rPr>
        <w:t xml:space="preserve">C: A quantile-quantile plot comparing each subject’s  log-proportional error to the normal distribution. A straight line indicates normality; small deviations are noted at the extremes indicating a heavy-tailed distribution -- which is well recognised in working memory studies </w:t>
      </w:r>
      <w:r>
        <w:rPr>
          <w:noProof/>
        </w:rPr>
        <w:fldChar w:fldCharType="begin"/>
      </w:r>
      <w:r>
        <w:rPr>
          <w:noProof/>
        </w:rPr>
        <w:instrText xml:space="preserve"> ADDIN ZOTERO_ITEM CSL_CITATION {"citationID":"1s48qe0mp4","properties":{"formattedCitation":"(Berg et al., 2012)","plainCitation":"(Berg et al., 2012)"},"citationItems":[{"id":1863,"uris":["http://zotero.org/users/4068/items/F5N24R28"],"uri":["http://zotero.org/users/4068/items/F5N24R28"],"itemData":{"id":1863,"type":"article-journal","title":"Variability in encoding precision accounts for visual short-term memory limitations","container-title":"Proceedings of the National Academy of Sciences","page":"8780-8785","volume":"109","issue":"22","source":"www.pnas.org","abstract":"It is commonly believed that visual short-term memory (VSTM) consists of a fixed number of “slots” in which items can be stored. An alternative theory in which memory resource is a continuous quantity distributed over all items seems to be refuted by the appearance of guessing in human responses. Here, we introduce a model in which resource is not only continuous but also variable across items and trials, causing random fluctuations in encoding precision. We tested this model against previous models using two VSTM paradigms and two feature dimensions. Our model accurately accounts for all aspects of the data, including apparent guessing, and outperforms slot models in formal model comparison. At the neural level, variability in precision might correspond to variability in neural population gain and doubly stochastic stimulus representation. Our results suggest that VSTM resource is continuous and variable rather than discrete and fixed and might explain why subjective experience of VSTM is not all or none.","DOI":"10.1073/pnas.1117465109","ISSN":"0027-8424, 1091-6490","journalAbbreviation":"PNAS","language":"en","author":[{"family":"Berg","given":"Ronald","dropping-particle":"van den"},{"family":"Shin","given":"Hongsup"},{"family":"Chou","given":"Wen-Chuang"},{"family":"George","given":"Ryan"},{"family":"Ma","given":"Wei Ji"}],"issued":{"date-parts":[["2012",5,29]]}}}],"schema":"https://github.com/citation-style-language/schema/raw/master/csl-citation.json"} </w:instrText>
      </w:r>
      <w:r>
        <w:rPr>
          <w:noProof/>
        </w:rPr>
        <w:fldChar w:fldCharType="separate"/>
      </w:r>
      <w:r w:rsidRPr="00A704CA">
        <w:t>(Berg et al., 2012)</w:t>
      </w:r>
      <w:r>
        <w:rPr>
          <w:noProof/>
        </w:rPr>
        <w:fldChar w:fldCharType="end"/>
      </w:r>
      <w:r>
        <w:rPr>
          <w:noProof/>
        </w:rPr>
        <w:t xml:space="preserve">. </w:t>
      </w:r>
    </w:p>
    <w:p w:rsidR="00F563F1" w:rsidRDefault="00F563F1" w:rsidP="00F563F1">
      <w:pPr>
        <w:rPr>
          <w:noProof/>
        </w:rPr>
      </w:pPr>
    </w:p>
    <w:p w:rsidR="00F563F1" w:rsidRPr="00A07C7C" w:rsidRDefault="00F563F1" w:rsidP="00F563F1">
      <w:pPr>
        <w:widowControl w:val="0"/>
        <w:spacing w:line="480" w:lineRule="auto"/>
        <w:rPr>
          <w:b/>
        </w:rPr>
      </w:pPr>
    </w:p>
    <w:p w:rsidR="00F563F1" w:rsidRDefault="00F563F1" w:rsidP="00F563F1">
      <w:pPr>
        <w:suppressAutoHyphens w:val="0"/>
      </w:pPr>
      <w:r>
        <w:br w:type="page"/>
      </w:r>
    </w:p>
    <w:p w:rsidR="00F563F1" w:rsidRDefault="00F563F1" w:rsidP="00F563F1">
      <w:pPr>
        <w:widowControl w:val="0"/>
      </w:pPr>
    </w:p>
    <w:p w:rsidR="00F563F1" w:rsidRDefault="00F563F1" w:rsidP="00F563F1">
      <w:pPr>
        <w:widowControl w:val="0"/>
      </w:pPr>
      <w:r>
        <w:t>We then tested whether precision calculated from these residuals produced similar results. In particular, the effect of filtering and expectation upon the one-item condition revealed the same significant effects, albeit weaker (</w:t>
      </w:r>
      <w:proofErr w:type="spellStart"/>
      <w:r>
        <w:t>Expt</w:t>
      </w:r>
      <w:proofErr w:type="spellEnd"/>
      <w:r>
        <w:t xml:space="preserve"> 2 paired two-tailed </w:t>
      </w:r>
      <w:proofErr w:type="gramStart"/>
      <w:r w:rsidRPr="00267EEA">
        <w:t>t</w:t>
      </w:r>
      <w:r>
        <w:t>(</w:t>
      </w:r>
      <w:proofErr w:type="gramEnd"/>
      <w:r>
        <w:t xml:space="preserve">14)=3.88, p=0.0017; </w:t>
      </w:r>
      <w:proofErr w:type="spellStart"/>
      <w:r>
        <w:t>Expt</w:t>
      </w:r>
      <w:proofErr w:type="spellEnd"/>
      <w:r>
        <w:t xml:space="preserve"> 3 </w:t>
      </w:r>
      <w:r w:rsidRPr="00267EEA">
        <w:t>t</w:t>
      </w:r>
      <w:r>
        <w:t xml:space="preserve">(12)=2.44  p=0.031), with no effects on other set-size and serial-position combinations (all </w:t>
      </w:r>
      <w:r w:rsidRPr="00267EEA">
        <w:t>t</w:t>
      </w:r>
      <w:r>
        <w:t>&lt;1.61; p&gt;0.05).</w:t>
      </w:r>
    </w:p>
    <w:p w:rsidR="00F563F1" w:rsidRDefault="00F563F1" w:rsidP="00F563F1">
      <w:pPr>
        <w:widowControl w:val="0"/>
        <w:spacing w:line="480" w:lineRule="auto"/>
      </w:pPr>
    </w:p>
    <w:p w:rsidR="00F563F1" w:rsidRDefault="00F563F1" w:rsidP="00F563F1">
      <w:r>
        <w:t>To check that our results were not driven by deviations from normality, we replicated all the pairwise comparisons using non-parametric tests (Mann Whitney signed-rank test) for experiments 2 and 3. The non-parametric statistics are reported in the following table S2, and can be seen to match the t-test results.</w:t>
      </w:r>
    </w:p>
    <w:p w:rsidR="00F563F1" w:rsidRDefault="00F563F1" w:rsidP="00F563F1"/>
    <w:p w:rsidR="00F563F1" w:rsidRDefault="00F563F1" w:rsidP="00F563F1"/>
    <w:p w:rsidR="00F563F1" w:rsidRDefault="00F563F1" w:rsidP="00F563F1">
      <w:pPr>
        <w:rPr>
          <w:b/>
        </w:rPr>
      </w:pPr>
      <w:r w:rsidRPr="000949C3">
        <w:rPr>
          <w:b/>
        </w:rPr>
        <w:t>Table S2</w:t>
      </w:r>
      <w:r>
        <w:rPr>
          <w:b/>
        </w:rPr>
        <w:t xml:space="preserve">: Nonparametric statistics replicated the effects of filtering and expectation in </w:t>
      </w:r>
      <w:proofErr w:type="spellStart"/>
      <w:r>
        <w:rPr>
          <w:b/>
        </w:rPr>
        <w:t>Expts</w:t>
      </w:r>
      <w:proofErr w:type="spellEnd"/>
      <w:r>
        <w:rPr>
          <w:b/>
        </w:rPr>
        <w:t xml:space="preserve"> 2 and 3</w:t>
      </w:r>
    </w:p>
    <w:p w:rsidR="00F563F1" w:rsidRPr="000949C3" w:rsidRDefault="00F563F1" w:rsidP="00F563F1">
      <w:pPr>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735"/>
        <w:gridCol w:w="741"/>
        <w:gridCol w:w="689"/>
        <w:gridCol w:w="689"/>
        <w:gridCol w:w="689"/>
        <w:gridCol w:w="689"/>
        <w:gridCol w:w="689"/>
        <w:gridCol w:w="689"/>
        <w:gridCol w:w="689"/>
        <w:gridCol w:w="689"/>
      </w:tblGrid>
      <w:tr w:rsidR="00F563F1" w:rsidRPr="00691BDE" w:rsidTr="009C3FC0">
        <w:tc>
          <w:tcPr>
            <w:tcW w:w="1134" w:type="dxa"/>
            <w:shd w:val="clear" w:color="auto" w:fill="auto"/>
          </w:tcPr>
          <w:p w:rsidR="00F563F1" w:rsidRPr="00691BDE" w:rsidRDefault="00F563F1" w:rsidP="009C3FC0">
            <w:pPr>
              <w:rPr>
                <w:sz w:val="20"/>
                <w:szCs w:val="20"/>
              </w:rPr>
            </w:pPr>
            <w:r>
              <w:rPr>
                <w:sz w:val="20"/>
                <w:szCs w:val="20"/>
              </w:rPr>
              <w:t>Signed Rank test</w:t>
            </w:r>
          </w:p>
        </w:tc>
        <w:tc>
          <w:tcPr>
            <w:tcW w:w="808" w:type="dxa"/>
            <w:shd w:val="clear" w:color="auto" w:fill="auto"/>
          </w:tcPr>
          <w:p w:rsidR="00F563F1" w:rsidRPr="00691BDE" w:rsidRDefault="00F563F1" w:rsidP="009C3FC0">
            <w:pPr>
              <w:rPr>
                <w:sz w:val="20"/>
                <w:szCs w:val="20"/>
              </w:rPr>
            </w:pPr>
            <w:r w:rsidRPr="00691BDE">
              <w:rPr>
                <w:sz w:val="20"/>
                <w:szCs w:val="20"/>
              </w:rPr>
              <w:t>1</w:t>
            </w:r>
          </w:p>
        </w:tc>
        <w:tc>
          <w:tcPr>
            <w:tcW w:w="808" w:type="dxa"/>
            <w:shd w:val="clear" w:color="auto" w:fill="auto"/>
          </w:tcPr>
          <w:p w:rsidR="00F563F1" w:rsidRPr="00691BDE" w:rsidRDefault="00F563F1" w:rsidP="009C3FC0">
            <w:pPr>
              <w:rPr>
                <w:sz w:val="20"/>
                <w:szCs w:val="20"/>
              </w:rPr>
            </w:pPr>
            <w:r w:rsidRPr="00691BDE">
              <w:rPr>
                <w:sz w:val="20"/>
                <w:szCs w:val="20"/>
              </w:rPr>
              <w:t>2:1</w:t>
            </w:r>
          </w:p>
        </w:tc>
        <w:tc>
          <w:tcPr>
            <w:tcW w:w="700" w:type="dxa"/>
            <w:shd w:val="clear" w:color="auto" w:fill="auto"/>
          </w:tcPr>
          <w:p w:rsidR="00F563F1" w:rsidRPr="00691BDE" w:rsidRDefault="00F563F1" w:rsidP="009C3FC0">
            <w:pPr>
              <w:rPr>
                <w:sz w:val="20"/>
                <w:szCs w:val="20"/>
              </w:rPr>
            </w:pPr>
            <w:r w:rsidRPr="00691BDE">
              <w:rPr>
                <w:sz w:val="20"/>
                <w:szCs w:val="20"/>
              </w:rPr>
              <w:t>2:2</w:t>
            </w:r>
          </w:p>
        </w:tc>
        <w:tc>
          <w:tcPr>
            <w:tcW w:w="700" w:type="dxa"/>
            <w:shd w:val="clear" w:color="auto" w:fill="auto"/>
          </w:tcPr>
          <w:p w:rsidR="00F563F1" w:rsidRPr="00691BDE" w:rsidRDefault="00F563F1" w:rsidP="009C3FC0">
            <w:pPr>
              <w:rPr>
                <w:sz w:val="20"/>
                <w:szCs w:val="20"/>
              </w:rPr>
            </w:pPr>
            <w:r w:rsidRPr="00691BDE">
              <w:rPr>
                <w:sz w:val="20"/>
                <w:szCs w:val="20"/>
              </w:rPr>
              <w:t>3:1</w:t>
            </w:r>
          </w:p>
        </w:tc>
        <w:tc>
          <w:tcPr>
            <w:tcW w:w="700" w:type="dxa"/>
            <w:shd w:val="clear" w:color="auto" w:fill="auto"/>
          </w:tcPr>
          <w:p w:rsidR="00F563F1" w:rsidRPr="00691BDE" w:rsidRDefault="00F563F1" w:rsidP="009C3FC0">
            <w:pPr>
              <w:rPr>
                <w:sz w:val="20"/>
                <w:szCs w:val="20"/>
              </w:rPr>
            </w:pPr>
            <w:r w:rsidRPr="00691BDE">
              <w:rPr>
                <w:sz w:val="20"/>
                <w:szCs w:val="20"/>
              </w:rPr>
              <w:t>3:2</w:t>
            </w:r>
          </w:p>
        </w:tc>
        <w:tc>
          <w:tcPr>
            <w:tcW w:w="700" w:type="dxa"/>
            <w:shd w:val="clear" w:color="auto" w:fill="auto"/>
          </w:tcPr>
          <w:p w:rsidR="00F563F1" w:rsidRPr="00691BDE" w:rsidRDefault="00F563F1" w:rsidP="009C3FC0">
            <w:pPr>
              <w:rPr>
                <w:sz w:val="20"/>
                <w:szCs w:val="20"/>
              </w:rPr>
            </w:pPr>
            <w:r w:rsidRPr="00691BDE">
              <w:rPr>
                <w:sz w:val="20"/>
                <w:szCs w:val="20"/>
              </w:rPr>
              <w:t>3:3</w:t>
            </w:r>
          </w:p>
        </w:tc>
        <w:tc>
          <w:tcPr>
            <w:tcW w:w="700" w:type="dxa"/>
            <w:shd w:val="clear" w:color="auto" w:fill="auto"/>
          </w:tcPr>
          <w:p w:rsidR="00F563F1" w:rsidRPr="00691BDE" w:rsidRDefault="00F563F1" w:rsidP="009C3FC0">
            <w:pPr>
              <w:rPr>
                <w:sz w:val="20"/>
                <w:szCs w:val="20"/>
              </w:rPr>
            </w:pPr>
            <w:r w:rsidRPr="00691BDE">
              <w:rPr>
                <w:sz w:val="20"/>
                <w:szCs w:val="20"/>
              </w:rPr>
              <w:t>4:1</w:t>
            </w:r>
          </w:p>
        </w:tc>
        <w:tc>
          <w:tcPr>
            <w:tcW w:w="700" w:type="dxa"/>
            <w:shd w:val="clear" w:color="auto" w:fill="auto"/>
          </w:tcPr>
          <w:p w:rsidR="00F563F1" w:rsidRPr="00691BDE" w:rsidRDefault="00F563F1" w:rsidP="009C3FC0">
            <w:pPr>
              <w:rPr>
                <w:sz w:val="20"/>
                <w:szCs w:val="20"/>
              </w:rPr>
            </w:pPr>
            <w:r w:rsidRPr="00691BDE">
              <w:rPr>
                <w:sz w:val="20"/>
                <w:szCs w:val="20"/>
              </w:rPr>
              <w:t>4:2</w:t>
            </w:r>
          </w:p>
        </w:tc>
        <w:tc>
          <w:tcPr>
            <w:tcW w:w="700" w:type="dxa"/>
            <w:shd w:val="clear" w:color="auto" w:fill="auto"/>
          </w:tcPr>
          <w:p w:rsidR="00F563F1" w:rsidRPr="00691BDE" w:rsidRDefault="00F563F1" w:rsidP="009C3FC0">
            <w:pPr>
              <w:rPr>
                <w:sz w:val="20"/>
                <w:szCs w:val="20"/>
              </w:rPr>
            </w:pPr>
            <w:r w:rsidRPr="00691BDE">
              <w:rPr>
                <w:sz w:val="20"/>
                <w:szCs w:val="20"/>
              </w:rPr>
              <w:t>4:3</w:t>
            </w:r>
          </w:p>
        </w:tc>
        <w:tc>
          <w:tcPr>
            <w:tcW w:w="700" w:type="dxa"/>
            <w:shd w:val="clear" w:color="auto" w:fill="auto"/>
          </w:tcPr>
          <w:p w:rsidR="00F563F1" w:rsidRPr="00691BDE" w:rsidRDefault="00F563F1" w:rsidP="009C3FC0">
            <w:pPr>
              <w:rPr>
                <w:sz w:val="20"/>
                <w:szCs w:val="20"/>
              </w:rPr>
            </w:pPr>
            <w:r w:rsidRPr="00691BDE">
              <w:rPr>
                <w:sz w:val="20"/>
                <w:szCs w:val="20"/>
              </w:rPr>
              <w:t>4:4</w:t>
            </w:r>
          </w:p>
        </w:tc>
      </w:tr>
      <w:tr w:rsidR="00F563F1" w:rsidRPr="00691BDE" w:rsidTr="009C3FC0">
        <w:tc>
          <w:tcPr>
            <w:tcW w:w="1134" w:type="dxa"/>
            <w:shd w:val="clear" w:color="auto" w:fill="auto"/>
          </w:tcPr>
          <w:p w:rsidR="00F563F1" w:rsidRPr="00691BDE" w:rsidRDefault="00F563F1" w:rsidP="009C3FC0">
            <w:pPr>
              <w:rPr>
                <w:sz w:val="20"/>
                <w:szCs w:val="20"/>
              </w:rPr>
            </w:pPr>
            <w:proofErr w:type="spellStart"/>
            <w:r w:rsidRPr="00691BDE">
              <w:rPr>
                <w:b/>
                <w:sz w:val="20"/>
                <w:szCs w:val="20"/>
              </w:rPr>
              <w:t>Exp</w:t>
            </w:r>
            <w:proofErr w:type="spellEnd"/>
            <w:r w:rsidRPr="00691BDE">
              <w:rPr>
                <w:b/>
                <w:sz w:val="20"/>
                <w:szCs w:val="20"/>
              </w:rPr>
              <w:t xml:space="preserve"> 2: </w:t>
            </w:r>
            <w:r w:rsidRPr="00691BDE">
              <w:rPr>
                <w:sz w:val="20"/>
                <w:szCs w:val="20"/>
              </w:rPr>
              <w:t>p=</w:t>
            </w:r>
          </w:p>
        </w:tc>
        <w:tc>
          <w:tcPr>
            <w:tcW w:w="808" w:type="dxa"/>
            <w:shd w:val="clear" w:color="auto" w:fill="auto"/>
          </w:tcPr>
          <w:p w:rsidR="00F563F1" w:rsidRPr="00231E08" w:rsidRDefault="00F563F1" w:rsidP="009C3FC0">
            <w:pPr>
              <w:rPr>
                <w:b/>
                <w:sz w:val="20"/>
                <w:szCs w:val="20"/>
              </w:rPr>
            </w:pPr>
            <w:r w:rsidRPr="00231E08">
              <w:rPr>
                <w:b/>
                <w:sz w:val="20"/>
                <w:szCs w:val="20"/>
              </w:rPr>
              <w:t>0.010</w:t>
            </w:r>
          </w:p>
        </w:tc>
        <w:tc>
          <w:tcPr>
            <w:tcW w:w="808" w:type="dxa"/>
            <w:shd w:val="clear" w:color="auto" w:fill="auto"/>
          </w:tcPr>
          <w:p w:rsidR="00F563F1" w:rsidRPr="00691BDE" w:rsidRDefault="00F563F1" w:rsidP="009C3FC0">
            <w:pPr>
              <w:rPr>
                <w:sz w:val="20"/>
                <w:szCs w:val="20"/>
              </w:rPr>
            </w:pPr>
            <w:r w:rsidRPr="00691BDE">
              <w:rPr>
                <w:sz w:val="20"/>
                <w:szCs w:val="20"/>
              </w:rPr>
              <w:t>&gt;0.05</w:t>
            </w:r>
          </w:p>
        </w:tc>
        <w:tc>
          <w:tcPr>
            <w:tcW w:w="700" w:type="dxa"/>
            <w:shd w:val="clear" w:color="auto" w:fill="auto"/>
          </w:tcPr>
          <w:p w:rsidR="00F563F1" w:rsidRPr="00691BDE" w:rsidRDefault="00F563F1" w:rsidP="009C3FC0">
            <w:pPr>
              <w:rPr>
                <w:sz w:val="20"/>
                <w:szCs w:val="20"/>
              </w:rPr>
            </w:pPr>
            <w:r w:rsidRPr="00691BDE">
              <w:rPr>
                <w:sz w:val="20"/>
                <w:szCs w:val="20"/>
              </w:rPr>
              <w:t>&gt;0.05</w:t>
            </w:r>
          </w:p>
        </w:tc>
        <w:tc>
          <w:tcPr>
            <w:tcW w:w="700" w:type="dxa"/>
            <w:shd w:val="clear" w:color="auto" w:fill="auto"/>
          </w:tcPr>
          <w:p w:rsidR="00F563F1" w:rsidRPr="00691BDE" w:rsidRDefault="00F563F1" w:rsidP="009C3FC0">
            <w:pPr>
              <w:rPr>
                <w:sz w:val="20"/>
                <w:szCs w:val="20"/>
              </w:rPr>
            </w:pPr>
            <w:r w:rsidRPr="00691BDE">
              <w:rPr>
                <w:sz w:val="20"/>
                <w:szCs w:val="20"/>
              </w:rPr>
              <w:t>&gt;0.05</w:t>
            </w:r>
          </w:p>
        </w:tc>
        <w:tc>
          <w:tcPr>
            <w:tcW w:w="700" w:type="dxa"/>
            <w:shd w:val="clear" w:color="auto" w:fill="auto"/>
          </w:tcPr>
          <w:p w:rsidR="00F563F1" w:rsidRPr="00691BDE" w:rsidRDefault="00F563F1" w:rsidP="009C3FC0">
            <w:pPr>
              <w:rPr>
                <w:sz w:val="20"/>
                <w:szCs w:val="20"/>
              </w:rPr>
            </w:pPr>
            <w:r w:rsidRPr="00691BDE">
              <w:rPr>
                <w:sz w:val="20"/>
                <w:szCs w:val="20"/>
              </w:rPr>
              <w:t>&gt;0.05</w:t>
            </w:r>
          </w:p>
        </w:tc>
        <w:tc>
          <w:tcPr>
            <w:tcW w:w="700" w:type="dxa"/>
            <w:shd w:val="clear" w:color="auto" w:fill="auto"/>
          </w:tcPr>
          <w:p w:rsidR="00F563F1" w:rsidRPr="00691BDE" w:rsidRDefault="00F563F1" w:rsidP="009C3FC0">
            <w:pPr>
              <w:rPr>
                <w:sz w:val="20"/>
                <w:szCs w:val="20"/>
              </w:rPr>
            </w:pPr>
            <w:r w:rsidRPr="00691BDE">
              <w:rPr>
                <w:sz w:val="20"/>
                <w:szCs w:val="20"/>
              </w:rPr>
              <w:t>&gt;0.05</w:t>
            </w:r>
          </w:p>
        </w:tc>
        <w:tc>
          <w:tcPr>
            <w:tcW w:w="700" w:type="dxa"/>
            <w:shd w:val="clear" w:color="auto" w:fill="auto"/>
          </w:tcPr>
          <w:p w:rsidR="00F563F1" w:rsidRPr="00691BDE" w:rsidRDefault="00F563F1" w:rsidP="009C3FC0">
            <w:pPr>
              <w:rPr>
                <w:sz w:val="20"/>
                <w:szCs w:val="20"/>
              </w:rPr>
            </w:pPr>
            <w:r w:rsidRPr="00691BDE">
              <w:rPr>
                <w:sz w:val="20"/>
                <w:szCs w:val="20"/>
              </w:rPr>
              <w:t>&gt;0.05</w:t>
            </w:r>
          </w:p>
        </w:tc>
        <w:tc>
          <w:tcPr>
            <w:tcW w:w="700" w:type="dxa"/>
            <w:shd w:val="clear" w:color="auto" w:fill="auto"/>
          </w:tcPr>
          <w:p w:rsidR="00F563F1" w:rsidRPr="00691BDE" w:rsidRDefault="00F563F1" w:rsidP="009C3FC0">
            <w:pPr>
              <w:rPr>
                <w:sz w:val="20"/>
                <w:szCs w:val="20"/>
              </w:rPr>
            </w:pPr>
            <w:r w:rsidRPr="00691BDE">
              <w:rPr>
                <w:sz w:val="20"/>
                <w:szCs w:val="20"/>
              </w:rPr>
              <w:t>&gt;0.05</w:t>
            </w:r>
          </w:p>
        </w:tc>
        <w:tc>
          <w:tcPr>
            <w:tcW w:w="700" w:type="dxa"/>
            <w:shd w:val="clear" w:color="auto" w:fill="auto"/>
          </w:tcPr>
          <w:p w:rsidR="00F563F1" w:rsidRPr="00691BDE" w:rsidRDefault="00F563F1" w:rsidP="009C3FC0">
            <w:pPr>
              <w:rPr>
                <w:sz w:val="20"/>
                <w:szCs w:val="20"/>
              </w:rPr>
            </w:pPr>
            <w:r w:rsidRPr="00691BDE">
              <w:rPr>
                <w:sz w:val="20"/>
                <w:szCs w:val="20"/>
              </w:rPr>
              <w:t>&gt;0.05</w:t>
            </w:r>
          </w:p>
        </w:tc>
        <w:tc>
          <w:tcPr>
            <w:tcW w:w="700" w:type="dxa"/>
            <w:shd w:val="clear" w:color="auto" w:fill="auto"/>
          </w:tcPr>
          <w:p w:rsidR="00F563F1" w:rsidRPr="00691BDE" w:rsidRDefault="00F563F1" w:rsidP="009C3FC0">
            <w:pPr>
              <w:rPr>
                <w:sz w:val="20"/>
                <w:szCs w:val="20"/>
              </w:rPr>
            </w:pPr>
            <w:r w:rsidRPr="00691BDE">
              <w:rPr>
                <w:sz w:val="20"/>
                <w:szCs w:val="20"/>
              </w:rPr>
              <w:t>&gt;0.05</w:t>
            </w:r>
          </w:p>
        </w:tc>
      </w:tr>
      <w:tr w:rsidR="00F563F1" w:rsidRPr="00691BDE" w:rsidTr="009C3FC0">
        <w:tc>
          <w:tcPr>
            <w:tcW w:w="1134" w:type="dxa"/>
            <w:shd w:val="clear" w:color="auto" w:fill="auto"/>
          </w:tcPr>
          <w:p w:rsidR="00F563F1" w:rsidRPr="00691BDE" w:rsidRDefault="00F563F1" w:rsidP="009C3FC0">
            <w:pPr>
              <w:rPr>
                <w:sz w:val="20"/>
                <w:szCs w:val="20"/>
              </w:rPr>
            </w:pPr>
            <w:proofErr w:type="spellStart"/>
            <w:r w:rsidRPr="00691BDE">
              <w:rPr>
                <w:b/>
                <w:sz w:val="20"/>
                <w:szCs w:val="20"/>
              </w:rPr>
              <w:t>Exp</w:t>
            </w:r>
            <w:proofErr w:type="spellEnd"/>
            <w:r w:rsidRPr="00691BDE">
              <w:rPr>
                <w:b/>
                <w:sz w:val="20"/>
                <w:szCs w:val="20"/>
              </w:rPr>
              <w:t xml:space="preserve"> 3: </w:t>
            </w:r>
            <w:r w:rsidRPr="00691BDE">
              <w:rPr>
                <w:sz w:val="20"/>
                <w:szCs w:val="20"/>
              </w:rPr>
              <w:t>p=</w:t>
            </w:r>
          </w:p>
        </w:tc>
        <w:tc>
          <w:tcPr>
            <w:tcW w:w="808" w:type="dxa"/>
            <w:shd w:val="clear" w:color="auto" w:fill="auto"/>
          </w:tcPr>
          <w:p w:rsidR="00F563F1" w:rsidRPr="00231E08" w:rsidRDefault="00F563F1" w:rsidP="009C3FC0">
            <w:pPr>
              <w:rPr>
                <w:b/>
                <w:sz w:val="20"/>
                <w:szCs w:val="20"/>
              </w:rPr>
            </w:pPr>
            <w:r w:rsidRPr="00231E08">
              <w:rPr>
                <w:b/>
                <w:sz w:val="20"/>
                <w:szCs w:val="20"/>
              </w:rPr>
              <w:t>0.001</w:t>
            </w:r>
          </w:p>
        </w:tc>
        <w:tc>
          <w:tcPr>
            <w:tcW w:w="808" w:type="dxa"/>
            <w:shd w:val="clear" w:color="auto" w:fill="auto"/>
          </w:tcPr>
          <w:p w:rsidR="00F563F1" w:rsidRPr="00691BDE" w:rsidRDefault="00F563F1" w:rsidP="009C3FC0">
            <w:pPr>
              <w:rPr>
                <w:sz w:val="20"/>
                <w:szCs w:val="20"/>
              </w:rPr>
            </w:pPr>
            <w:r w:rsidRPr="00691BDE">
              <w:rPr>
                <w:sz w:val="20"/>
                <w:szCs w:val="20"/>
              </w:rPr>
              <w:t>&gt;0.05</w:t>
            </w:r>
          </w:p>
        </w:tc>
        <w:tc>
          <w:tcPr>
            <w:tcW w:w="700" w:type="dxa"/>
            <w:shd w:val="clear" w:color="auto" w:fill="auto"/>
          </w:tcPr>
          <w:p w:rsidR="00F563F1" w:rsidRPr="00691BDE" w:rsidRDefault="00F563F1" w:rsidP="009C3FC0">
            <w:pPr>
              <w:rPr>
                <w:sz w:val="20"/>
                <w:szCs w:val="20"/>
              </w:rPr>
            </w:pPr>
            <w:r w:rsidRPr="00691BDE">
              <w:rPr>
                <w:sz w:val="20"/>
                <w:szCs w:val="20"/>
              </w:rPr>
              <w:t>&gt;0.05</w:t>
            </w:r>
          </w:p>
        </w:tc>
        <w:tc>
          <w:tcPr>
            <w:tcW w:w="700" w:type="dxa"/>
            <w:shd w:val="clear" w:color="auto" w:fill="auto"/>
          </w:tcPr>
          <w:p w:rsidR="00F563F1" w:rsidRPr="00691BDE" w:rsidRDefault="00F563F1" w:rsidP="009C3FC0">
            <w:pPr>
              <w:rPr>
                <w:sz w:val="20"/>
                <w:szCs w:val="20"/>
              </w:rPr>
            </w:pPr>
            <w:r w:rsidRPr="00691BDE">
              <w:rPr>
                <w:sz w:val="20"/>
                <w:szCs w:val="20"/>
              </w:rPr>
              <w:t>&gt;0.05</w:t>
            </w:r>
          </w:p>
        </w:tc>
        <w:tc>
          <w:tcPr>
            <w:tcW w:w="700" w:type="dxa"/>
            <w:shd w:val="clear" w:color="auto" w:fill="auto"/>
          </w:tcPr>
          <w:p w:rsidR="00F563F1" w:rsidRPr="00691BDE" w:rsidRDefault="00F563F1" w:rsidP="009C3FC0">
            <w:pPr>
              <w:rPr>
                <w:sz w:val="20"/>
                <w:szCs w:val="20"/>
              </w:rPr>
            </w:pPr>
            <w:r w:rsidRPr="00691BDE">
              <w:rPr>
                <w:sz w:val="20"/>
                <w:szCs w:val="20"/>
              </w:rPr>
              <w:t>&gt;0.05</w:t>
            </w:r>
          </w:p>
        </w:tc>
        <w:tc>
          <w:tcPr>
            <w:tcW w:w="700" w:type="dxa"/>
            <w:shd w:val="clear" w:color="auto" w:fill="auto"/>
          </w:tcPr>
          <w:p w:rsidR="00F563F1" w:rsidRPr="00691BDE" w:rsidRDefault="00F563F1" w:rsidP="009C3FC0">
            <w:pPr>
              <w:rPr>
                <w:sz w:val="20"/>
                <w:szCs w:val="20"/>
              </w:rPr>
            </w:pPr>
            <w:r w:rsidRPr="00691BDE">
              <w:rPr>
                <w:sz w:val="20"/>
                <w:szCs w:val="20"/>
              </w:rPr>
              <w:t>&gt;0.05</w:t>
            </w:r>
          </w:p>
        </w:tc>
        <w:tc>
          <w:tcPr>
            <w:tcW w:w="700" w:type="dxa"/>
            <w:shd w:val="clear" w:color="auto" w:fill="auto"/>
          </w:tcPr>
          <w:p w:rsidR="00F563F1" w:rsidRPr="00691BDE" w:rsidRDefault="00F563F1" w:rsidP="009C3FC0">
            <w:pPr>
              <w:rPr>
                <w:sz w:val="20"/>
                <w:szCs w:val="20"/>
              </w:rPr>
            </w:pPr>
            <w:r w:rsidRPr="00691BDE">
              <w:rPr>
                <w:sz w:val="20"/>
                <w:szCs w:val="20"/>
              </w:rPr>
              <w:t>&gt;0.05</w:t>
            </w:r>
          </w:p>
        </w:tc>
        <w:tc>
          <w:tcPr>
            <w:tcW w:w="700" w:type="dxa"/>
            <w:shd w:val="clear" w:color="auto" w:fill="auto"/>
          </w:tcPr>
          <w:p w:rsidR="00F563F1" w:rsidRPr="00691BDE" w:rsidRDefault="00F563F1" w:rsidP="009C3FC0">
            <w:pPr>
              <w:rPr>
                <w:sz w:val="20"/>
                <w:szCs w:val="20"/>
              </w:rPr>
            </w:pPr>
            <w:r w:rsidRPr="00691BDE">
              <w:rPr>
                <w:sz w:val="20"/>
                <w:szCs w:val="20"/>
              </w:rPr>
              <w:t>&gt;0.05</w:t>
            </w:r>
          </w:p>
        </w:tc>
        <w:tc>
          <w:tcPr>
            <w:tcW w:w="700" w:type="dxa"/>
            <w:shd w:val="clear" w:color="auto" w:fill="auto"/>
          </w:tcPr>
          <w:p w:rsidR="00F563F1" w:rsidRPr="00691BDE" w:rsidRDefault="00F563F1" w:rsidP="009C3FC0">
            <w:pPr>
              <w:rPr>
                <w:sz w:val="20"/>
                <w:szCs w:val="20"/>
              </w:rPr>
            </w:pPr>
            <w:r w:rsidRPr="00691BDE">
              <w:rPr>
                <w:sz w:val="20"/>
                <w:szCs w:val="20"/>
              </w:rPr>
              <w:t>&gt;0.05</w:t>
            </w:r>
          </w:p>
        </w:tc>
        <w:tc>
          <w:tcPr>
            <w:tcW w:w="700" w:type="dxa"/>
            <w:shd w:val="clear" w:color="auto" w:fill="auto"/>
          </w:tcPr>
          <w:p w:rsidR="00F563F1" w:rsidRPr="00691BDE" w:rsidRDefault="00F563F1" w:rsidP="009C3FC0">
            <w:pPr>
              <w:rPr>
                <w:sz w:val="20"/>
                <w:szCs w:val="20"/>
              </w:rPr>
            </w:pPr>
            <w:r w:rsidRPr="00691BDE">
              <w:rPr>
                <w:sz w:val="20"/>
                <w:szCs w:val="20"/>
              </w:rPr>
              <w:t>&gt;0.05</w:t>
            </w:r>
          </w:p>
        </w:tc>
      </w:tr>
    </w:tbl>
    <w:p w:rsidR="00F563F1" w:rsidRDefault="00F563F1" w:rsidP="00F563F1">
      <w:pPr>
        <w:widowControl w:val="0"/>
        <w:spacing w:line="480" w:lineRule="auto"/>
      </w:pPr>
    </w:p>
    <w:p w:rsidR="00F563F1" w:rsidRDefault="00F563F1" w:rsidP="00F563F1">
      <w:pPr>
        <w:widowControl w:val="0"/>
      </w:pPr>
      <w:r>
        <w:t xml:space="preserve">Since the distribution of residuals deviated from normality, nonparametric pairwise post-hoc comparisons were performed for each set size and serial position. The same pattern of results was observed, with significant effects on the single-item conditions. </w:t>
      </w:r>
    </w:p>
    <w:p w:rsidR="00F563F1" w:rsidRDefault="00F563F1" w:rsidP="00F563F1">
      <w:pPr>
        <w:widowControl w:val="0"/>
        <w:spacing w:line="480" w:lineRule="auto"/>
      </w:pPr>
    </w:p>
    <w:p w:rsidR="00F563F1" w:rsidRDefault="00F563F1" w:rsidP="00F563F1">
      <w:pPr>
        <w:widowControl w:val="0"/>
        <w:spacing w:line="480" w:lineRule="auto"/>
      </w:pPr>
    </w:p>
    <w:p w:rsidR="00F563F1" w:rsidRDefault="00F563F1" w:rsidP="00F563F1">
      <w:pPr>
        <w:rPr>
          <w:noProof/>
        </w:rPr>
      </w:pPr>
      <w:r w:rsidRPr="008D031F">
        <w:rPr>
          <w:noProof/>
        </w:rPr>
        <w:lastRenderedPageBreak/>
        <w:drawing>
          <wp:inline distT="0" distB="0" distL="0" distR="0" wp14:anchorId="566F6114" wp14:editId="09EC2D56">
            <wp:extent cx="2204085" cy="423608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4085" cy="4236085"/>
                    </a:xfrm>
                    <a:prstGeom prst="rect">
                      <a:avLst/>
                    </a:prstGeom>
                    <a:noFill/>
                    <a:ln>
                      <a:noFill/>
                    </a:ln>
                  </pic:spPr>
                </pic:pic>
              </a:graphicData>
            </a:graphic>
          </wp:inline>
        </w:drawing>
      </w:r>
    </w:p>
    <w:p w:rsidR="00F563F1" w:rsidRDefault="00F563F1" w:rsidP="00F563F1">
      <w:pPr>
        <w:rPr>
          <w:noProof/>
        </w:rPr>
      </w:pPr>
    </w:p>
    <w:p w:rsidR="00F563F1" w:rsidRPr="00963AD4" w:rsidRDefault="00F563F1" w:rsidP="00F563F1">
      <w:pPr>
        <w:rPr>
          <w:b/>
          <w:noProof/>
        </w:rPr>
      </w:pPr>
      <w:r w:rsidRPr="00963AD4">
        <w:rPr>
          <w:b/>
          <w:noProof/>
        </w:rPr>
        <w:t>Figure S</w:t>
      </w:r>
      <w:r>
        <w:rPr>
          <w:b/>
          <w:noProof/>
        </w:rPr>
        <w:t>3</w:t>
      </w:r>
      <w:r w:rsidRPr="00963AD4">
        <w:rPr>
          <w:b/>
          <w:noProof/>
        </w:rPr>
        <w:t>: Does bias vary according to condition?</w:t>
      </w:r>
    </w:p>
    <w:p w:rsidR="00F563F1" w:rsidRDefault="00F563F1" w:rsidP="00F563F1">
      <w:r>
        <w:rPr>
          <w:noProof/>
        </w:rPr>
        <w:t xml:space="preserve">The relative bias in each condition was estimated, relative to the subject’s overall regression line. Values are mean signed residuals grouped by condition, with between-subjects standard error. </w:t>
      </w:r>
      <w:r w:rsidRPr="00A07C7C">
        <w:rPr>
          <w:b/>
          <w:noProof/>
        </w:rPr>
        <w:t>A</w:t>
      </w:r>
      <w:r>
        <w:rPr>
          <w:noProof/>
        </w:rPr>
        <w:t xml:space="preserve">: experiment 1. Single items were reported as shorter relative to longer sequences. Items at the start of the seqeuence were reported as shorter relative to those at the end of a sequence.  </w:t>
      </w:r>
      <w:r w:rsidRPr="00A07C7C">
        <w:rPr>
          <w:b/>
          <w:noProof/>
        </w:rPr>
        <w:t>B</w:t>
      </w:r>
      <w:r>
        <w:rPr>
          <w:noProof/>
        </w:rPr>
        <w:t xml:space="preserve">: Experiment 2. There was no effect of introducing an irrelevant feature on the pattern of bias. </w:t>
      </w:r>
      <w:r w:rsidRPr="00A07C7C">
        <w:rPr>
          <w:b/>
          <w:noProof/>
        </w:rPr>
        <w:t>C</w:t>
      </w:r>
      <w:r>
        <w:rPr>
          <w:noProof/>
        </w:rPr>
        <w:t>: Experiment 3. There was no effect of pre-cueing the number of items in the sequence. For this plot, the log-log correlation was used, but an identical pattern was observed with the linear correlation residuals.</w:t>
      </w:r>
    </w:p>
    <w:p w:rsidR="00F563F1" w:rsidRDefault="00F563F1" w:rsidP="00F563F1">
      <w:pPr>
        <w:ind w:left="720"/>
      </w:pPr>
    </w:p>
    <w:p w:rsidR="00F563F1" w:rsidRDefault="00F563F1" w:rsidP="00F563F1">
      <w:pPr>
        <w:ind w:left="720"/>
      </w:pPr>
    </w:p>
    <w:p w:rsidR="00F563F1" w:rsidRDefault="00F563F1" w:rsidP="00F563F1">
      <w:pPr>
        <w:ind w:left="720"/>
      </w:pPr>
    </w:p>
    <w:p w:rsidR="00F563F1" w:rsidRDefault="00F563F1" w:rsidP="00F563F1">
      <w:pPr>
        <w:suppressAutoHyphens w:val="0"/>
      </w:pPr>
      <w:r>
        <w:t xml:space="preserve">To visualise more precisely the actual responses made in each condition, we binned trials according to the duration of the target, and calculated the mean response duration in that bin. This produces an empirical curve relating response to stimulus. The mean across subjects is shown in </w:t>
      </w:r>
      <w:r w:rsidRPr="00231E08">
        <w:rPr>
          <w:b/>
        </w:rPr>
        <w:t>Fig.</w:t>
      </w:r>
      <w:r>
        <w:t xml:space="preserve"> </w:t>
      </w:r>
      <w:r w:rsidRPr="00231E08">
        <w:rPr>
          <w:b/>
        </w:rPr>
        <w:t>S4</w:t>
      </w:r>
      <w:r>
        <w:t xml:space="preserve">. </w:t>
      </w:r>
      <w:r>
        <w:br/>
      </w:r>
      <w:r>
        <w:br/>
        <w:t xml:space="preserve">These plots </w:t>
      </w:r>
      <w:proofErr w:type="gramStart"/>
      <w:r>
        <w:t>corresponds</w:t>
      </w:r>
      <w:proofErr w:type="gramEnd"/>
      <w:r>
        <w:t xml:space="preserve"> to the single-subject data of the original figure 1B, but at the group level. Notably the effect of filtering and expectation upon the line is seen to be minimal.</w:t>
      </w:r>
    </w:p>
    <w:p w:rsidR="00F563F1" w:rsidRPr="00AF2948" w:rsidRDefault="00F563F1" w:rsidP="00F563F1">
      <w:pPr>
        <w:ind w:left="720"/>
      </w:pPr>
    </w:p>
    <w:p w:rsidR="00F563F1" w:rsidRDefault="00F563F1" w:rsidP="00F563F1">
      <w:pPr>
        <w:rPr>
          <w:noProof/>
        </w:rPr>
      </w:pPr>
      <w:r w:rsidRPr="00AF2948">
        <w:rPr>
          <w:noProof/>
        </w:rPr>
        <w:lastRenderedPageBreak/>
        <w:drawing>
          <wp:inline distT="0" distB="0" distL="0" distR="0" wp14:anchorId="4493F364" wp14:editId="7AED112D">
            <wp:extent cx="3141785" cy="3438707"/>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833" cy="3440949"/>
                    </a:xfrm>
                    <a:prstGeom prst="rect">
                      <a:avLst/>
                    </a:prstGeom>
                    <a:noFill/>
                    <a:ln>
                      <a:noFill/>
                    </a:ln>
                  </pic:spPr>
                </pic:pic>
              </a:graphicData>
            </a:graphic>
          </wp:inline>
        </w:drawing>
      </w:r>
    </w:p>
    <w:p w:rsidR="00F563F1" w:rsidRDefault="00F563F1" w:rsidP="00F563F1">
      <w:pPr>
        <w:rPr>
          <w:noProof/>
        </w:rPr>
      </w:pPr>
    </w:p>
    <w:p w:rsidR="00F563F1" w:rsidRDefault="00F563F1" w:rsidP="00F563F1">
      <w:pPr>
        <w:rPr>
          <w:noProof/>
        </w:rPr>
      </w:pPr>
      <w:r w:rsidRPr="00AF2948">
        <w:rPr>
          <w:noProof/>
        </w:rPr>
        <w:drawing>
          <wp:inline distT="0" distB="0" distL="0" distR="0" wp14:anchorId="73B8E0FB" wp14:editId="169C0448">
            <wp:extent cx="2469662" cy="2910013"/>
            <wp:effectExtent l="0" t="0" r="698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5589" cy="2916997"/>
                    </a:xfrm>
                    <a:prstGeom prst="rect">
                      <a:avLst/>
                    </a:prstGeom>
                    <a:noFill/>
                    <a:ln>
                      <a:noFill/>
                    </a:ln>
                  </pic:spPr>
                </pic:pic>
              </a:graphicData>
            </a:graphic>
          </wp:inline>
        </w:drawing>
      </w:r>
      <w:r>
        <w:rPr>
          <w:noProof/>
        </w:rPr>
        <w:t xml:space="preserve">   </w:t>
      </w:r>
      <w:r w:rsidRPr="00AF2948">
        <w:rPr>
          <w:noProof/>
        </w:rPr>
        <w:drawing>
          <wp:inline distT="0" distB="0" distL="0" distR="0" wp14:anchorId="7A5D04CF" wp14:editId="5D8E846A">
            <wp:extent cx="2431886" cy="296203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3725" cy="2964270"/>
                    </a:xfrm>
                    <a:prstGeom prst="rect">
                      <a:avLst/>
                    </a:prstGeom>
                    <a:noFill/>
                    <a:ln>
                      <a:noFill/>
                    </a:ln>
                  </pic:spPr>
                </pic:pic>
              </a:graphicData>
            </a:graphic>
          </wp:inline>
        </w:drawing>
      </w:r>
    </w:p>
    <w:p w:rsidR="00F563F1" w:rsidRDefault="00F563F1" w:rsidP="00F563F1">
      <w:pPr>
        <w:rPr>
          <w:noProof/>
        </w:rPr>
      </w:pPr>
    </w:p>
    <w:p w:rsidR="00F563F1" w:rsidRPr="00231E08" w:rsidRDefault="00F563F1" w:rsidP="00F563F1">
      <w:pPr>
        <w:rPr>
          <w:b/>
          <w:noProof/>
        </w:rPr>
      </w:pPr>
      <w:r w:rsidRPr="00231E08">
        <w:rPr>
          <w:b/>
          <w:noProof/>
        </w:rPr>
        <w:t>Figure S4: Visualisation of empirical respose-vs-target curves</w:t>
      </w:r>
    </w:p>
    <w:p w:rsidR="00F563F1" w:rsidRDefault="00F563F1" w:rsidP="00F563F1">
      <w:r>
        <w:rPr>
          <w:noProof/>
        </w:rPr>
        <w:t>For each subject and condition, trials were binned according to the target duration,</w:t>
      </w:r>
      <w:r w:rsidRPr="00705438">
        <w:rPr>
          <w:noProof/>
        </w:rPr>
        <w:t xml:space="preserve"> </w:t>
      </w:r>
      <w:r>
        <w:rPr>
          <w:noProof/>
        </w:rPr>
        <w:t>using a sliding window 360 ms wide. The mean response duration in each bin was calculated. Line indicates mean across subjects and shading indicates every 0.125 quantile.   The green line indicates a 1:1 ratio i.e. perfect responding. Flattening of the line occurs with regression to the mean due to memory degradation, or due to perceptual bias, or due to Bayesian estimation with a known prior.</w:t>
      </w:r>
    </w:p>
    <w:p w:rsidR="00F563F1" w:rsidRDefault="00F563F1" w:rsidP="00F563F1">
      <w:pPr>
        <w:widowControl w:val="0"/>
        <w:spacing w:line="480" w:lineRule="auto"/>
      </w:pPr>
    </w:p>
    <w:p w:rsidR="00F563F1" w:rsidRDefault="00F563F1">
      <w:pPr>
        <w:suppressAutoHyphens w:val="0"/>
      </w:pPr>
      <w:r>
        <w:br w:type="page"/>
      </w:r>
    </w:p>
    <w:p w:rsidR="00F563F1" w:rsidRDefault="00F563F1" w:rsidP="00F563F1">
      <w:pPr>
        <w:widowControl w:val="0"/>
        <w:spacing w:line="480" w:lineRule="auto"/>
      </w:pPr>
    </w:p>
    <w:p w:rsidR="00F563F1" w:rsidRPr="003430E4" w:rsidRDefault="00F563F1" w:rsidP="00F563F1">
      <w:pPr>
        <w:suppressAutoHyphens w:val="0"/>
        <w:rPr>
          <w:b/>
        </w:rPr>
      </w:pPr>
      <w:r w:rsidRPr="003430E4">
        <w:rPr>
          <w:b/>
        </w:rPr>
        <w:t>Does pitch influence response</w:t>
      </w:r>
      <w:r>
        <w:rPr>
          <w:b/>
        </w:rPr>
        <w:t xml:space="preserve"> duration?</w:t>
      </w:r>
    </w:p>
    <w:p w:rsidR="00F563F1" w:rsidRDefault="00F563F1" w:rsidP="00F563F1">
      <w:pPr>
        <w:suppressAutoHyphens w:val="0"/>
      </w:pPr>
    </w:p>
    <w:p w:rsidR="00F563F1" w:rsidRDefault="00F563F1" w:rsidP="00F563F1">
      <w:pPr>
        <w:suppressAutoHyphens w:val="0"/>
      </w:pPr>
      <w:r>
        <w:t>The proportional error of the produced response relative to the probed duration for each trial was plotted against the pitch (</w:t>
      </w:r>
      <w:r w:rsidRPr="00231E08">
        <w:rPr>
          <w:b/>
        </w:rPr>
        <w:t>Fig. S5A</w:t>
      </w:r>
      <w:r>
        <w:t xml:space="preserve">). There was no correlation in any condition (all r2&lt;0.1, p&gt;0.05) except for the first item in a sequence of 4. In this condition there was a weak correlation (r2=0.026, p=0.01 uncorrected for multiple comparisons) suggesting that higher pitched tones were remembered to be slightly longer in duration. However, slopes did not differ significantly between the conditions (1-way ANOVA </w:t>
      </w:r>
      <w:proofErr w:type="gramStart"/>
      <w:r>
        <w:t>F(</w:t>
      </w:r>
      <w:proofErr w:type="gramEnd"/>
      <w:r>
        <w:t xml:space="preserve">9,130)=1.9, p&gt;0.05). </w:t>
      </w:r>
    </w:p>
    <w:p w:rsidR="00F563F1" w:rsidRDefault="00F563F1" w:rsidP="00F563F1">
      <w:pPr>
        <w:suppressAutoHyphens w:val="0"/>
      </w:pPr>
    </w:p>
    <w:p w:rsidR="00F563F1" w:rsidRDefault="00F563F1" w:rsidP="00F563F1">
      <w:pPr>
        <w:ind w:left="720"/>
        <w:rPr>
          <w:noProof/>
        </w:rPr>
      </w:pPr>
      <w:r w:rsidRPr="00391B05">
        <w:rPr>
          <w:noProof/>
        </w:rPr>
        <w:drawing>
          <wp:inline distT="0" distB="0" distL="0" distR="0" wp14:anchorId="3F7AC33B" wp14:editId="63A07769">
            <wp:extent cx="3712210" cy="3821430"/>
            <wp:effectExtent l="0" t="0" r="254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2210" cy="3821430"/>
                    </a:xfrm>
                    <a:prstGeom prst="rect">
                      <a:avLst/>
                    </a:prstGeom>
                    <a:noFill/>
                    <a:ln>
                      <a:noFill/>
                    </a:ln>
                  </pic:spPr>
                </pic:pic>
              </a:graphicData>
            </a:graphic>
          </wp:inline>
        </w:drawing>
      </w:r>
    </w:p>
    <w:p w:rsidR="00F563F1" w:rsidRDefault="00F563F1" w:rsidP="00F563F1">
      <w:pPr>
        <w:ind w:left="720"/>
        <w:rPr>
          <w:noProof/>
        </w:rPr>
      </w:pPr>
    </w:p>
    <w:p w:rsidR="00F563F1" w:rsidRPr="00231E08" w:rsidRDefault="00F563F1" w:rsidP="00F563F1">
      <w:pPr>
        <w:ind w:left="720"/>
        <w:rPr>
          <w:b/>
          <w:noProof/>
        </w:rPr>
      </w:pPr>
      <w:r w:rsidRPr="00231E08">
        <w:rPr>
          <w:b/>
          <w:noProof/>
        </w:rPr>
        <w:t>Figure S5: effect of probe pitch on duration of response</w:t>
      </w:r>
    </w:p>
    <w:p w:rsidR="00F563F1" w:rsidRDefault="00F563F1" w:rsidP="00F563F1">
      <w:pPr>
        <w:ind w:left="720"/>
        <w:rPr>
          <w:noProof/>
        </w:rPr>
      </w:pPr>
      <w:r>
        <w:rPr>
          <w:noProof/>
        </w:rPr>
        <w:t xml:space="preserve">To investigate whether the pitch of the probe can alter the duration of the response, we performed a condition-wise linear regression of the log-proportional error, log(response / target), against probe tone frequency. A: graphs each show one combination of set-size and serial position, with rows indicating number of items, and columns as serial position. The zero line indicates perfect performance, and the blue line indicates linear fit. No significant relationship was found except in the first item in a 4-item sequence (lower left panel). B: Combining all trials, data was binned according to probe pitch and the mean response error in each bin was calculated (green line) with shading indicating each 0.15 quantile of error. C: The combined data across all trials indicated a small but significant effect with higher pitches perceived as longer. </w:t>
      </w:r>
    </w:p>
    <w:p w:rsidR="001E06BA" w:rsidRDefault="001E06BA"/>
    <w:sectPr w:rsidR="001E06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F1"/>
    <w:rsid w:val="000837A4"/>
    <w:rsid w:val="001E06BA"/>
    <w:rsid w:val="00F56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EA420"/>
  <w15:chartTrackingRefBased/>
  <w15:docId w15:val="{62D93089-6A61-48C0-ADBD-6EF69FBD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563F1"/>
    <w:pPr>
      <w:suppressAutoHyphens/>
    </w:pPr>
    <w:rPr>
      <w:sz w:val="24"/>
      <w:szCs w:val="24"/>
    </w:rPr>
  </w:style>
  <w:style w:type="paragraph" w:styleId="Heading1">
    <w:name w:val="heading 1"/>
    <w:basedOn w:val="Normal"/>
    <w:next w:val="Normal"/>
    <w:link w:val="Heading1Char"/>
    <w:qFormat/>
    <w:rsid w:val="00F563F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3F1"/>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customXml" Target="../customXml/item3.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F9D84822D5E40BD3DA019E508FDEE" ma:contentTypeVersion="7" ma:contentTypeDescription="Create a new document." ma:contentTypeScope="" ma:versionID="a95787fe9f1a97422a26cef007467a93">
  <xsd:schema xmlns:xsd="http://www.w3.org/2001/XMLSchema" xmlns:p="http://schemas.microsoft.com/office/2006/metadata/properties" xmlns:ns2="2b24f320-25f7-4c4e-adcd-a1cba98f283d" targetNamespace="http://schemas.microsoft.com/office/2006/metadata/properties" ma:root="true" ma:fieldsID="963595e9d0370efe0e02a1a208e89837" ns2:_="">
    <xsd:import namespace="2b24f320-25f7-4c4e-adcd-a1cba98f283d"/>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2b24f320-25f7-4c4e-adcd-a1cba98f283d"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Id xmlns="2b24f320-25f7-4c4e-adcd-a1cba98f283d">Data Sheet 1.DOCX</DocumentId>
    <StageName xmlns="2b24f320-25f7-4c4e-adcd-a1cba98f283d" xsi:nil="true"/>
    <IsDeleted xmlns="2b24f320-25f7-4c4e-adcd-a1cba98f283d">false</IsDeleted>
    <DocumentType xmlns="2b24f320-25f7-4c4e-adcd-a1cba98f283d">Data Sheet</DocumentType>
    <Checked_x0020_Out_x0020_To xmlns="2b24f320-25f7-4c4e-adcd-a1cba98f283d">
      <UserInfo>
        <DisplayName/>
        <AccountId xsi:nil="true"/>
        <AccountType/>
      </UserInfo>
    </Checked_x0020_Out_x0020_To>
    <TitleName xmlns="2b24f320-25f7-4c4e-adcd-a1cba98f283d">Data Sheet 1.DOCX</TitleName>
    <FileFormat xmlns="2b24f320-25f7-4c4e-adcd-a1cba98f283d">DOCX</FileFormat>
  </documentManagement>
</p:properties>
</file>

<file path=customXml/itemProps1.xml><?xml version="1.0" encoding="utf-8"?>
<ds:datastoreItem xmlns:ds="http://schemas.openxmlformats.org/officeDocument/2006/customXml" ds:itemID="{66D3FFA2-FA21-4535-B37B-BA97D83A7D15}"/>
</file>

<file path=customXml/itemProps2.xml><?xml version="1.0" encoding="utf-8"?>
<ds:datastoreItem xmlns:ds="http://schemas.openxmlformats.org/officeDocument/2006/customXml" ds:itemID="{6C45E2F4-C850-474D-81AF-474F6A3A5006}"/>
</file>

<file path=customXml/itemProps3.xml><?xml version="1.0" encoding="utf-8"?>
<ds:datastoreItem xmlns:ds="http://schemas.openxmlformats.org/officeDocument/2006/customXml" ds:itemID="{4A7922D5-DE59-492E-883A-55D8BA26C8A9}"/>
</file>

<file path=docProps/app.xml><?xml version="1.0" encoding="utf-8"?>
<Properties xmlns="http://schemas.openxmlformats.org/officeDocument/2006/extended-properties" xmlns:vt="http://schemas.openxmlformats.org/officeDocument/2006/docPropsVTypes">
  <Template>Normal.dotm</Template>
  <TotalTime>0</TotalTime>
  <Pages>8</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dc:creator>
  <cp:keywords/>
  <dc:description/>
  <cp:lastModifiedBy>Sanjay</cp:lastModifiedBy>
  <cp:revision>2</cp:revision>
  <dcterms:created xsi:type="dcterms:W3CDTF">2016-09-05T22:44:00Z</dcterms:created>
  <dcterms:modified xsi:type="dcterms:W3CDTF">2016-09-05T22:44:00Z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0x0101008CFF9D84822D5E40BD3DA019E508FDEE</vt:lpwstr>
  </property>
</Properties>
</file>