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6D496" w14:textId="3F4ED9E3" w:rsidR="00D70A7E" w:rsidRPr="00D70A7E" w:rsidRDefault="00D70A7E" w:rsidP="00D70A7E">
      <w:pPr>
        <w:keepNext/>
        <w:keepLines/>
        <w:spacing w:before="240"/>
        <w:outlineLvl w:val="0"/>
        <w:rPr>
          <w:rFonts w:eastAsia="Times New Roman"/>
          <w:b/>
          <w:bCs/>
          <w:color w:val="000000"/>
          <w:sz w:val="34"/>
          <w:szCs w:val="34"/>
          <w:lang w:val="en-GB"/>
        </w:rPr>
      </w:pPr>
      <w:r>
        <w:rPr>
          <w:rFonts w:eastAsia="Times New Roman"/>
          <w:b/>
          <w:bCs/>
          <w:color w:val="000000"/>
          <w:sz w:val="34"/>
          <w:szCs w:val="34"/>
          <w:lang w:val="en-GB"/>
        </w:rPr>
        <w:t>Supplements</w:t>
      </w:r>
    </w:p>
    <w:p w14:paraId="6E46661E" w14:textId="77777777" w:rsidR="00D70A7E" w:rsidRPr="00D70A7E" w:rsidRDefault="00D70A7E" w:rsidP="00D70A7E">
      <w:pPr>
        <w:keepNext/>
        <w:keepLines/>
        <w:spacing w:before="240"/>
        <w:outlineLvl w:val="1"/>
        <w:rPr>
          <w:rFonts w:eastAsia="Times New Roman"/>
          <w:b/>
          <w:bCs/>
          <w:color w:val="000000"/>
          <w:sz w:val="28"/>
          <w:szCs w:val="28"/>
          <w:lang w:val="en-GB"/>
        </w:rPr>
      </w:pPr>
      <w:r w:rsidRPr="00D70A7E">
        <w:rPr>
          <w:rFonts w:eastAsia="Times New Roman"/>
          <w:b/>
          <w:bCs/>
          <w:color w:val="000000"/>
          <w:sz w:val="28"/>
          <w:szCs w:val="28"/>
          <w:lang w:val="en-GB"/>
        </w:rPr>
        <w:t>Supplements S1: Calculation of IMU-based balance features</w:t>
      </w:r>
    </w:p>
    <w:p w14:paraId="1DC86EC2" w14:textId="77777777" w:rsidR="00D70A7E" w:rsidRPr="00D70A7E" w:rsidRDefault="00D70A7E" w:rsidP="00D70A7E">
      <w:pPr>
        <w:rPr>
          <w:rFonts w:eastAsia="Calibri"/>
          <w:lang w:val="en-GB"/>
        </w:rPr>
      </w:pPr>
      <w:r w:rsidRPr="00D70A7E">
        <w:rPr>
          <w:rFonts w:eastAsia="Calibri"/>
          <w:lang w:val="en-GB"/>
        </w:rPr>
        <w:t>All calculations were done using Python (version 3.7.3.). First, the signal was down sampled to 100 samples per second. Second, the gyroscope was corrected by subtracting the gyroscope offset. Third, to account for the movement during transitional periods, the first and last 2 seconds of each trial were excluded from further analysis. Fourth, the accelerometer and gyroscope data were aligned with the vertical (VT</w:t>
      </w:r>
      <w:proofErr w:type="gramStart"/>
      <w:r w:rsidRPr="00D70A7E">
        <w:rPr>
          <w:rFonts w:eastAsia="Calibri"/>
          <w:lang w:val="en-GB"/>
        </w:rPr>
        <w:t>)(</w:t>
      </w:r>
      <w:proofErr w:type="gramEnd"/>
      <w:r w:rsidRPr="00D70A7E">
        <w:rPr>
          <w:rFonts w:eastAsia="Calibri"/>
          <w:lang w:val="en-GB"/>
        </w:rPr>
        <w:t xml:space="preserve">upward: positive), medial-lateral (ML) (right: positive), and anterior-posterior (AP) axes (anterior: positive) and corrected for the effects of gravity. Lastly, the accelerometer data was filtered with a 0.4Hz third-order high-pass Butterworth filter to minimise noise as an effect of respiration. The path length was calculated as the total length of the trajectory (equation 1). </w:t>
      </w:r>
    </w:p>
    <w:p w14:paraId="2D4DC47F" w14:textId="77777777" w:rsidR="00D70A7E" w:rsidRPr="00D70A7E" w:rsidRDefault="00D70A7E" w:rsidP="00D70A7E">
      <w:pPr>
        <w:spacing w:after="200" w:line="240" w:lineRule="auto"/>
        <w:jc w:val="center"/>
        <w:rPr>
          <w:rFonts w:eastAsia="Calibri"/>
          <w:i/>
          <w:iCs/>
          <w:color w:val="000000"/>
          <w:lang w:val="en-GB"/>
        </w:rPr>
      </w:pPr>
      <m:oMath>
        <m:r>
          <w:rPr>
            <w:rFonts w:ascii="Cambria Math" w:eastAsia="Calibri" w:hAnsi="Cambria Math"/>
            <w:color w:val="000000"/>
            <w:lang w:val="en-GB"/>
          </w:rPr>
          <m:t xml:space="preserve">Path length </m:t>
        </m:r>
        <m:d>
          <m:dPr>
            <m:begChr m:val="["/>
            <m:endChr m:val="]"/>
            <m:ctrlPr>
              <w:rPr>
                <w:rFonts w:ascii="Cambria Math" w:eastAsia="Calibri" w:hAnsi="Cambria Math"/>
                <w:i/>
                <w:iCs/>
                <w:color w:val="000000"/>
                <w:lang w:val="en-GB"/>
              </w:rPr>
            </m:ctrlPr>
          </m:dPr>
          <m:e>
            <m:r>
              <w:rPr>
                <w:rFonts w:ascii="Cambria Math" w:eastAsia="Calibri" w:hAnsi="Cambria Math"/>
                <w:color w:val="000000"/>
                <w:lang w:val="en-GB"/>
              </w:rPr>
              <m:t>m</m:t>
            </m:r>
            <m:r>
              <m:rPr>
                <m:lit/>
              </m:rPr>
              <w:rPr>
                <w:rFonts w:ascii="Cambria Math" w:eastAsia="Calibri" w:hAnsi="Cambria Math"/>
                <w:color w:val="000000"/>
                <w:lang w:val="en-GB"/>
              </w:rPr>
              <m:t>/</m:t>
            </m:r>
            <m:sSup>
              <m:sSupPr>
                <m:ctrlPr>
                  <w:rPr>
                    <w:rFonts w:ascii="Cambria Math" w:eastAsia="Calibri" w:hAnsi="Cambria Math"/>
                    <w:i/>
                    <w:iCs/>
                    <w:color w:val="000000"/>
                    <w:lang w:val="en-GB"/>
                  </w:rPr>
                </m:ctrlPr>
              </m:sSupPr>
              <m:e>
                <m:r>
                  <w:rPr>
                    <w:rFonts w:ascii="Cambria Math" w:eastAsia="Calibri" w:hAnsi="Cambria Math"/>
                    <w:color w:val="000000"/>
                    <w:lang w:val="en-GB"/>
                  </w:rPr>
                  <m:t>s</m:t>
                </m:r>
              </m:e>
              <m:sup>
                <m:r>
                  <w:rPr>
                    <w:rFonts w:ascii="Cambria Math" w:eastAsia="Calibri" w:hAnsi="Cambria Math"/>
                    <w:color w:val="000000"/>
                    <w:lang w:val="en-GB"/>
                  </w:rPr>
                  <m:t>2</m:t>
                </m:r>
              </m:sup>
            </m:sSup>
          </m:e>
        </m:d>
        <m:r>
          <w:rPr>
            <w:rFonts w:ascii="Cambria Math" w:eastAsia="Calibri" w:hAnsi="Cambria Math"/>
            <w:color w:val="000000"/>
            <w:lang w:val="en-GB"/>
          </w:rPr>
          <m:t>=Σ</m:t>
        </m:r>
        <m:rad>
          <m:radPr>
            <m:degHide m:val="1"/>
            <m:ctrlPr>
              <w:rPr>
                <w:rFonts w:ascii="Cambria Math" w:eastAsia="Calibri" w:hAnsi="Cambria Math"/>
                <w:i/>
                <w:iCs/>
                <w:color w:val="000000"/>
                <w:lang w:val="en-GB"/>
              </w:rPr>
            </m:ctrlPr>
          </m:radPr>
          <m:deg>
            <m:ctrlPr>
              <w:rPr>
                <w:rFonts w:ascii="Cambria Math" w:eastAsia="Calibri" w:hAnsi="Cambria Math"/>
                <w:iCs/>
                <w:color w:val="000000"/>
                <w:lang w:val="en-GB"/>
              </w:rPr>
            </m:ctrlPr>
          </m:deg>
          <m:e>
            <m:sSup>
              <m:sSupPr>
                <m:ctrlPr>
                  <w:rPr>
                    <w:rFonts w:ascii="Cambria Math" w:eastAsia="Calibri" w:hAnsi="Cambria Math"/>
                    <w:iCs/>
                    <w:color w:val="000000"/>
                    <w:lang w:val="en-GB"/>
                  </w:rPr>
                </m:ctrlPr>
              </m:sSupPr>
              <m:e>
                <m:d>
                  <m:dPr>
                    <m:ctrlPr>
                      <w:rPr>
                        <w:rFonts w:ascii="Cambria Math" w:eastAsia="Calibri" w:hAnsi="Cambria Math"/>
                        <w:iCs/>
                        <w:color w:val="000000"/>
                        <w:lang w:val="en-GB"/>
                      </w:rPr>
                    </m:ctrlPr>
                  </m:dPr>
                  <m:e>
                    <m:sSub>
                      <m:sSubPr>
                        <m:ctrlPr>
                          <w:rPr>
                            <w:rFonts w:ascii="Cambria Math" w:eastAsia="Calibri" w:hAnsi="Cambria Math"/>
                            <w:iCs/>
                            <w:color w:val="000000"/>
                            <w:lang w:val="en-GB"/>
                          </w:rPr>
                        </m:ctrlPr>
                      </m:sSubPr>
                      <m:e>
                        <m:r>
                          <w:rPr>
                            <w:rFonts w:ascii="Cambria Math" w:eastAsia="Calibri" w:hAnsi="Cambria Math"/>
                            <w:color w:val="000000"/>
                            <w:lang w:val="en-GB"/>
                          </w:rPr>
                          <m:t>a</m:t>
                        </m:r>
                      </m:e>
                      <m:sub>
                        <m:r>
                          <w:rPr>
                            <w:rFonts w:ascii="Cambria Math" w:eastAsia="Calibri" w:hAnsi="Cambria Math"/>
                            <w:color w:val="000000"/>
                            <w:lang w:val="en-GB"/>
                          </w:rPr>
                          <m:t>AP</m:t>
                        </m:r>
                      </m:sub>
                    </m:sSub>
                  </m:e>
                </m:d>
              </m:e>
              <m:sup>
                <m:r>
                  <w:rPr>
                    <w:rFonts w:ascii="Cambria Math" w:eastAsia="Calibri" w:hAnsi="Cambria Math"/>
                    <w:color w:val="000000"/>
                    <w:lang w:val="en-GB"/>
                  </w:rPr>
                  <m:t>2</m:t>
                </m:r>
              </m:sup>
            </m:sSup>
            <m:r>
              <w:rPr>
                <w:rFonts w:ascii="Cambria Math" w:eastAsia="Calibri" w:hAnsi="Cambria Math"/>
                <w:color w:val="000000"/>
                <w:lang w:val="en-GB"/>
              </w:rPr>
              <m:t>+</m:t>
            </m:r>
            <m:sSup>
              <m:sSupPr>
                <m:ctrlPr>
                  <w:rPr>
                    <w:rFonts w:ascii="Cambria Math" w:eastAsia="Calibri" w:hAnsi="Cambria Math"/>
                    <w:iCs/>
                    <w:color w:val="000000"/>
                    <w:lang w:val="en-GB"/>
                  </w:rPr>
                </m:ctrlPr>
              </m:sSupPr>
              <m:e>
                <m:d>
                  <m:dPr>
                    <m:ctrlPr>
                      <w:rPr>
                        <w:rFonts w:ascii="Cambria Math" w:eastAsia="Calibri" w:hAnsi="Cambria Math"/>
                        <w:iCs/>
                        <w:color w:val="000000"/>
                        <w:lang w:val="en-GB"/>
                      </w:rPr>
                    </m:ctrlPr>
                  </m:dPr>
                  <m:e>
                    <m:sSub>
                      <m:sSubPr>
                        <m:ctrlPr>
                          <w:rPr>
                            <w:rFonts w:ascii="Cambria Math" w:eastAsia="Calibri" w:hAnsi="Cambria Math"/>
                            <w:iCs/>
                            <w:color w:val="000000"/>
                            <w:lang w:val="en-GB"/>
                          </w:rPr>
                        </m:ctrlPr>
                      </m:sSubPr>
                      <m:e>
                        <m:r>
                          <w:rPr>
                            <w:rFonts w:ascii="Cambria Math" w:eastAsia="Calibri" w:hAnsi="Cambria Math"/>
                            <w:color w:val="000000"/>
                            <w:lang w:val="en-GB"/>
                          </w:rPr>
                          <m:t>a</m:t>
                        </m:r>
                      </m:e>
                      <m:sub>
                        <m:r>
                          <w:rPr>
                            <w:rFonts w:ascii="Cambria Math" w:eastAsia="Calibri" w:hAnsi="Cambria Math"/>
                            <w:color w:val="000000"/>
                            <w:lang w:val="en-GB"/>
                          </w:rPr>
                          <m:t>ML</m:t>
                        </m:r>
                      </m:sub>
                    </m:sSub>
                  </m:e>
                </m:d>
              </m:e>
              <m:sup>
                <m:r>
                  <w:rPr>
                    <w:rFonts w:ascii="Cambria Math" w:eastAsia="Calibri" w:hAnsi="Cambria Math"/>
                    <w:color w:val="000000"/>
                    <w:lang w:val="en-GB"/>
                  </w:rPr>
                  <m:t>2</m:t>
                </m:r>
              </m:sup>
            </m:sSup>
          </m:e>
        </m:rad>
      </m:oMath>
      <w:r w:rsidRPr="00D70A7E">
        <w:rPr>
          <w:rFonts w:eastAsia="Calibri"/>
          <w:i/>
          <w:iCs/>
          <w:color w:val="000000"/>
          <w:lang w:val="en-GB"/>
        </w:rPr>
        <w:t xml:space="preserve"> (</w:t>
      </w:r>
      <w:r w:rsidRPr="00D70A7E">
        <w:rPr>
          <w:rFonts w:eastAsia="Calibri"/>
          <w:i/>
          <w:iCs/>
          <w:color w:val="000000"/>
          <w:lang w:val="en-GB"/>
        </w:rPr>
        <w:fldChar w:fldCharType="begin"/>
      </w:r>
      <w:r w:rsidRPr="00D70A7E">
        <w:rPr>
          <w:rFonts w:eastAsia="Calibri"/>
          <w:i/>
          <w:iCs/>
          <w:color w:val="000000"/>
          <w:lang w:val="en-GB"/>
        </w:rPr>
        <w:instrText xml:space="preserve"> SEQ Equation \* ARABIC </w:instrText>
      </w:r>
      <w:r w:rsidRPr="00D70A7E">
        <w:rPr>
          <w:rFonts w:eastAsia="Calibri"/>
          <w:i/>
          <w:iCs/>
          <w:color w:val="000000"/>
          <w:lang w:val="en-GB"/>
        </w:rPr>
        <w:fldChar w:fldCharType="separate"/>
      </w:r>
      <w:r w:rsidRPr="00D70A7E">
        <w:rPr>
          <w:rFonts w:eastAsia="Calibri"/>
          <w:i/>
          <w:iCs/>
          <w:noProof/>
          <w:color w:val="000000"/>
          <w:lang w:val="en-GB"/>
        </w:rPr>
        <w:t>1</w:t>
      </w:r>
      <w:r w:rsidRPr="00D70A7E">
        <w:rPr>
          <w:rFonts w:eastAsia="Calibri"/>
          <w:i/>
          <w:iCs/>
          <w:color w:val="000000"/>
          <w:lang w:val="en-GB"/>
        </w:rPr>
        <w:fldChar w:fldCharType="end"/>
      </w:r>
      <w:r w:rsidRPr="00D70A7E">
        <w:rPr>
          <w:rFonts w:eastAsia="Calibri"/>
          <w:i/>
          <w:iCs/>
          <w:color w:val="000000"/>
          <w:lang w:val="en-GB"/>
        </w:rPr>
        <w:t>)</w:t>
      </w:r>
    </w:p>
    <w:p w14:paraId="1B780292" w14:textId="77777777" w:rsidR="00D70A7E" w:rsidRPr="00D70A7E" w:rsidRDefault="00D70A7E" w:rsidP="00D70A7E">
      <w:pPr>
        <w:rPr>
          <w:rFonts w:eastAsia="Calibri"/>
          <w:lang w:val="en-GB"/>
        </w:rPr>
      </w:pPr>
    </w:p>
    <w:p w14:paraId="66076AFC" w14:textId="77777777" w:rsidR="00D70A7E" w:rsidRPr="00D70A7E" w:rsidRDefault="00D70A7E" w:rsidP="00D70A7E">
      <w:pPr>
        <w:keepNext/>
        <w:keepLines/>
        <w:spacing w:before="240"/>
        <w:outlineLvl w:val="1"/>
        <w:rPr>
          <w:rFonts w:eastAsia="Times New Roman"/>
          <w:b/>
          <w:bCs/>
          <w:color w:val="000000"/>
          <w:sz w:val="28"/>
          <w:szCs w:val="28"/>
          <w:lang w:val="en-GB"/>
        </w:rPr>
      </w:pPr>
      <w:r w:rsidRPr="00D70A7E">
        <w:rPr>
          <w:rFonts w:eastAsia="Times New Roman"/>
          <w:b/>
          <w:bCs/>
          <w:color w:val="000000"/>
          <w:sz w:val="28"/>
          <w:szCs w:val="28"/>
          <w:lang w:val="en-GB"/>
        </w:rPr>
        <w:t>Supplements S2: Calculation of IMU-based gait features</w:t>
      </w:r>
    </w:p>
    <w:p w14:paraId="45A03E7B" w14:textId="1E55498F" w:rsidR="00D70A7E" w:rsidRPr="00D70A7E" w:rsidRDefault="00D70A7E" w:rsidP="00D70A7E">
      <w:pPr>
        <w:rPr>
          <w:rFonts w:eastAsia="Calibri"/>
          <w:lang w:val="en-GB"/>
        </w:rPr>
      </w:pPr>
      <w:r w:rsidRPr="00D70A7E">
        <w:rPr>
          <w:rFonts w:eastAsia="Calibri"/>
          <w:lang w:val="en-GB"/>
        </w:rPr>
        <w:t>The IMU data were processed by, first, resampling the data to 100 samples per second and correcting the gyroscope offset. Next</w:t>
      </w:r>
      <w:r w:rsidRPr="00D70A7E">
        <w:rPr>
          <w:rFonts w:eastAsia="Palatino Linotype"/>
          <w:kern w:val="0"/>
          <w:lang w:val="en-GB"/>
          <w14:ligatures w14:val="none"/>
        </w:rPr>
        <w:t>, a custom-made step-detection algorithm was applied to determine stance and swing phases in the 2MWT [</w:t>
      </w:r>
      <w:r w:rsidR="00A43F97">
        <w:rPr>
          <w:rFonts w:eastAsia="Palatino Linotype"/>
          <w:kern w:val="0"/>
          <w:lang w:val="en-GB"/>
          <w14:ligatures w14:val="none"/>
        </w:rPr>
        <w:t>1</w:t>
      </w:r>
      <w:r w:rsidRPr="00D70A7E">
        <w:rPr>
          <w:rFonts w:eastAsia="Palatino Linotype"/>
          <w:kern w:val="0"/>
          <w:lang w:val="en-GB"/>
          <w14:ligatures w14:val="none"/>
        </w:rPr>
        <w:t>].</w:t>
      </w:r>
      <w:r w:rsidRPr="00D70A7E">
        <w:rPr>
          <w:rFonts w:eastAsia="Calibri"/>
          <w:lang w:val="en-GB"/>
        </w:rPr>
        <w:t xml:space="preserve"> The following four gait features were calculated: speed [m/s], asymmetry, smoothness, and variability [s]. These four gait features were selected because they are reliable and represent different aspects of gait [</w:t>
      </w:r>
      <w:r w:rsidR="00A43F97">
        <w:rPr>
          <w:rFonts w:eastAsia="Calibri"/>
          <w:lang w:val="en-GB"/>
        </w:rPr>
        <w:t>1</w:t>
      </w:r>
      <w:r w:rsidRPr="00D70A7E">
        <w:rPr>
          <w:rFonts w:eastAsia="Calibri"/>
          <w:lang w:val="en-GB"/>
        </w:rPr>
        <w:t>]. A description of the gait features is given below. The equations for the four variables are described in Table S1 in the appendix.</w:t>
      </w:r>
    </w:p>
    <w:p w14:paraId="2F89D4F8" w14:textId="0C9A6826" w:rsidR="00D70A7E" w:rsidRPr="00D70A7E" w:rsidRDefault="00D70A7E" w:rsidP="00D70A7E">
      <w:pPr>
        <w:ind w:firstLine="708"/>
        <w:rPr>
          <w:rFonts w:eastAsia="Calibri"/>
          <w:lang w:val="en-GB"/>
        </w:rPr>
      </w:pPr>
      <w:r w:rsidRPr="00D70A7E">
        <w:rPr>
          <w:rFonts w:eastAsia="Calibri"/>
          <w:i/>
          <w:iCs/>
          <w:lang w:val="en-GB"/>
        </w:rPr>
        <w:t>Speed</w:t>
      </w:r>
      <w:r w:rsidRPr="00D70A7E">
        <w:rPr>
          <w:rFonts w:eastAsia="Calibri"/>
          <w:lang w:val="en-GB"/>
        </w:rPr>
        <w:t xml:space="preserve"> is often used as a measure for the functional capacity and in stroke rehabilitation an indication of someone’s ability to walk in daily life, i.e., functional walking [</w:t>
      </w:r>
      <w:r w:rsidR="00A43F97">
        <w:rPr>
          <w:rFonts w:eastAsia="Calibri"/>
          <w:lang w:val="en-GB"/>
        </w:rPr>
        <w:t>2</w:t>
      </w:r>
      <w:r w:rsidRPr="00D70A7E">
        <w:rPr>
          <w:rFonts w:eastAsia="Calibri"/>
          <w:lang w:val="en-GB"/>
        </w:rPr>
        <w:t xml:space="preserve">]. </w:t>
      </w:r>
      <w:r w:rsidRPr="00D70A7E">
        <w:rPr>
          <w:rFonts w:eastAsia="Palatino Linotype"/>
          <w:kern w:val="0"/>
          <w:lang w:val="en-GB"/>
          <w14:ligatures w14:val="none"/>
        </w:rPr>
        <w:lastRenderedPageBreak/>
        <w:t>Computation of gait speed was done in four steps. First, a sensor-fusion algorithm was used to transform acceleration from a local to a global reference frame by combining the accelerometer and gyroscope data [</w:t>
      </w:r>
      <w:r w:rsidR="00A43F97">
        <w:rPr>
          <w:rFonts w:eastAsia="Palatino Linotype"/>
          <w:kern w:val="0"/>
          <w:lang w:val="en-GB"/>
          <w14:ligatures w14:val="none"/>
        </w:rPr>
        <w:t>3</w:t>
      </w:r>
      <w:r w:rsidRPr="00D70A7E">
        <w:rPr>
          <w:rFonts w:eastAsia="Palatino Linotype"/>
          <w:kern w:val="0"/>
          <w:lang w:val="en-GB"/>
          <w14:ligatures w14:val="none"/>
        </w:rPr>
        <w:t>]. Second, the linear acceleration in the anterior-posterior direct was integrated once to determine the gait speed. Third, a Zero-Velocity Update was applied to set velocity to zero during stationary phases of walking, thereby reducing estimation errors [</w:t>
      </w:r>
      <w:r w:rsidR="00A43F97">
        <w:rPr>
          <w:rFonts w:eastAsia="Palatino Linotype"/>
          <w:kern w:val="0"/>
          <w:lang w:val="en-GB"/>
          <w14:ligatures w14:val="none"/>
        </w:rPr>
        <w:t>4</w:t>
      </w:r>
      <w:r w:rsidRPr="00D70A7E">
        <w:rPr>
          <w:rFonts w:eastAsia="Palatino Linotype"/>
          <w:kern w:val="0"/>
          <w:lang w:val="en-GB"/>
          <w14:ligatures w14:val="none"/>
        </w:rPr>
        <w:t xml:space="preserve">]. Fourth, the corrected gait speed was integrated to determine position. This calculation enabled us to measure the total distance covered in the two-minute assessment, and thus, the gait speed. </w:t>
      </w:r>
    </w:p>
    <w:p w14:paraId="55BBF13A" w14:textId="25E7EA6D" w:rsidR="00D70A7E" w:rsidRPr="00D70A7E" w:rsidRDefault="00D70A7E" w:rsidP="00D70A7E">
      <w:pPr>
        <w:ind w:firstLine="720"/>
        <w:rPr>
          <w:rFonts w:eastAsia="Calibri"/>
          <w:lang w:val="en-GB"/>
        </w:rPr>
      </w:pPr>
      <w:r w:rsidRPr="00D70A7E">
        <w:rPr>
          <w:rFonts w:eastAsia="Calibri"/>
          <w:i/>
          <w:iCs/>
          <w:lang w:val="en-GB"/>
        </w:rPr>
        <w:t>Asymmetry</w:t>
      </w:r>
      <w:r w:rsidRPr="00D70A7E">
        <w:rPr>
          <w:rFonts w:eastAsia="Calibri"/>
          <w:lang w:val="en-GB"/>
        </w:rPr>
        <w:t xml:space="preserve"> is an expression of the asymmetry between the left and right side of an individual’s body during walking. The asymmetry ratio was calculated by dividing the stance-swing phase ratio of the paretic leg by the stance -swing phase ratio of the non-paretic leg. The stance -phase duration was calculated using the acceleration signal of the left and right foot sensor. In normal gait, there is typically a high degree of asymmetry, resulting in an asymmetry ratio close to 1. Evidence suggests that temporal asymmetry is negatively associated with preferred speed and motor recovery of the leg and foot [</w:t>
      </w:r>
      <w:r w:rsidR="00A43F97">
        <w:rPr>
          <w:rFonts w:eastAsia="Calibri"/>
          <w:lang w:val="en-GB"/>
        </w:rPr>
        <w:t>5</w:t>
      </w:r>
      <w:r w:rsidRPr="00D70A7E">
        <w:rPr>
          <w:rFonts w:eastAsia="Calibri"/>
          <w:lang w:val="en-GB"/>
        </w:rPr>
        <w:t xml:space="preserve">]. </w:t>
      </w:r>
    </w:p>
    <w:p w14:paraId="262234AF" w14:textId="5A200C25" w:rsidR="00D70A7E" w:rsidRPr="00D70A7E" w:rsidRDefault="00D70A7E" w:rsidP="00D70A7E">
      <w:pPr>
        <w:ind w:firstLine="720"/>
        <w:rPr>
          <w:rFonts w:eastAsia="Calibri"/>
          <w:lang w:val="en-GB"/>
        </w:rPr>
      </w:pPr>
      <w:r w:rsidRPr="00D70A7E">
        <w:rPr>
          <w:rFonts w:eastAsia="Calibri"/>
          <w:i/>
          <w:iCs/>
          <w:lang w:val="en-GB"/>
        </w:rPr>
        <w:t>Variability</w:t>
      </w:r>
      <w:r w:rsidRPr="00D70A7E">
        <w:rPr>
          <w:rFonts w:eastAsia="Calibri"/>
          <w:lang w:val="en-GB"/>
        </w:rPr>
        <w:t xml:space="preserve"> was expressed as the variability in stride time. The variability was calculated as the standard deviation of the time per stride. A lower gait variability score is related to a more stereotypical gait. An increase in variability appears to be an indicator for decline in locomotor function [</w:t>
      </w:r>
      <w:r w:rsidR="00A43F97">
        <w:rPr>
          <w:rFonts w:eastAsia="Calibri"/>
          <w:lang w:val="en-GB"/>
        </w:rPr>
        <w:t>6</w:t>
      </w:r>
      <w:r w:rsidRPr="00D70A7E">
        <w:rPr>
          <w:rFonts w:eastAsia="Calibri"/>
          <w:lang w:val="en-GB"/>
        </w:rPr>
        <w:t>].</w:t>
      </w:r>
    </w:p>
    <w:p w14:paraId="094BE5A9" w14:textId="0B931B4A" w:rsidR="00D70A7E" w:rsidRPr="00D70A7E" w:rsidRDefault="00D70A7E" w:rsidP="00D70A7E">
      <w:pPr>
        <w:ind w:firstLine="720"/>
        <w:rPr>
          <w:rFonts w:eastAsia="Calibri"/>
          <w:lang w:val="en-GB"/>
        </w:rPr>
      </w:pPr>
      <w:r w:rsidRPr="00D70A7E">
        <w:rPr>
          <w:rFonts w:eastAsia="Calibri"/>
          <w:i/>
          <w:iCs/>
          <w:lang w:val="en-GB"/>
        </w:rPr>
        <w:t xml:space="preserve">Smoothness </w:t>
      </w:r>
      <w:r w:rsidRPr="00D70A7E">
        <w:rPr>
          <w:rFonts w:eastAsia="Calibri"/>
          <w:lang w:val="en-GB"/>
        </w:rPr>
        <w:t>characterizes the regularity of the movement patterns during walking. Smoothness was expressed as the index of harmonicity of the pelvis acceleration in the medio-lateral direction during walking. A higher index of harmonicity indicates a smoother gait. The smoothness appears to be associated with lower limb spasticity [</w:t>
      </w:r>
      <w:r w:rsidR="00A43F97">
        <w:rPr>
          <w:rFonts w:eastAsia="Calibri"/>
          <w:lang w:val="en-GB"/>
        </w:rPr>
        <w:t>7</w:t>
      </w:r>
      <w:r w:rsidRPr="00D70A7E">
        <w:rPr>
          <w:rFonts w:eastAsia="Calibri"/>
          <w:lang w:val="en-GB"/>
        </w:rPr>
        <w:t>].</w:t>
      </w:r>
    </w:p>
    <w:p w14:paraId="3FB62DD5" w14:textId="77777777" w:rsidR="00D70A7E" w:rsidRPr="00D70A7E" w:rsidRDefault="00D70A7E" w:rsidP="00D70A7E">
      <w:pPr>
        <w:rPr>
          <w:rFonts w:eastAsia="Calibri"/>
          <w:lang w:val="en-GB"/>
        </w:rPr>
      </w:pPr>
    </w:p>
    <w:p w14:paraId="4B090903" w14:textId="77777777" w:rsidR="00D70A7E" w:rsidRPr="00D70A7E" w:rsidRDefault="00D70A7E" w:rsidP="00D70A7E">
      <w:pPr>
        <w:rPr>
          <w:rFonts w:eastAsia="Calibri"/>
          <w:b/>
          <w:bCs/>
          <w:lang w:val="en-GB"/>
        </w:rPr>
      </w:pPr>
      <w:r w:rsidRPr="00D70A7E">
        <w:rPr>
          <w:rFonts w:eastAsia="Calibri"/>
          <w:b/>
          <w:bCs/>
          <w:lang w:val="en-GB"/>
        </w:rPr>
        <w:t>Table S1. Equations of IMU-based gait features</w:t>
      </w:r>
    </w:p>
    <w:p w14:paraId="34ABA09E" w14:textId="77777777" w:rsidR="00D70A7E" w:rsidRPr="00D70A7E" w:rsidRDefault="00D70A7E" w:rsidP="00D70A7E">
      <w:pPr>
        <w:keepNext/>
        <w:spacing w:after="200" w:line="240" w:lineRule="auto"/>
        <w:rPr>
          <w:rFonts w:eastAsia="Calibri"/>
          <w:i/>
          <w:iCs/>
          <w:color w:val="44546A"/>
          <w:sz w:val="18"/>
          <w:szCs w:val="18"/>
          <w:lang w:val="en-GB"/>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2268"/>
        <w:gridCol w:w="2976"/>
        <w:gridCol w:w="3351"/>
      </w:tblGrid>
      <w:tr w:rsidR="00D70A7E" w:rsidRPr="00D70A7E" w14:paraId="40021853" w14:textId="77777777" w:rsidTr="00B37B31">
        <w:tc>
          <w:tcPr>
            <w:tcW w:w="2689" w:type="dxa"/>
            <w:gridSpan w:val="2"/>
            <w:tcBorders>
              <w:top w:val="single" w:sz="4" w:space="0" w:color="auto"/>
              <w:bottom w:val="single" w:sz="4" w:space="0" w:color="auto"/>
            </w:tcBorders>
          </w:tcPr>
          <w:p w14:paraId="373D8FC9" w14:textId="77777777" w:rsidR="00D70A7E" w:rsidRPr="00D70A7E" w:rsidRDefault="00D70A7E" w:rsidP="00D70A7E">
            <w:pPr>
              <w:rPr>
                <w:rFonts w:eastAsia="Calibri"/>
                <w:sz w:val="18"/>
                <w:szCs w:val="18"/>
                <w:lang w:val="en-GB"/>
              </w:rPr>
            </w:pPr>
            <w:r w:rsidRPr="00D70A7E">
              <w:rPr>
                <w:rFonts w:eastAsia="Calibri"/>
                <w:sz w:val="18"/>
                <w:szCs w:val="18"/>
                <w:lang w:val="en-GB"/>
              </w:rPr>
              <w:t>Abbreviation</w:t>
            </w:r>
          </w:p>
        </w:tc>
        <w:tc>
          <w:tcPr>
            <w:tcW w:w="2976" w:type="dxa"/>
            <w:tcBorders>
              <w:top w:val="single" w:sz="4" w:space="0" w:color="auto"/>
              <w:bottom w:val="single" w:sz="4" w:space="0" w:color="auto"/>
            </w:tcBorders>
          </w:tcPr>
          <w:p w14:paraId="4FC1E94F" w14:textId="77777777" w:rsidR="00D70A7E" w:rsidRPr="00D70A7E" w:rsidRDefault="00D70A7E" w:rsidP="00D70A7E">
            <w:pPr>
              <w:rPr>
                <w:rFonts w:eastAsia="Calibri"/>
                <w:sz w:val="18"/>
                <w:szCs w:val="18"/>
                <w:lang w:val="en-GB"/>
              </w:rPr>
            </w:pPr>
            <w:r w:rsidRPr="00D70A7E">
              <w:rPr>
                <w:rFonts w:eastAsia="Calibri"/>
                <w:sz w:val="18"/>
                <w:szCs w:val="18"/>
                <w:lang w:val="en-GB"/>
              </w:rPr>
              <w:t>Description</w:t>
            </w:r>
          </w:p>
        </w:tc>
        <w:tc>
          <w:tcPr>
            <w:tcW w:w="3351" w:type="dxa"/>
            <w:tcBorders>
              <w:top w:val="single" w:sz="4" w:space="0" w:color="auto"/>
              <w:bottom w:val="single" w:sz="4" w:space="0" w:color="auto"/>
            </w:tcBorders>
          </w:tcPr>
          <w:p w14:paraId="5D206CFD" w14:textId="77777777" w:rsidR="00D70A7E" w:rsidRPr="00D70A7E" w:rsidRDefault="00D70A7E" w:rsidP="00D70A7E">
            <w:pPr>
              <w:rPr>
                <w:rFonts w:eastAsia="Calibri"/>
                <w:sz w:val="18"/>
                <w:szCs w:val="18"/>
                <w:lang w:val="en-GB"/>
              </w:rPr>
            </w:pPr>
            <w:r w:rsidRPr="00D70A7E">
              <w:rPr>
                <w:rFonts w:eastAsia="Calibri"/>
                <w:sz w:val="18"/>
                <w:szCs w:val="18"/>
                <w:lang w:val="en-GB"/>
              </w:rPr>
              <w:t>Formula</w:t>
            </w:r>
          </w:p>
        </w:tc>
      </w:tr>
      <w:tr w:rsidR="00D70A7E" w:rsidRPr="00D70A7E" w14:paraId="1D2734A9" w14:textId="77777777" w:rsidTr="00B37B31">
        <w:tc>
          <w:tcPr>
            <w:tcW w:w="421" w:type="dxa"/>
          </w:tcPr>
          <w:p w14:paraId="2B6C1001" w14:textId="77777777" w:rsidR="00D70A7E" w:rsidRPr="00D70A7E" w:rsidRDefault="00D70A7E" w:rsidP="00D70A7E">
            <w:pPr>
              <w:rPr>
                <w:rFonts w:eastAsia="Calibri"/>
                <w:sz w:val="18"/>
                <w:szCs w:val="18"/>
                <w:lang w:val="en-GB"/>
              </w:rPr>
            </w:pPr>
          </w:p>
        </w:tc>
        <w:tc>
          <w:tcPr>
            <w:tcW w:w="2268" w:type="dxa"/>
          </w:tcPr>
          <w:p w14:paraId="6BAEC6C2" w14:textId="77777777" w:rsidR="00D70A7E" w:rsidRPr="00D70A7E" w:rsidRDefault="00D70A7E" w:rsidP="00D70A7E">
            <w:pPr>
              <w:rPr>
                <w:rFonts w:eastAsia="Calibri"/>
                <w:sz w:val="18"/>
                <w:szCs w:val="18"/>
                <w:lang w:val="en-GB"/>
              </w:rPr>
            </w:pPr>
            <w:r w:rsidRPr="00D70A7E">
              <w:rPr>
                <w:rFonts w:eastAsia="Calibri"/>
                <w:sz w:val="18"/>
                <w:szCs w:val="18"/>
                <w:lang w:val="en-GB"/>
              </w:rPr>
              <w:t>Speed</w:t>
            </w:r>
          </w:p>
        </w:tc>
        <w:tc>
          <w:tcPr>
            <w:tcW w:w="2976" w:type="dxa"/>
          </w:tcPr>
          <w:p w14:paraId="2B0BFCDC" w14:textId="77777777" w:rsidR="00D70A7E" w:rsidRPr="00D70A7E" w:rsidRDefault="00D70A7E" w:rsidP="00D70A7E">
            <w:pPr>
              <w:rPr>
                <w:rFonts w:eastAsia="Calibri"/>
                <w:sz w:val="18"/>
                <w:szCs w:val="18"/>
                <w:lang w:val="en-GB"/>
              </w:rPr>
            </w:pPr>
            <w:r w:rsidRPr="00D70A7E">
              <w:rPr>
                <w:rFonts w:eastAsia="Calibri"/>
                <w:sz w:val="18"/>
                <w:szCs w:val="18"/>
                <w:lang w:val="en-GB"/>
              </w:rPr>
              <w:t>The gait speed during the 2MWT [m/s]</w:t>
            </w:r>
          </w:p>
        </w:tc>
        <w:tc>
          <w:tcPr>
            <w:tcW w:w="3351" w:type="dxa"/>
          </w:tcPr>
          <w:p w14:paraId="05F04B7B" w14:textId="77777777" w:rsidR="00D70A7E" w:rsidRPr="00D70A7E" w:rsidRDefault="00000000" w:rsidP="00D70A7E">
            <w:pPr>
              <w:rPr>
                <w:rFonts w:eastAsia="Times New Roman"/>
                <w:i/>
                <w:sz w:val="18"/>
                <w:szCs w:val="18"/>
                <w:lang w:val="en-GB"/>
              </w:rPr>
            </w:pPr>
            <m:oMathPara>
              <m:oMath>
                <m:f>
                  <m:fPr>
                    <m:ctrlPr>
                      <w:rPr>
                        <w:rFonts w:ascii="Cambria Math" w:eastAsia="Times New Roman" w:hAnsi="Cambria Math"/>
                        <w:i/>
                        <w:sz w:val="18"/>
                        <w:szCs w:val="18"/>
                        <w:lang w:val="en-GB"/>
                      </w:rPr>
                    </m:ctrlPr>
                  </m:fPr>
                  <m:num>
                    <m:r>
                      <w:rPr>
                        <w:rFonts w:ascii="Cambria Math" w:eastAsia="Times New Roman" w:hAnsi="Cambria Math"/>
                        <w:sz w:val="18"/>
                        <w:szCs w:val="18"/>
                        <w:lang w:val="en-GB"/>
                      </w:rPr>
                      <m:t>Total distance</m:t>
                    </m:r>
                  </m:num>
                  <m:den>
                    <m:r>
                      <w:rPr>
                        <w:rFonts w:ascii="Cambria Math" w:eastAsia="Times New Roman" w:hAnsi="Cambria Math"/>
                        <w:sz w:val="18"/>
                        <w:szCs w:val="18"/>
                        <w:lang w:val="en-GB"/>
                      </w:rPr>
                      <m:t>120s</m:t>
                    </m:r>
                  </m:den>
                </m:f>
                <m:r>
                  <w:rPr>
                    <w:rFonts w:ascii="Cambria Math" w:eastAsia="Times New Roman" w:hAnsi="Cambria Math"/>
                    <w:sz w:val="18"/>
                    <w:szCs w:val="18"/>
                    <w:lang w:val="en-GB"/>
                  </w:rPr>
                  <m:t xml:space="preserve">  (2)</m:t>
                </m:r>
              </m:oMath>
            </m:oMathPara>
          </w:p>
          <w:p w14:paraId="6E8C7311" w14:textId="77777777" w:rsidR="00D70A7E" w:rsidRPr="00D70A7E" w:rsidRDefault="00D70A7E" w:rsidP="00D70A7E">
            <w:pPr>
              <w:rPr>
                <w:rFonts w:eastAsia="Times New Roman"/>
                <w:sz w:val="18"/>
                <w:szCs w:val="18"/>
                <w:lang w:val="en-GB"/>
              </w:rPr>
            </w:pPr>
          </w:p>
        </w:tc>
      </w:tr>
      <w:tr w:rsidR="00D70A7E" w:rsidRPr="00D70A7E" w14:paraId="1BC71189" w14:textId="77777777" w:rsidTr="00B37B31">
        <w:tc>
          <w:tcPr>
            <w:tcW w:w="421" w:type="dxa"/>
          </w:tcPr>
          <w:p w14:paraId="041BF703" w14:textId="77777777" w:rsidR="00D70A7E" w:rsidRPr="00D70A7E" w:rsidRDefault="00D70A7E" w:rsidP="00D70A7E">
            <w:pPr>
              <w:rPr>
                <w:rFonts w:eastAsia="Calibri"/>
                <w:sz w:val="18"/>
                <w:szCs w:val="18"/>
                <w:lang w:val="en-GB"/>
              </w:rPr>
            </w:pPr>
          </w:p>
        </w:tc>
        <w:tc>
          <w:tcPr>
            <w:tcW w:w="2268" w:type="dxa"/>
          </w:tcPr>
          <w:p w14:paraId="3FDFE9BC" w14:textId="77777777" w:rsidR="00D70A7E" w:rsidRPr="00D70A7E" w:rsidRDefault="00D70A7E" w:rsidP="00D70A7E">
            <w:pPr>
              <w:rPr>
                <w:rFonts w:eastAsia="Calibri"/>
                <w:sz w:val="18"/>
                <w:szCs w:val="18"/>
                <w:lang w:val="en-GB"/>
              </w:rPr>
            </w:pPr>
            <w:r w:rsidRPr="00D70A7E">
              <w:rPr>
                <w:rFonts w:eastAsia="Calibri"/>
                <w:sz w:val="18"/>
                <w:szCs w:val="18"/>
                <w:lang w:val="en-GB"/>
              </w:rPr>
              <w:t>Asymmetry</w:t>
            </w:r>
          </w:p>
        </w:tc>
        <w:tc>
          <w:tcPr>
            <w:tcW w:w="2976" w:type="dxa"/>
          </w:tcPr>
          <w:p w14:paraId="0C169B41" w14:textId="77777777" w:rsidR="00D70A7E" w:rsidRPr="00D70A7E" w:rsidRDefault="00D70A7E" w:rsidP="00D70A7E">
            <w:pPr>
              <w:rPr>
                <w:rFonts w:eastAsia="Calibri"/>
                <w:sz w:val="18"/>
                <w:szCs w:val="18"/>
                <w:lang w:val="en-GB"/>
              </w:rPr>
            </w:pPr>
            <w:r w:rsidRPr="00D70A7E">
              <w:rPr>
                <w:rFonts w:eastAsia="Calibri"/>
                <w:sz w:val="18"/>
                <w:szCs w:val="18"/>
                <w:lang w:val="en-GB"/>
              </w:rPr>
              <w:t>The swing-stance phase ratio of the paretic foot divided by the swing-stance phase ratio of the non-paretic foot.</w:t>
            </w:r>
          </w:p>
        </w:tc>
        <w:tc>
          <w:tcPr>
            <w:tcW w:w="3351" w:type="dxa"/>
          </w:tcPr>
          <w:p w14:paraId="5A4ECACD" w14:textId="77777777" w:rsidR="00D70A7E" w:rsidRPr="00D70A7E" w:rsidRDefault="00000000" w:rsidP="00D70A7E">
            <w:pPr>
              <w:rPr>
                <w:rFonts w:eastAsia="Calibri"/>
                <w:sz w:val="18"/>
                <w:szCs w:val="18"/>
                <w:lang w:val="en-GB"/>
              </w:rPr>
            </w:pPr>
            <m:oMathPara>
              <m:oMath>
                <m:f>
                  <m:fPr>
                    <m:ctrlPr>
                      <w:rPr>
                        <w:rFonts w:ascii="Cambria Math" w:eastAsia="Calibri" w:hAnsi="Cambria Math"/>
                        <w:i/>
                        <w:sz w:val="18"/>
                        <w:szCs w:val="18"/>
                        <w:lang w:val="en-GB"/>
                      </w:rPr>
                    </m:ctrlPr>
                  </m:fPr>
                  <m:num>
                    <m:r>
                      <w:rPr>
                        <w:rFonts w:ascii="Cambria Math" w:eastAsia="Calibri" w:hAnsi="Cambria Math"/>
                        <w:sz w:val="18"/>
                        <w:szCs w:val="18"/>
                        <w:lang w:val="en-GB"/>
                      </w:rPr>
                      <m:t>swing-stance ratio Paretic</m:t>
                    </m:r>
                  </m:num>
                  <m:den>
                    <m:r>
                      <w:rPr>
                        <w:rFonts w:ascii="Cambria Math" w:eastAsia="Calibri" w:hAnsi="Cambria Math"/>
                        <w:sz w:val="18"/>
                        <w:szCs w:val="18"/>
                        <w:lang w:val="en-GB"/>
                      </w:rPr>
                      <m:t>swing stance ratio NonParetic</m:t>
                    </m:r>
                  </m:den>
                </m:f>
                <m:r>
                  <w:rPr>
                    <w:rFonts w:ascii="Cambria Math" w:eastAsia="Calibri" w:hAnsi="Cambria Math"/>
                    <w:sz w:val="18"/>
                    <w:szCs w:val="18"/>
                    <w:lang w:val="en-GB"/>
                  </w:rPr>
                  <m:t xml:space="preserve"> (3)</m:t>
                </m:r>
              </m:oMath>
            </m:oMathPara>
          </w:p>
        </w:tc>
      </w:tr>
      <w:tr w:rsidR="00D70A7E" w:rsidRPr="00D70A7E" w14:paraId="37F1802B" w14:textId="77777777" w:rsidTr="00B37B31">
        <w:tc>
          <w:tcPr>
            <w:tcW w:w="421" w:type="dxa"/>
          </w:tcPr>
          <w:p w14:paraId="3EF8804C" w14:textId="77777777" w:rsidR="00D70A7E" w:rsidRPr="00D70A7E" w:rsidRDefault="00D70A7E" w:rsidP="00D70A7E">
            <w:pPr>
              <w:rPr>
                <w:rFonts w:eastAsia="Calibri"/>
                <w:sz w:val="18"/>
                <w:szCs w:val="18"/>
                <w:lang w:val="en-GB"/>
              </w:rPr>
            </w:pPr>
          </w:p>
        </w:tc>
        <w:tc>
          <w:tcPr>
            <w:tcW w:w="2268" w:type="dxa"/>
          </w:tcPr>
          <w:p w14:paraId="5E5EC10B" w14:textId="77777777" w:rsidR="00D70A7E" w:rsidRPr="00D70A7E" w:rsidRDefault="00D70A7E" w:rsidP="00D70A7E">
            <w:pPr>
              <w:rPr>
                <w:rFonts w:eastAsia="Calibri"/>
                <w:sz w:val="18"/>
                <w:szCs w:val="18"/>
                <w:lang w:val="en-GB"/>
              </w:rPr>
            </w:pPr>
            <w:r w:rsidRPr="00D70A7E">
              <w:rPr>
                <w:rFonts w:eastAsia="Calibri"/>
                <w:sz w:val="18"/>
                <w:szCs w:val="18"/>
                <w:lang w:val="en-GB"/>
              </w:rPr>
              <w:t>Variability</w:t>
            </w:r>
          </w:p>
        </w:tc>
        <w:tc>
          <w:tcPr>
            <w:tcW w:w="2976" w:type="dxa"/>
          </w:tcPr>
          <w:p w14:paraId="7420B03D" w14:textId="77777777" w:rsidR="00D70A7E" w:rsidRPr="00D70A7E" w:rsidRDefault="00D70A7E" w:rsidP="00D70A7E">
            <w:pPr>
              <w:rPr>
                <w:rFonts w:eastAsia="Calibri"/>
                <w:sz w:val="18"/>
                <w:szCs w:val="18"/>
                <w:lang w:val="en-GB"/>
              </w:rPr>
            </w:pPr>
            <w:r w:rsidRPr="00D70A7E">
              <w:rPr>
                <w:rFonts w:eastAsia="Calibri"/>
                <w:sz w:val="18"/>
                <w:szCs w:val="18"/>
                <w:lang w:val="en-GB"/>
              </w:rPr>
              <w:t>Standard deviation of the stride times of the left foot [s].</w:t>
            </w:r>
          </w:p>
        </w:tc>
        <w:tc>
          <w:tcPr>
            <w:tcW w:w="3351" w:type="dxa"/>
          </w:tcPr>
          <w:p w14:paraId="25160DEC" w14:textId="77777777" w:rsidR="00D70A7E" w:rsidRPr="00D70A7E" w:rsidRDefault="00D70A7E" w:rsidP="00D70A7E">
            <w:pPr>
              <w:jc w:val="center"/>
              <w:rPr>
                <w:rFonts w:eastAsia="Times New Roman"/>
                <w:sz w:val="18"/>
                <w:szCs w:val="18"/>
                <w:lang w:val="en-GB"/>
              </w:rPr>
            </w:pPr>
            <m:oMath>
              <m:r>
                <w:rPr>
                  <w:rFonts w:ascii="Cambria Math" w:eastAsia="Calibri" w:hAnsi="Cambria Math"/>
                  <w:sz w:val="18"/>
                  <w:szCs w:val="18"/>
                  <w:lang w:val="en-GB"/>
                </w:rPr>
                <m:t>SD</m:t>
              </m:r>
              <m:d>
                <m:dPr>
                  <m:ctrlPr>
                    <w:rPr>
                      <w:rFonts w:ascii="Cambria Math" w:eastAsia="Calibri" w:hAnsi="Cambria Math"/>
                      <w:i/>
                      <w:sz w:val="18"/>
                      <w:szCs w:val="18"/>
                      <w:lang w:val="en-GB"/>
                    </w:rPr>
                  </m:ctrlPr>
                </m:dPr>
                <m:e>
                  <m:r>
                    <w:rPr>
                      <w:rFonts w:ascii="Cambria Math" w:eastAsia="Calibri" w:hAnsi="Cambria Math"/>
                      <w:sz w:val="18"/>
                      <w:szCs w:val="18"/>
                      <w:lang w:val="en-GB"/>
                    </w:rPr>
                    <m:t>time per stride</m:t>
                  </m:r>
                </m:e>
              </m:d>
            </m:oMath>
            <w:r w:rsidRPr="00D70A7E">
              <w:rPr>
                <w:rFonts w:eastAsia="Times New Roman"/>
                <w:sz w:val="18"/>
                <w:szCs w:val="18"/>
                <w:lang w:val="en-GB"/>
              </w:rPr>
              <w:t xml:space="preserve"> (4)</w:t>
            </w:r>
          </w:p>
          <w:p w14:paraId="5A20D0A7" w14:textId="77777777" w:rsidR="00D70A7E" w:rsidRPr="00D70A7E" w:rsidRDefault="00D70A7E" w:rsidP="00D70A7E">
            <w:pPr>
              <w:rPr>
                <w:rFonts w:eastAsia="Times New Roman"/>
                <w:sz w:val="18"/>
                <w:szCs w:val="18"/>
                <w:lang w:val="en-GB"/>
              </w:rPr>
            </w:pPr>
          </w:p>
        </w:tc>
      </w:tr>
      <w:tr w:rsidR="00D70A7E" w:rsidRPr="00D70A7E" w14:paraId="0C5934CE" w14:textId="77777777" w:rsidTr="00B37B31">
        <w:tc>
          <w:tcPr>
            <w:tcW w:w="421" w:type="dxa"/>
            <w:tcBorders>
              <w:bottom w:val="single" w:sz="4" w:space="0" w:color="auto"/>
            </w:tcBorders>
          </w:tcPr>
          <w:p w14:paraId="46CEC1DF" w14:textId="77777777" w:rsidR="00D70A7E" w:rsidRPr="00D70A7E" w:rsidRDefault="00D70A7E" w:rsidP="00D70A7E">
            <w:pPr>
              <w:rPr>
                <w:rFonts w:eastAsia="Calibri"/>
                <w:sz w:val="18"/>
                <w:szCs w:val="18"/>
                <w:lang w:val="en-GB"/>
              </w:rPr>
            </w:pPr>
          </w:p>
        </w:tc>
        <w:tc>
          <w:tcPr>
            <w:tcW w:w="2268" w:type="dxa"/>
            <w:tcBorders>
              <w:bottom w:val="single" w:sz="4" w:space="0" w:color="auto"/>
            </w:tcBorders>
          </w:tcPr>
          <w:p w14:paraId="04F05019" w14:textId="77777777" w:rsidR="00D70A7E" w:rsidRPr="00D70A7E" w:rsidRDefault="00D70A7E" w:rsidP="00D70A7E">
            <w:pPr>
              <w:rPr>
                <w:rFonts w:eastAsia="Calibri"/>
                <w:sz w:val="18"/>
                <w:szCs w:val="18"/>
                <w:lang w:val="en-GB"/>
              </w:rPr>
            </w:pPr>
            <w:r w:rsidRPr="00D70A7E">
              <w:rPr>
                <w:rFonts w:eastAsia="Calibri"/>
                <w:sz w:val="18"/>
                <w:szCs w:val="18"/>
                <w:lang w:val="en-GB"/>
              </w:rPr>
              <w:t>Smoothness</w:t>
            </w:r>
          </w:p>
        </w:tc>
        <w:tc>
          <w:tcPr>
            <w:tcW w:w="2976" w:type="dxa"/>
            <w:tcBorders>
              <w:bottom w:val="single" w:sz="4" w:space="0" w:color="auto"/>
            </w:tcBorders>
          </w:tcPr>
          <w:p w14:paraId="123D7885" w14:textId="77777777" w:rsidR="00D70A7E" w:rsidRPr="00D70A7E" w:rsidRDefault="00D70A7E" w:rsidP="00D70A7E">
            <w:pPr>
              <w:rPr>
                <w:rFonts w:eastAsia="Calibri"/>
                <w:sz w:val="18"/>
                <w:szCs w:val="18"/>
                <w:lang w:val="en-GB"/>
              </w:rPr>
            </w:pPr>
            <w:r w:rsidRPr="00D70A7E">
              <w:rPr>
                <w:rFonts w:eastAsia="Calibri"/>
                <w:sz w:val="18"/>
                <w:szCs w:val="18"/>
                <w:lang w:val="en-GB"/>
              </w:rPr>
              <w:t>Index of harmonicity of the acceleration in medio-lateral direction.</w:t>
            </w:r>
          </w:p>
        </w:tc>
        <w:tc>
          <w:tcPr>
            <w:tcW w:w="3351" w:type="dxa"/>
            <w:tcBorders>
              <w:bottom w:val="single" w:sz="4" w:space="0" w:color="auto"/>
            </w:tcBorders>
          </w:tcPr>
          <w:p w14:paraId="5B454AF3" w14:textId="77777777" w:rsidR="00D70A7E" w:rsidRPr="00D70A7E" w:rsidRDefault="00D70A7E" w:rsidP="00D70A7E">
            <w:pPr>
              <w:jc w:val="center"/>
              <w:rPr>
                <w:rFonts w:eastAsia="Times New Roman"/>
                <w:sz w:val="18"/>
                <w:szCs w:val="18"/>
                <w:lang w:val="en-GB"/>
              </w:rPr>
            </w:pPr>
            <w:r w:rsidRPr="00D70A7E">
              <w:rPr>
                <w:rFonts w:eastAsia="Times New Roman"/>
                <w:sz w:val="18"/>
                <w:szCs w:val="18"/>
                <w:lang w:val="en-GB"/>
              </w:rPr>
              <w:t>Ratio of the amplitude of the dominant frequency to the sum of the first five super harmonics.</w:t>
            </w:r>
          </w:p>
        </w:tc>
      </w:tr>
      <w:tr w:rsidR="00D70A7E" w:rsidRPr="00D70A7E" w14:paraId="4D42B2FF" w14:textId="77777777" w:rsidTr="00B37B31">
        <w:tc>
          <w:tcPr>
            <w:tcW w:w="9016" w:type="dxa"/>
            <w:gridSpan w:val="4"/>
            <w:tcBorders>
              <w:top w:val="single" w:sz="4" w:space="0" w:color="auto"/>
              <w:bottom w:val="single" w:sz="4" w:space="0" w:color="auto"/>
            </w:tcBorders>
          </w:tcPr>
          <w:p w14:paraId="554B8539" w14:textId="77777777" w:rsidR="00D70A7E" w:rsidRPr="00D70A7E" w:rsidRDefault="00D70A7E" w:rsidP="00D70A7E">
            <w:pPr>
              <w:spacing w:line="360" w:lineRule="auto"/>
              <w:rPr>
                <w:rFonts w:eastAsia="Calibri"/>
                <w:color w:val="000000"/>
                <w:sz w:val="18"/>
                <w:szCs w:val="18"/>
                <w:lang w:val="en-GB"/>
              </w:rPr>
            </w:pPr>
            <w:r w:rsidRPr="00D70A7E">
              <w:rPr>
                <w:rFonts w:eastAsia="Calibri"/>
                <w:color w:val="000000"/>
                <w:sz w:val="18"/>
                <w:szCs w:val="18"/>
                <w:lang w:val="en-GB"/>
              </w:rPr>
              <w:t xml:space="preserve">Abbreviations: 2MWT = </w:t>
            </w:r>
            <w:proofErr w:type="gramStart"/>
            <w:r w:rsidRPr="00D70A7E">
              <w:rPr>
                <w:rFonts w:eastAsia="Calibri"/>
                <w:color w:val="000000"/>
                <w:sz w:val="18"/>
                <w:szCs w:val="18"/>
                <w:lang w:val="en-GB"/>
              </w:rPr>
              <w:t>Two minute</w:t>
            </w:r>
            <w:proofErr w:type="gramEnd"/>
            <w:r w:rsidRPr="00D70A7E">
              <w:rPr>
                <w:rFonts w:eastAsia="Calibri"/>
                <w:color w:val="000000"/>
                <w:sz w:val="18"/>
                <w:szCs w:val="18"/>
                <w:lang w:val="en-GB"/>
              </w:rPr>
              <w:t xml:space="preserve"> walk test; AP: Anterior-Posterior; ML: Mediolateral; SD: Standard deviation; m = meters; s = seconds</w:t>
            </w:r>
          </w:p>
        </w:tc>
      </w:tr>
    </w:tbl>
    <w:p w14:paraId="12D9D1EE" w14:textId="77777777" w:rsidR="00D70A7E" w:rsidRPr="00D70A7E" w:rsidRDefault="00D70A7E" w:rsidP="00D70A7E">
      <w:pPr>
        <w:rPr>
          <w:rFonts w:eastAsia="Calibri"/>
          <w:lang w:val="en-GB"/>
        </w:rPr>
      </w:pPr>
    </w:p>
    <w:p w14:paraId="49576383" w14:textId="77777777" w:rsidR="00D70A7E" w:rsidRPr="00D70A7E" w:rsidRDefault="00D70A7E" w:rsidP="00D70A7E">
      <w:pPr>
        <w:keepNext/>
        <w:keepLines/>
        <w:spacing w:before="240"/>
        <w:outlineLvl w:val="1"/>
        <w:rPr>
          <w:rFonts w:eastAsia="Times New Roman"/>
          <w:b/>
          <w:bCs/>
          <w:color w:val="000000"/>
          <w:sz w:val="28"/>
          <w:szCs w:val="28"/>
          <w:lang w:val="en-GB"/>
        </w:rPr>
      </w:pPr>
      <w:r w:rsidRPr="00D70A7E">
        <w:rPr>
          <w:rFonts w:eastAsia="Times New Roman"/>
          <w:b/>
          <w:bCs/>
          <w:color w:val="000000"/>
          <w:sz w:val="28"/>
          <w:szCs w:val="28"/>
          <w:lang w:val="en-GB"/>
        </w:rPr>
        <w:t>Supplements S3: Calculation of daily-life gait features</w:t>
      </w:r>
    </w:p>
    <w:p w14:paraId="38918071" w14:textId="3DD16AC6" w:rsidR="00D70A7E" w:rsidRPr="00D70A7E" w:rsidRDefault="00D70A7E" w:rsidP="00D70A7E">
      <w:pPr>
        <w:ind w:firstLine="708"/>
        <w:rPr>
          <w:rFonts w:eastAsia="Calibri"/>
          <w:lang w:val="en-GB"/>
        </w:rPr>
      </w:pPr>
      <w:r w:rsidRPr="00D70A7E">
        <w:rPr>
          <w:rFonts w:eastAsia="Calibri"/>
          <w:lang w:val="en-GB"/>
        </w:rPr>
        <w:t>After episodes of gait were identified in daily life, a custom-made step-detection algorithm was applied to count the total number of steps per epoch [</w:t>
      </w:r>
      <w:r w:rsidR="00A43F97">
        <w:rPr>
          <w:rFonts w:eastAsia="Calibri"/>
          <w:lang w:val="en-GB"/>
        </w:rPr>
        <w:t>1</w:t>
      </w:r>
      <w:r w:rsidRPr="00D70A7E">
        <w:rPr>
          <w:rFonts w:eastAsia="Calibri"/>
          <w:lang w:val="en-GB"/>
        </w:rPr>
        <w:t xml:space="preserve">]. The total number of steps per day was calculated by summing all the number of steps per epoch and dividing this number by the wearing time. The wearing time was defined as the time the sensor was worn by the participant. Only data with a minimal wearing time of 8 hours was used. After the step detection, </w:t>
      </w:r>
      <w:r w:rsidRPr="00D70A7E">
        <w:rPr>
          <w:rFonts w:eastAsia="Palatino Linotype"/>
          <w:kern w:val="0"/>
          <w:lang w:val="en-GB"/>
          <w14:ligatures w14:val="none"/>
        </w:rPr>
        <w:t>a sensor-fusion algorithm was used to transform acceleration from a local to a global reference frame by combining the accelerometer and gyroscope data per gait episode [</w:t>
      </w:r>
      <w:r w:rsidR="00A43F97">
        <w:rPr>
          <w:rFonts w:eastAsia="Palatino Linotype"/>
          <w:kern w:val="0"/>
          <w:lang w:val="en-GB"/>
          <w14:ligatures w14:val="none"/>
        </w:rPr>
        <w:t>3</w:t>
      </w:r>
      <w:r w:rsidRPr="00D70A7E">
        <w:rPr>
          <w:rFonts w:eastAsia="Palatino Linotype"/>
          <w:kern w:val="0"/>
          <w:lang w:val="en-GB"/>
          <w14:ligatures w14:val="none"/>
        </w:rPr>
        <w:t>]. Second, the linear acceleration in the anterior-posterior direct was integrated once to determine the gait speed. Third, a Zero-Velocity Update was applied to set velocity to zero during stationary phases of walking, thereby reducing estimation errors [</w:t>
      </w:r>
      <w:r w:rsidR="00A43F97">
        <w:rPr>
          <w:rFonts w:eastAsia="Palatino Linotype"/>
          <w:kern w:val="0"/>
          <w:lang w:val="en-GB"/>
          <w14:ligatures w14:val="none"/>
        </w:rPr>
        <w:t>4</w:t>
      </w:r>
      <w:r w:rsidRPr="00D70A7E">
        <w:rPr>
          <w:rFonts w:eastAsia="Palatino Linotype"/>
          <w:kern w:val="0"/>
          <w:lang w:val="en-GB"/>
          <w14:ligatures w14:val="none"/>
        </w:rPr>
        <w:t xml:space="preserve">]. Fourth, the corrected gait speed was integrated to determine position. This calculation enabled us to </w:t>
      </w:r>
      <w:r w:rsidRPr="00D70A7E">
        <w:rPr>
          <w:rFonts w:eastAsia="Palatino Linotype"/>
          <w:kern w:val="0"/>
          <w:lang w:val="en-GB"/>
          <w14:ligatures w14:val="none"/>
        </w:rPr>
        <w:lastRenderedPageBreak/>
        <w:t>measure the total distance covered in the two-minute assessment, and thus, the gait speed. The average gait speed was calculated based on the overall speed throughout the assessment period, while the maximum gait speed was determined from the 95th percentile of the speed distribution. Measures of strides per day, average gait speed, and maximum gait speed were used to evaluate community walking.</w:t>
      </w:r>
    </w:p>
    <w:p w14:paraId="40F93F73" w14:textId="77777777" w:rsidR="00D70A7E" w:rsidRPr="00D70A7E" w:rsidRDefault="00D70A7E" w:rsidP="00D70A7E">
      <w:pPr>
        <w:rPr>
          <w:rFonts w:eastAsia="Calibri"/>
          <w:lang w:val="en-GB"/>
        </w:rPr>
      </w:pPr>
    </w:p>
    <w:p w14:paraId="3503F4CC" w14:textId="77777777" w:rsidR="00D70A7E" w:rsidRPr="00D70A7E" w:rsidRDefault="00D70A7E" w:rsidP="00D70A7E">
      <w:pPr>
        <w:keepNext/>
        <w:keepLines/>
        <w:spacing w:before="240"/>
        <w:outlineLvl w:val="1"/>
        <w:rPr>
          <w:rFonts w:eastAsia="Times New Roman"/>
          <w:b/>
          <w:bCs/>
          <w:color w:val="000000"/>
          <w:sz w:val="28"/>
          <w:szCs w:val="28"/>
          <w:lang w:val="en-GB"/>
        </w:rPr>
      </w:pPr>
      <w:r w:rsidRPr="00D70A7E">
        <w:rPr>
          <w:rFonts w:eastAsia="Times New Roman"/>
          <w:b/>
          <w:bCs/>
          <w:color w:val="000000"/>
          <w:sz w:val="28"/>
          <w:szCs w:val="28"/>
          <w:lang w:val="en-GB"/>
        </w:rPr>
        <w:t xml:space="preserve">Supplements S4: Description of the Variational </w:t>
      </w:r>
      <w:proofErr w:type="spellStart"/>
      <w:r w:rsidRPr="00D70A7E">
        <w:rPr>
          <w:rFonts w:eastAsia="Times New Roman"/>
          <w:b/>
          <w:bCs/>
          <w:color w:val="000000"/>
          <w:sz w:val="28"/>
          <w:szCs w:val="28"/>
          <w:lang w:val="en-GB"/>
        </w:rPr>
        <w:t>AutoEncoder</w:t>
      </w:r>
      <w:proofErr w:type="spellEnd"/>
    </w:p>
    <w:p w14:paraId="73D2FDAA" w14:textId="038D47CE" w:rsidR="00D70A7E" w:rsidRPr="00D70A7E" w:rsidRDefault="00D70A7E" w:rsidP="00D70A7E">
      <w:pPr>
        <w:rPr>
          <w:rFonts w:eastAsia="Calibri"/>
          <w:lang w:val="en-GB"/>
        </w:rPr>
      </w:pPr>
      <w:r w:rsidRPr="00D70A7E">
        <w:rPr>
          <w:rFonts w:eastAsia="Calibri"/>
          <w:lang w:val="en-GB"/>
        </w:rPr>
        <w:t xml:space="preserve">Data processing for the Variational </w:t>
      </w:r>
      <w:proofErr w:type="spellStart"/>
      <w:r w:rsidRPr="00D70A7E">
        <w:rPr>
          <w:rFonts w:eastAsia="Calibri"/>
          <w:lang w:val="en-GB"/>
        </w:rPr>
        <w:t>AutoEncoder</w:t>
      </w:r>
      <w:proofErr w:type="spellEnd"/>
      <w:r w:rsidRPr="00D70A7E">
        <w:rPr>
          <w:rFonts w:eastAsia="Calibri"/>
          <w:lang w:val="en-GB"/>
        </w:rPr>
        <w:t xml:space="preserve"> (VAE) began by down sampling the data from an original frequency of 104 to 100 samples per second. The gyroscope data were then corrected using offset values from a static measurement. A step detection algorithm was applied to identify foot contacts and stance phases within the gait measurement [</w:t>
      </w:r>
      <w:r w:rsidR="00A43F97">
        <w:rPr>
          <w:rFonts w:eastAsia="Calibri"/>
          <w:lang w:val="en-GB"/>
        </w:rPr>
        <w:t>1</w:t>
      </w:r>
      <w:r w:rsidRPr="00D70A7E">
        <w:rPr>
          <w:rFonts w:eastAsia="Calibri"/>
          <w:lang w:val="en-GB"/>
        </w:rPr>
        <w:t>]. To augment the amount of data available for training the VAE, all two-minute walk test data were segmented into epochs of 512 samples, starting in a stance phase with approximately 50% overlap. These epochs were first filtered using a first-order Butterworth bandpass filter with a 0.01–10 Hz range. The beginning of each epoch was normalized by setting the initial value to zero, and epochs were standardized; epochs with a z-score over five were deemed outliers and excluded. Finally, the data were normalized per dimension to a range between -1 and 1 using the minimal and maximal values measurable by the sensors (8g for the accelerometer and 500 rad/s for the gyroscope).</w:t>
      </w:r>
    </w:p>
    <w:p w14:paraId="005A4E82" w14:textId="77777777" w:rsidR="00D70A7E" w:rsidRPr="00D70A7E" w:rsidRDefault="00D70A7E" w:rsidP="00D70A7E">
      <w:pPr>
        <w:rPr>
          <w:rFonts w:eastAsia="Calibri"/>
          <w:lang w:val="en-GB"/>
        </w:rPr>
      </w:pPr>
    </w:p>
    <w:p w14:paraId="23828C59" w14:textId="7FAED1BA" w:rsidR="00D70A7E" w:rsidRPr="00D70A7E" w:rsidRDefault="00D70A7E" w:rsidP="00D70A7E">
      <w:pPr>
        <w:rPr>
          <w:rFonts w:eastAsia="Calibri"/>
          <w:lang w:val="en-GB"/>
        </w:rPr>
      </w:pPr>
      <w:r w:rsidRPr="00D70A7E">
        <w:rPr>
          <w:rFonts w:eastAsia="Calibri"/>
          <w:lang w:val="en-GB"/>
        </w:rPr>
        <w:t xml:space="preserve">For model development, the VAE consisted of an encoder and a decoder, each with three mirrored convolutional layers. The model processed data in a 512 x 6 matrix format, representing triaxial acceleration and angular velocity, and compressed it into 12 latent features. The VAE aimed to minimize the Mean Squared Error and the </w:t>
      </w:r>
      <w:proofErr w:type="spellStart"/>
      <w:r w:rsidRPr="00D70A7E">
        <w:rPr>
          <w:rFonts w:eastAsia="Calibri"/>
          <w:lang w:val="en-GB"/>
        </w:rPr>
        <w:t>Kullback-Leibler</w:t>
      </w:r>
      <w:proofErr w:type="spellEnd"/>
      <w:r w:rsidRPr="00D70A7E">
        <w:rPr>
          <w:rFonts w:eastAsia="Calibri"/>
          <w:lang w:val="en-GB"/>
        </w:rPr>
        <w:t xml:space="preserve"> divergence to ensure the latent features were normally distributed and to enhance the model’s </w:t>
      </w:r>
      <w:r w:rsidRPr="00D70A7E">
        <w:rPr>
          <w:rFonts w:eastAsia="Calibri"/>
          <w:lang w:val="en-GB"/>
        </w:rPr>
        <w:lastRenderedPageBreak/>
        <w:t>accuracy in representing the input data. More information is provided in the study of Felius et al (2024) [</w:t>
      </w:r>
      <w:r w:rsidR="00A43F97">
        <w:rPr>
          <w:rFonts w:eastAsia="Calibri"/>
          <w:lang w:val="en-GB"/>
        </w:rPr>
        <w:t>8</w:t>
      </w:r>
      <w:r w:rsidRPr="00D70A7E">
        <w:rPr>
          <w:rFonts w:eastAsia="Calibri"/>
          <w:lang w:val="en-GB"/>
        </w:rPr>
        <w:t>].  The source code for the project can be accessed via: https://zenodo.org/doi/10.5281/zenodo.10878458.</w:t>
      </w:r>
    </w:p>
    <w:p w14:paraId="624EF1DF" w14:textId="77777777" w:rsidR="00D70A7E" w:rsidRPr="00D70A7E" w:rsidRDefault="00D70A7E" w:rsidP="00D70A7E">
      <w:pPr>
        <w:keepNext/>
        <w:keepLines/>
        <w:spacing w:before="240"/>
        <w:outlineLvl w:val="1"/>
        <w:rPr>
          <w:rFonts w:eastAsia="Times New Roman"/>
          <w:b/>
          <w:bCs/>
          <w:color w:val="000000"/>
          <w:sz w:val="28"/>
          <w:szCs w:val="28"/>
          <w:lang w:val="en-GB"/>
        </w:rPr>
      </w:pPr>
      <w:r w:rsidRPr="00D70A7E">
        <w:rPr>
          <w:rFonts w:eastAsia="Times New Roman"/>
          <w:b/>
          <w:bCs/>
          <w:color w:val="000000"/>
          <w:sz w:val="28"/>
          <w:szCs w:val="28"/>
          <w:lang w:val="en-GB"/>
        </w:rPr>
        <w:t>Supplements S5: Assumptions of the Ordinary Least Square Regression</w:t>
      </w:r>
    </w:p>
    <w:p w14:paraId="09A1E171" w14:textId="77777777" w:rsidR="00D70A7E" w:rsidRPr="00D70A7E" w:rsidRDefault="00D70A7E" w:rsidP="00D70A7E">
      <w:pPr>
        <w:rPr>
          <w:rFonts w:eastAsia="Calibri"/>
          <w:lang w:val="en-GB"/>
        </w:rPr>
      </w:pPr>
      <w:r w:rsidRPr="00D70A7E">
        <w:rPr>
          <w:rFonts w:eastAsia="Calibri"/>
          <w:lang w:val="en-GB"/>
        </w:rPr>
        <w:t>Evaluation of assumptions of 1) Linearity; 2) Normality of error terms; and 3) homoscedasticity of all significant predictors with Ordinary Least Squares.</w:t>
      </w:r>
    </w:p>
    <w:p w14:paraId="22524EF8" w14:textId="77777777" w:rsidR="00D70A7E" w:rsidRPr="00D70A7E" w:rsidRDefault="00D70A7E" w:rsidP="00D70A7E">
      <w:pPr>
        <w:rPr>
          <w:rFonts w:eastAsia="Calibri"/>
          <w:lang w:val="en-GB"/>
        </w:rPr>
      </w:pPr>
    </w:p>
    <w:p w14:paraId="4AAC4C4C" w14:textId="77777777" w:rsidR="00D70A7E" w:rsidRPr="00D70A7E" w:rsidRDefault="00D70A7E" w:rsidP="00D70A7E">
      <w:pPr>
        <w:rPr>
          <w:rFonts w:eastAsia="Calibri"/>
          <w:b/>
          <w:bCs/>
          <w:sz w:val="20"/>
          <w:szCs w:val="20"/>
          <w:lang w:val="en-GB"/>
        </w:rPr>
      </w:pPr>
      <w:r w:rsidRPr="00D70A7E">
        <w:rPr>
          <w:rFonts w:eastAsia="Calibri"/>
          <w:b/>
          <w:bCs/>
          <w:sz w:val="20"/>
          <w:szCs w:val="20"/>
          <w:lang w:val="en-GB"/>
        </w:rPr>
        <w:t xml:space="preserve">Fig S5.1 Assumptions of significant predictors at admission for strides per day six-months after stroke. </w:t>
      </w:r>
    </w:p>
    <w:p w14:paraId="4EF7CF08" w14:textId="77777777" w:rsidR="00D70A7E" w:rsidRPr="00D70A7E" w:rsidRDefault="00D70A7E" w:rsidP="00D70A7E">
      <w:pPr>
        <w:rPr>
          <w:rFonts w:eastAsia="Calibri"/>
          <w:lang w:val="en-GB"/>
        </w:rPr>
      </w:pPr>
      <w:r w:rsidRPr="00D70A7E">
        <w:rPr>
          <w:rFonts w:eastAsia="Calibri"/>
          <w:noProof/>
          <w:lang w:val="en-GB"/>
        </w:rPr>
        <w:drawing>
          <wp:inline distT="0" distB="0" distL="0" distR="0" wp14:anchorId="7AC3C9FB" wp14:editId="442889E2">
            <wp:extent cx="5040000" cy="3023889"/>
            <wp:effectExtent l="0" t="0" r="1905" b="0"/>
            <wp:docPr id="1877560834" name="Afbeelding 6" descr="Afbeelding met tekst, diagram, schermopnam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560834" name="Afbeelding 6" descr="Afbeelding met tekst, diagram, schermopname, lijn&#10;&#10;Automatisch gegenereerde beschrijvi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40000" cy="3023889"/>
                    </a:xfrm>
                    <a:prstGeom prst="rect">
                      <a:avLst/>
                    </a:prstGeom>
                  </pic:spPr>
                </pic:pic>
              </a:graphicData>
            </a:graphic>
          </wp:inline>
        </w:drawing>
      </w:r>
    </w:p>
    <w:p w14:paraId="13CE546E" w14:textId="77777777" w:rsidR="00D70A7E" w:rsidRPr="00D70A7E" w:rsidRDefault="00D70A7E" w:rsidP="00D70A7E">
      <w:pPr>
        <w:rPr>
          <w:rFonts w:eastAsia="Calibri"/>
          <w:lang w:val="en-GB"/>
        </w:rPr>
      </w:pPr>
    </w:p>
    <w:p w14:paraId="6D89B05D" w14:textId="77777777" w:rsidR="00D70A7E" w:rsidRPr="00D70A7E" w:rsidRDefault="00D70A7E" w:rsidP="00D70A7E">
      <w:pPr>
        <w:rPr>
          <w:rFonts w:eastAsia="Calibri"/>
          <w:b/>
          <w:bCs/>
          <w:sz w:val="20"/>
          <w:szCs w:val="20"/>
          <w:lang w:val="en-GB"/>
        </w:rPr>
      </w:pPr>
      <w:r w:rsidRPr="00D70A7E">
        <w:rPr>
          <w:rFonts w:eastAsia="Calibri"/>
          <w:b/>
          <w:bCs/>
          <w:sz w:val="20"/>
          <w:szCs w:val="20"/>
          <w:lang w:val="en-GB"/>
        </w:rPr>
        <w:t xml:space="preserve">Fig S5.2 Assumptions of significant predictors at discharge for strides per day six-months after stroke. </w:t>
      </w:r>
    </w:p>
    <w:p w14:paraId="563FC6A9" w14:textId="77777777" w:rsidR="00D70A7E" w:rsidRPr="00D70A7E" w:rsidRDefault="00D70A7E" w:rsidP="00D70A7E">
      <w:pPr>
        <w:rPr>
          <w:rFonts w:eastAsia="Calibri"/>
          <w:lang w:val="en-GB"/>
        </w:rPr>
      </w:pPr>
      <w:r w:rsidRPr="00D70A7E">
        <w:rPr>
          <w:rFonts w:eastAsia="Calibri"/>
          <w:noProof/>
          <w:lang w:val="en-GB"/>
        </w:rPr>
        <w:lastRenderedPageBreak/>
        <w:drawing>
          <wp:inline distT="0" distB="0" distL="0" distR="0" wp14:anchorId="623E8BED" wp14:editId="148AE15C">
            <wp:extent cx="5040000" cy="4032222"/>
            <wp:effectExtent l="0" t="0" r="1905" b="0"/>
            <wp:docPr id="1465914773" name="Afbeelding 7" descr="Afbeelding met tekst, diagram,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914773" name="Afbeelding 7" descr="Afbeelding met tekst, diagram, schermopname, Lettertype&#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40000" cy="4032222"/>
                    </a:xfrm>
                    <a:prstGeom prst="rect">
                      <a:avLst/>
                    </a:prstGeom>
                  </pic:spPr>
                </pic:pic>
              </a:graphicData>
            </a:graphic>
          </wp:inline>
        </w:drawing>
      </w:r>
    </w:p>
    <w:p w14:paraId="67B52A5E" w14:textId="77777777" w:rsidR="00D70A7E" w:rsidRPr="00D70A7E" w:rsidRDefault="00D70A7E" w:rsidP="00D70A7E">
      <w:pPr>
        <w:rPr>
          <w:rFonts w:eastAsia="Calibri"/>
          <w:b/>
          <w:bCs/>
          <w:sz w:val="20"/>
          <w:szCs w:val="20"/>
          <w:lang w:val="en-GB"/>
        </w:rPr>
      </w:pPr>
      <w:r w:rsidRPr="00D70A7E">
        <w:rPr>
          <w:rFonts w:eastAsia="Calibri"/>
          <w:b/>
          <w:bCs/>
          <w:sz w:val="20"/>
          <w:szCs w:val="20"/>
          <w:lang w:val="en-GB"/>
        </w:rPr>
        <w:t>Fig S5.3 Assumptions of significant predictors at admission for average gait speed at six-months after stroke.</w:t>
      </w:r>
    </w:p>
    <w:p w14:paraId="2C274459" w14:textId="77777777" w:rsidR="00D70A7E" w:rsidRPr="00D70A7E" w:rsidRDefault="00D70A7E" w:rsidP="00D70A7E">
      <w:pPr>
        <w:rPr>
          <w:rFonts w:eastAsia="Calibri"/>
          <w:b/>
          <w:bCs/>
          <w:sz w:val="20"/>
          <w:szCs w:val="20"/>
          <w:lang w:val="en-GB"/>
        </w:rPr>
      </w:pPr>
      <w:r w:rsidRPr="00D70A7E">
        <w:rPr>
          <w:rFonts w:eastAsia="Calibri"/>
          <w:b/>
          <w:bCs/>
          <w:sz w:val="20"/>
          <w:szCs w:val="20"/>
          <w:lang w:val="en-GB"/>
        </w:rPr>
        <w:t xml:space="preserve"> </w:t>
      </w:r>
      <w:r w:rsidRPr="00D70A7E">
        <w:rPr>
          <w:rFonts w:eastAsia="Calibri"/>
          <w:noProof/>
          <w:lang w:val="en-GB"/>
        </w:rPr>
        <w:drawing>
          <wp:inline distT="0" distB="0" distL="0" distR="0" wp14:anchorId="2EF44D3B" wp14:editId="6D439CDC">
            <wp:extent cx="5040000" cy="4032222"/>
            <wp:effectExtent l="0" t="0" r="1905" b="0"/>
            <wp:docPr id="162643727" name="Afbeelding 8" descr="Afbeelding met tekst, diagram,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43727" name="Afbeelding 8" descr="Afbeelding met tekst, diagram, schermopname, Lettertype&#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40000" cy="4032222"/>
                    </a:xfrm>
                    <a:prstGeom prst="rect">
                      <a:avLst/>
                    </a:prstGeom>
                  </pic:spPr>
                </pic:pic>
              </a:graphicData>
            </a:graphic>
          </wp:inline>
        </w:drawing>
      </w:r>
    </w:p>
    <w:p w14:paraId="7975C8E5" w14:textId="77777777" w:rsidR="00D70A7E" w:rsidRPr="00D70A7E" w:rsidRDefault="00D70A7E" w:rsidP="00D70A7E">
      <w:pPr>
        <w:rPr>
          <w:rFonts w:eastAsia="Calibri"/>
          <w:lang w:val="en-GB"/>
        </w:rPr>
      </w:pPr>
    </w:p>
    <w:p w14:paraId="36A8ECBB" w14:textId="77777777" w:rsidR="00D70A7E" w:rsidRPr="00D70A7E" w:rsidRDefault="00D70A7E" w:rsidP="00D70A7E">
      <w:pPr>
        <w:rPr>
          <w:rFonts w:eastAsia="Calibri"/>
          <w:b/>
          <w:bCs/>
          <w:sz w:val="20"/>
          <w:szCs w:val="20"/>
          <w:lang w:val="en-GB"/>
        </w:rPr>
      </w:pPr>
      <w:r w:rsidRPr="00D70A7E">
        <w:rPr>
          <w:rFonts w:eastAsia="Calibri"/>
          <w:b/>
          <w:bCs/>
          <w:sz w:val="20"/>
          <w:szCs w:val="20"/>
          <w:lang w:val="en-GB"/>
        </w:rPr>
        <w:t xml:space="preserve">Fig S5.4 Assumptions of significant predictors at discharge for average gait speed at six-months after stroke. </w:t>
      </w:r>
    </w:p>
    <w:p w14:paraId="098E9F39" w14:textId="77777777" w:rsidR="00D70A7E" w:rsidRPr="00D70A7E" w:rsidRDefault="00D70A7E" w:rsidP="00D70A7E">
      <w:pPr>
        <w:rPr>
          <w:rFonts w:eastAsia="Calibri"/>
          <w:b/>
          <w:bCs/>
          <w:lang w:val="en-GB"/>
        </w:rPr>
      </w:pPr>
      <w:r w:rsidRPr="00D70A7E">
        <w:rPr>
          <w:rFonts w:eastAsia="Calibri"/>
          <w:b/>
          <w:bCs/>
          <w:noProof/>
          <w:lang w:val="en-GB"/>
        </w:rPr>
        <w:drawing>
          <wp:inline distT="0" distB="0" distL="0" distR="0" wp14:anchorId="55E58840" wp14:editId="61A8E17B">
            <wp:extent cx="5040000" cy="3023889"/>
            <wp:effectExtent l="0" t="0" r="1905" b="0"/>
            <wp:docPr id="602582199" name="Afbeelding 9" descr="Afbeelding met diagram, tekst, schermopnam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82199" name="Afbeelding 9" descr="Afbeelding met diagram, tekst, schermopname, lijn&#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0000" cy="3023889"/>
                    </a:xfrm>
                    <a:prstGeom prst="rect">
                      <a:avLst/>
                    </a:prstGeom>
                  </pic:spPr>
                </pic:pic>
              </a:graphicData>
            </a:graphic>
          </wp:inline>
        </w:drawing>
      </w:r>
    </w:p>
    <w:p w14:paraId="3F7F06A7" w14:textId="77777777" w:rsidR="00D70A7E" w:rsidRPr="00D70A7E" w:rsidRDefault="00D70A7E" w:rsidP="00D70A7E">
      <w:pPr>
        <w:rPr>
          <w:rFonts w:eastAsia="Calibri"/>
          <w:b/>
          <w:bCs/>
          <w:sz w:val="20"/>
          <w:szCs w:val="20"/>
          <w:lang w:val="en-GB"/>
        </w:rPr>
      </w:pPr>
      <w:r w:rsidRPr="00D70A7E">
        <w:rPr>
          <w:rFonts w:eastAsia="Calibri"/>
          <w:b/>
          <w:bCs/>
          <w:sz w:val="20"/>
          <w:szCs w:val="20"/>
          <w:lang w:val="en-GB"/>
        </w:rPr>
        <w:t>Fig S5.5 Assumptions of significant predictors at discharge for the maximum gait speed at six-months after stroke.</w:t>
      </w:r>
    </w:p>
    <w:p w14:paraId="072F104F" w14:textId="77777777" w:rsidR="00D70A7E" w:rsidRPr="00D70A7E" w:rsidRDefault="00D70A7E" w:rsidP="00D70A7E">
      <w:pPr>
        <w:rPr>
          <w:rFonts w:eastAsia="Calibri"/>
          <w:lang w:val="en-GB"/>
        </w:rPr>
      </w:pPr>
      <w:r w:rsidRPr="00D70A7E">
        <w:rPr>
          <w:rFonts w:eastAsia="Calibri"/>
          <w:noProof/>
          <w:lang w:val="en-GB"/>
        </w:rPr>
        <w:drawing>
          <wp:inline distT="0" distB="0" distL="0" distR="0" wp14:anchorId="26DF0A8B" wp14:editId="55A44EB0">
            <wp:extent cx="5040000" cy="3023889"/>
            <wp:effectExtent l="0" t="0" r="1905" b="0"/>
            <wp:docPr id="1776043247" name="Afbeelding 10" descr="Afbeelding met tekst, diagram, lijn,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043247" name="Afbeelding 10" descr="Afbeelding met tekst, diagram, lijn, schermopname&#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0000" cy="3023889"/>
                    </a:xfrm>
                    <a:prstGeom prst="rect">
                      <a:avLst/>
                    </a:prstGeom>
                  </pic:spPr>
                </pic:pic>
              </a:graphicData>
            </a:graphic>
          </wp:inline>
        </w:drawing>
      </w:r>
    </w:p>
    <w:p w14:paraId="33915FCC" w14:textId="77777777" w:rsidR="00D70A7E" w:rsidRPr="00D70A7E" w:rsidRDefault="00D70A7E" w:rsidP="00D70A7E">
      <w:pPr>
        <w:rPr>
          <w:rFonts w:eastAsia="Calibri"/>
          <w:b/>
          <w:bCs/>
          <w:lang w:val="en-GB"/>
        </w:rPr>
      </w:pPr>
      <w:r w:rsidRPr="00D70A7E">
        <w:rPr>
          <w:rFonts w:eastAsia="Calibri"/>
          <w:b/>
          <w:bCs/>
          <w:sz w:val="20"/>
          <w:szCs w:val="20"/>
          <w:lang w:val="en-GB"/>
        </w:rPr>
        <w:t>Fig S5.6 Assumptions of significant predictors at discharge for maximum gait speed at six-months after stroke</w:t>
      </w:r>
      <w:r w:rsidRPr="00D70A7E">
        <w:rPr>
          <w:rFonts w:eastAsia="Calibri"/>
          <w:b/>
          <w:bCs/>
          <w:lang w:val="en-GB"/>
        </w:rPr>
        <w:t>.</w:t>
      </w:r>
    </w:p>
    <w:p w14:paraId="3A86211D" w14:textId="39470F0E" w:rsidR="00D70A7E" w:rsidRPr="00D70A7E" w:rsidRDefault="00D70A7E" w:rsidP="00D70A7E">
      <w:pPr>
        <w:rPr>
          <w:rFonts w:eastAsia="Calibri"/>
          <w:lang w:val="en-GB"/>
        </w:rPr>
      </w:pPr>
      <w:r w:rsidRPr="00D70A7E">
        <w:rPr>
          <w:rFonts w:eastAsia="Calibri"/>
          <w:noProof/>
          <w:lang w:val="en-GB"/>
        </w:rPr>
        <w:lastRenderedPageBreak/>
        <w:drawing>
          <wp:inline distT="0" distB="0" distL="0" distR="0" wp14:anchorId="1B6B87C3" wp14:editId="074404CE">
            <wp:extent cx="5040000" cy="1007778"/>
            <wp:effectExtent l="0" t="0" r="1905" b="0"/>
            <wp:docPr id="1725183078" name="Afbeelding 12" descr="Afbeelding met lijn, schermopname, diagram,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183078" name="Afbeelding 12" descr="Afbeelding met lijn, schermopname, diagram, Perceel&#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0000" cy="1007778"/>
                    </a:xfrm>
                    <a:prstGeom prst="rect">
                      <a:avLst/>
                    </a:prstGeom>
                  </pic:spPr>
                </pic:pic>
              </a:graphicData>
            </a:graphic>
          </wp:inline>
        </w:drawing>
      </w:r>
    </w:p>
    <w:p w14:paraId="2F361B45" w14:textId="77777777" w:rsidR="00074100" w:rsidRPr="00074100" w:rsidRDefault="00074100" w:rsidP="00074100">
      <w:pPr>
        <w:rPr>
          <w:rFonts w:eastAsia="Calibri"/>
          <w:lang w:val="en-GB"/>
        </w:rPr>
      </w:pPr>
    </w:p>
    <w:p w14:paraId="49C0EA1A" w14:textId="77777777" w:rsidR="00074100" w:rsidRPr="00074100" w:rsidRDefault="00074100" w:rsidP="00074100">
      <w:pPr>
        <w:keepNext/>
        <w:keepLines/>
        <w:spacing w:before="240"/>
        <w:outlineLvl w:val="1"/>
        <w:rPr>
          <w:rFonts w:eastAsia="Times New Roman"/>
          <w:b/>
          <w:bCs/>
          <w:color w:val="000000"/>
          <w:sz w:val="28"/>
          <w:szCs w:val="28"/>
          <w:lang w:val="en-GB"/>
        </w:rPr>
      </w:pPr>
      <w:r w:rsidRPr="00074100">
        <w:rPr>
          <w:rFonts w:eastAsia="Times New Roman"/>
          <w:b/>
          <w:bCs/>
          <w:color w:val="000000"/>
          <w:sz w:val="28"/>
          <w:szCs w:val="28"/>
          <w:lang w:val="en-GB"/>
        </w:rPr>
        <w:t>Supplements S6: Correlation of the Multivariate Ordinary Least Square Regression</w:t>
      </w:r>
    </w:p>
    <w:p w14:paraId="08E1BE97" w14:textId="77777777" w:rsidR="00074100" w:rsidRPr="00074100" w:rsidRDefault="00074100" w:rsidP="00074100">
      <w:pPr>
        <w:rPr>
          <w:rFonts w:eastAsia="Calibri"/>
          <w:b/>
          <w:bCs/>
          <w:sz w:val="20"/>
          <w:szCs w:val="20"/>
        </w:rPr>
      </w:pPr>
      <w:proofErr w:type="spellStart"/>
      <w:r w:rsidRPr="00074100">
        <w:rPr>
          <w:rFonts w:eastAsia="Calibri"/>
          <w:b/>
          <w:bCs/>
          <w:sz w:val="20"/>
          <w:szCs w:val="20"/>
        </w:rPr>
        <w:t>Table</w:t>
      </w:r>
      <w:proofErr w:type="spellEnd"/>
      <w:r w:rsidRPr="00074100">
        <w:rPr>
          <w:rFonts w:eastAsia="Calibri"/>
          <w:b/>
          <w:bCs/>
          <w:sz w:val="20"/>
          <w:szCs w:val="20"/>
        </w:rPr>
        <w:t xml:space="preserve"> S6.1 </w:t>
      </w:r>
      <w:proofErr w:type="spellStart"/>
      <w:r w:rsidRPr="00074100">
        <w:rPr>
          <w:rFonts w:eastAsia="Calibri"/>
          <w:b/>
          <w:bCs/>
          <w:sz w:val="20"/>
          <w:szCs w:val="20"/>
        </w:rPr>
        <w:t>Correlations</w:t>
      </w:r>
      <w:proofErr w:type="spellEnd"/>
      <w:r w:rsidRPr="00074100">
        <w:rPr>
          <w:rFonts w:eastAsia="Calibri"/>
          <w:b/>
          <w:bCs/>
          <w:sz w:val="20"/>
          <w:szCs w:val="20"/>
        </w:rPr>
        <w:t xml:space="preserve"> of the dependent variables in the </w:t>
      </w:r>
      <w:proofErr w:type="spellStart"/>
      <w:r w:rsidRPr="00074100">
        <w:rPr>
          <w:rFonts w:eastAsia="Calibri"/>
          <w:b/>
          <w:bCs/>
          <w:sz w:val="20"/>
          <w:szCs w:val="20"/>
        </w:rPr>
        <w:t>multivariate</w:t>
      </w:r>
      <w:proofErr w:type="spellEnd"/>
      <w:r w:rsidRPr="00074100">
        <w:rPr>
          <w:rFonts w:eastAsia="Calibri"/>
          <w:b/>
          <w:bCs/>
          <w:sz w:val="20"/>
          <w:szCs w:val="20"/>
        </w:rPr>
        <w:t xml:space="preserve"> </w:t>
      </w:r>
      <w:proofErr w:type="spellStart"/>
      <w:r w:rsidRPr="00074100">
        <w:rPr>
          <w:rFonts w:eastAsia="Calibri"/>
          <w:b/>
          <w:bCs/>
          <w:sz w:val="20"/>
          <w:szCs w:val="20"/>
        </w:rPr>
        <w:t>ordinary</w:t>
      </w:r>
      <w:proofErr w:type="spellEnd"/>
      <w:r w:rsidRPr="00074100">
        <w:rPr>
          <w:rFonts w:eastAsia="Calibri"/>
          <w:b/>
          <w:bCs/>
          <w:sz w:val="20"/>
          <w:szCs w:val="20"/>
        </w:rPr>
        <w:t xml:space="preserve"> </w:t>
      </w:r>
      <w:proofErr w:type="spellStart"/>
      <w:r w:rsidRPr="00074100">
        <w:rPr>
          <w:rFonts w:eastAsia="Calibri"/>
          <w:b/>
          <w:bCs/>
          <w:sz w:val="20"/>
          <w:szCs w:val="20"/>
        </w:rPr>
        <w:t>least</w:t>
      </w:r>
      <w:proofErr w:type="spellEnd"/>
      <w:r w:rsidRPr="00074100">
        <w:rPr>
          <w:rFonts w:eastAsia="Calibri"/>
          <w:b/>
          <w:bCs/>
          <w:sz w:val="20"/>
          <w:szCs w:val="20"/>
        </w:rPr>
        <w:t xml:space="preserve"> </w:t>
      </w:r>
      <w:proofErr w:type="spellStart"/>
      <w:r w:rsidRPr="00074100">
        <w:rPr>
          <w:rFonts w:eastAsia="Calibri"/>
          <w:b/>
          <w:bCs/>
          <w:sz w:val="20"/>
          <w:szCs w:val="20"/>
        </w:rPr>
        <w:t>square</w:t>
      </w:r>
      <w:proofErr w:type="spellEnd"/>
      <w:r w:rsidRPr="00074100">
        <w:rPr>
          <w:rFonts w:eastAsia="Calibri"/>
          <w:b/>
          <w:bCs/>
          <w:sz w:val="20"/>
          <w:szCs w:val="20"/>
        </w:rPr>
        <w:t xml:space="preserve"> regression for the strides per </w:t>
      </w:r>
      <w:proofErr w:type="spellStart"/>
      <w:r w:rsidRPr="00074100">
        <w:rPr>
          <w:rFonts w:eastAsia="Calibri"/>
          <w:b/>
          <w:bCs/>
          <w:sz w:val="20"/>
          <w:szCs w:val="20"/>
        </w:rPr>
        <w:t>day</w:t>
      </w:r>
      <w:proofErr w:type="spellEnd"/>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7"/>
        <w:gridCol w:w="1738"/>
        <w:gridCol w:w="1161"/>
        <w:gridCol w:w="1738"/>
        <w:gridCol w:w="1159"/>
        <w:gridCol w:w="1159"/>
      </w:tblGrid>
      <w:tr w:rsidR="00074100" w:rsidRPr="00074100" w14:paraId="6C693102" w14:textId="77777777" w:rsidTr="00390D0A">
        <w:trPr>
          <w:trHeight w:val="20"/>
        </w:trPr>
        <w:tc>
          <w:tcPr>
            <w:tcW w:w="1166" w:type="pct"/>
          </w:tcPr>
          <w:p w14:paraId="575963D9" w14:textId="77777777" w:rsidR="00074100" w:rsidRPr="00074100" w:rsidRDefault="00074100" w:rsidP="00074100">
            <w:pPr>
              <w:spacing w:line="276" w:lineRule="auto"/>
              <w:rPr>
                <w:rFonts w:eastAsia="Calibri"/>
                <w:color w:val="000000"/>
                <w:sz w:val="16"/>
                <w:szCs w:val="16"/>
                <w:lang w:val="en-GB"/>
              </w:rPr>
            </w:pPr>
          </w:p>
        </w:tc>
        <w:tc>
          <w:tcPr>
            <w:tcW w:w="1598" w:type="pct"/>
            <w:gridSpan w:val="2"/>
          </w:tcPr>
          <w:p w14:paraId="1B585021" w14:textId="77777777" w:rsidR="00074100" w:rsidRPr="00074100" w:rsidRDefault="00074100" w:rsidP="00074100">
            <w:pPr>
              <w:spacing w:line="276" w:lineRule="auto"/>
              <w:jc w:val="center"/>
              <w:rPr>
                <w:rFonts w:eastAsia="Calibri"/>
                <w:color w:val="000000"/>
                <w:sz w:val="16"/>
                <w:szCs w:val="16"/>
                <w:lang w:val="en-GB"/>
              </w:rPr>
            </w:pPr>
            <w:r w:rsidRPr="00074100">
              <w:rPr>
                <w:rFonts w:eastAsia="Calibri"/>
                <w:color w:val="000000"/>
                <w:sz w:val="16"/>
                <w:szCs w:val="16"/>
                <w:lang w:val="en-GB"/>
              </w:rPr>
              <w:t>Admission</w:t>
            </w:r>
          </w:p>
        </w:tc>
        <w:tc>
          <w:tcPr>
            <w:tcW w:w="2237" w:type="pct"/>
            <w:gridSpan w:val="3"/>
          </w:tcPr>
          <w:p w14:paraId="2606C2BA" w14:textId="77777777" w:rsidR="00074100" w:rsidRPr="00074100" w:rsidRDefault="00074100" w:rsidP="00074100">
            <w:pPr>
              <w:spacing w:line="276" w:lineRule="auto"/>
              <w:jc w:val="center"/>
              <w:rPr>
                <w:rFonts w:eastAsia="Calibri"/>
                <w:color w:val="000000"/>
                <w:sz w:val="16"/>
                <w:szCs w:val="16"/>
                <w:lang w:val="en-GB"/>
              </w:rPr>
            </w:pPr>
            <w:r w:rsidRPr="00074100">
              <w:rPr>
                <w:rFonts w:eastAsia="Calibri"/>
                <w:color w:val="000000"/>
                <w:sz w:val="16"/>
                <w:szCs w:val="16"/>
                <w:lang w:val="en-GB"/>
              </w:rPr>
              <w:t>Discharge</w:t>
            </w:r>
          </w:p>
        </w:tc>
      </w:tr>
      <w:tr w:rsidR="00074100" w:rsidRPr="00074100" w14:paraId="58F92E7B" w14:textId="77777777" w:rsidTr="00390D0A">
        <w:trPr>
          <w:trHeight w:val="20"/>
        </w:trPr>
        <w:tc>
          <w:tcPr>
            <w:tcW w:w="1166" w:type="pct"/>
          </w:tcPr>
          <w:p w14:paraId="1A8A18F5" w14:textId="77777777" w:rsidR="00074100" w:rsidRPr="00074100" w:rsidRDefault="00074100" w:rsidP="00074100">
            <w:pPr>
              <w:spacing w:line="276" w:lineRule="auto"/>
              <w:rPr>
                <w:rFonts w:eastAsia="Calibri"/>
                <w:color w:val="000000"/>
                <w:sz w:val="16"/>
                <w:szCs w:val="16"/>
                <w:lang w:val="en-GB"/>
              </w:rPr>
            </w:pPr>
          </w:p>
        </w:tc>
        <w:tc>
          <w:tcPr>
            <w:tcW w:w="958" w:type="pct"/>
          </w:tcPr>
          <w:p w14:paraId="3EEC32D0" w14:textId="77777777" w:rsidR="00074100" w:rsidRPr="00074100" w:rsidRDefault="00074100" w:rsidP="00074100">
            <w:pPr>
              <w:spacing w:line="276" w:lineRule="auto"/>
              <w:rPr>
                <w:rFonts w:eastAsia="Calibri"/>
                <w:color w:val="000000"/>
                <w:sz w:val="16"/>
                <w:szCs w:val="16"/>
                <w:lang w:val="en-GB"/>
              </w:rPr>
            </w:pPr>
            <w:r w:rsidRPr="00074100">
              <w:rPr>
                <w:rFonts w:eastAsia="Calibri"/>
                <w:color w:val="000000"/>
                <w:sz w:val="16"/>
                <w:szCs w:val="16"/>
                <w:lang w:val="en-GB"/>
              </w:rPr>
              <w:t>Age [years]</w:t>
            </w:r>
          </w:p>
        </w:tc>
        <w:tc>
          <w:tcPr>
            <w:tcW w:w="639" w:type="pct"/>
            <w:tcBorders>
              <w:bottom w:val="single" w:sz="4" w:space="0" w:color="auto"/>
            </w:tcBorders>
          </w:tcPr>
          <w:p w14:paraId="06663E2B" w14:textId="77777777" w:rsidR="00074100" w:rsidRPr="00074100" w:rsidRDefault="00074100" w:rsidP="00074100">
            <w:pPr>
              <w:spacing w:line="276" w:lineRule="auto"/>
              <w:rPr>
                <w:rFonts w:eastAsia="Calibri"/>
                <w:color w:val="000000"/>
                <w:sz w:val="16"/>
                <w:szCs w:val="16"/>
                <w:lang w:val="en-GB"/>
              </w:rPr>
            </w:pPr>
            <w:r w:rsidRPr="00074100">
              <w:rPr>
                <w:rFonts w:eastAsia="Calibri"/>
                <w:color w:val="000000"/>
                <w:sz w:val="16"/>
                <w:szCs w:val="16"/>
                <w:lang w:val="en-GB"/>
              </w:rPr>
              <w:t>VAE 1</w:t>
            </w:r>
          </w:p>
        </w:tc>
        <w:tc>
          <w:tcPr>
            <w:tcW w:w="958" w:type="pct"/>
            <w:tcBorders>
              <w:bottom w:val="single" w:sz="4" w:space="0" w:color="auto"/>
            </w:tcBorders>
          </w:tcPr>
          <w:p w14:paraId="1B6B9A9D" w14:textId="77777777" w:rsidR="00074100" w:rsidRPr="00074100" w:rsidRDefault="00074100" w:rsidP="00074100">
            <w:pPr>
              <w:spacing w:line="276" w:lineRule="auto"/>
              <w:rPr>
                <w:rFonts w:eastAsia="Calibri"/>
                <w:color w:val="000000"/>
                <w:sz w:val="16"/>
                <w:szCs w:val="16"/>
                <w:lang w:val="en-GB"/>
              </w:rPr>
            </w:pPr>
            <w:r w:rsidRPr="00074100">
              <w:rPr>
                <w:rFonts w:eastAsia="Calibri"/>
                <w:color w:val="000000"/>
                <w:sz w:val="16"/>
                <w:szCs w:val="16"/>
                <w:lang w:val="en-GB"/>
              </w:rPr>
              <w:t>Age [years]</w:t>
            </w:r>
          </w:p>
        </w:tc>
        <w:tc>
          <w:tcPr>
            <w:tcW w:w="639" w:type="pct"/>
            <w:tcBorders>
              <w:bottom w:val="single" w:sz="4" w:space="0" w:color="auto"/>
            </w:tcBorders>
          </w:tcPr>
          <w:p w14:paraId="0A174C36" w14:textId="77777777" w:rsidR="00074100" w:rsidRPr="00074100" w:rsidRDefault="00074100" w:rsidP="00074100">
            <w:pPr>
              <w:spacing w:line="276" w:lineRule="auto"/>
              <w:rPr>
                <w:rFonts w:eastAsia="Calibri"/>
                <w:color w:val="000000"/>
                <w:sz w:val="16"/>
                <w:szCs w:val="16"/>
                <w:lang w:val="en-GB"/>
              </w:rPr>
            </w:pPr>
            <w:r w:rsidRPr="00074100">
              <w:rPr>
                <w:rFonts w:eastAsia="Calibri"/>
                <w:color w:val="000000"/>
                <w:sz w:val="16"/>
                <w:szCs w:val="16"/>
                <w:lang w:val="en-GB"/>
              </w:rPr>
              <w:t>VAE 1</w:t>
            </w:r>
          </w:p>
        </w:tc>
        <w:tc>
          <w:tcPr>
            <w:tcW w:w="639" w:type="pct"/>
            <w:tcBorders>
              <w:bottom w:val="single" w:sz="4" w:space="0" w:color="auto"/>
            </w:tcBorders>
          </w:tcPr>
          <w:p w14:paraId="3AD3588F" w14:textId="77777777" w:rsidR="00074100" w:rsidRPr="00074100" w:rsidRDefault="00074100" w:rsidP="00074100">
            <w:pPr>
              <w:spacing w:line="276" w:lineRule="auto"/>
              <w:rPr>
                <w:rFonts w:eastAsia="Calibri"/>
                <w:color w:val="000000"/>
                <w:sz w:val="16"/>
                <w:szCs w:val="16"/>
                <w:lang w:val="en-GB"/>
              </w:rPr>
            </w:pPr>
            <w:r w:rsidRPr="00074100">
              <w:rPr>
                <w:rFonts w:eastAsia="Calibri"/>
                <w:color w:val="000000"/>
                <w:sz w:val="16"/>
                <w:szCs w:val="16"/>
                <w:lang w:val="en-GB"/>
              </w:rPr>
              <w:t>VAE 2</w:t>
            </w:r>
          </w:p>
        </w:tc>
      </w:tr>
      <w:tr w:rsidR="00074100" w:rsidRPr="00074100" w14:paraId="14ECB5BE" w14:textId="77777777" w:rsidTr="00390D0A">
        <w:trPr>
          <w:trHeight w:val="20"/>
        </w:trPr>
        <w:tc>
          <w:tcPr>
            <w:tcW w:w="1166" w:type="pct"/>
          </w:tcPr>
          <w:p w14:paraId="6A78F7ED" w14:textId="77777777" w:rsidR="00074100" w:rsidRPr="00074100" w:rsidRDefault="00074100" w:rsidP="00074100">
            <w:pPr>
              <w:spacing w:line="276" w:lineRule="auto"/>
              <w:rPr>
                <w:rFonts w:eastAsia="Calibri"/>
                <w:color w:val="000000"/>
                <w:sz w:val="16"/>
                <w:szCs w:val="16"/>
                <w:lang w:val="en-GB"/>
              </w:rPr>
            </w:pPr>
            <w:r w:rsidRPr="00074100">
              <w:rPr>
                <w:rFonts w:eastAsia="Calibri"/>
                <w:color w:val="000000"/>
                <w:sz w:val="16"/>
                <w:szCs w:val="16"/>
                <w:lang w:val="en-GB"/>
              </w:rPr>
              <w:t>VAE 1</w:t>
            </w:r>
          </w:p>
        </w:tc>
        <w:tc>
          <w:tcPr>
            <w:tcW w:w="958" w:type="pct"/>
          </w:tcPr>
          <w:p w14:paraId="3DCC37BC" w14:textId="77777777" w:rsidR="00074100" w:rsidRPr="00074100" w:rsidRDefault="00074100" w:rsidP="00074100">
            <w:pPr>
              <w:spacing w:line="276" w:lineRule="auto"/>
              <w:rPr>
                <w:rFonts w:eastAsia="Calibri"/>
                <w:color w:val="000000"/>
                <w:sz w:val="16"/>
                <w:szCs w:val="16"/>
                <w:lang w:val="en-GB"/>
              </w:rPr>
            </w:pPr>
            <w:r w:rsidRPr="00074100">
              <w:rPr>
                <w:rFonts w:eastAsia="Calibri"/>
                <w:color w:val="000000"/>
                <w:sz w:val="16"/>
                <w:szCs w:val="16"/>
                <w:lang w:val="en-GB"/>
              </w:rPr>
              <w:t>-0.05</w:t>
            </w:r>
          </w:p>
        </w:tc>
        <w:tc>
          <w:tcPr>
            <w:tcW w:w="639" w:type="pct"/>
          </w:tcPr>
          <w:p w14:paraId="5E82EBB4" w14:textId="77777777" w:rsidR="00074100" w:rsidRPr="00074100" w:rsidRDefault="00074100" w:rsidP="00074100">
            <w:pPr>
              <w:spacing w:line="276" w:lineRule="auto"/>
              <w:rPr>
                <w:rFonts w:eastAsia="Calibri"/>
                <w:color w:val="000000"/>
                <w:sz w:val="16"/>
                <w:szCs w:val="16"/>
                <w:lang w:val="en-GB"/>
              </w:rPr>
            </w:pPr>
          </w:p>
        </w:tc>
        <w:tc>
          <w:tcPr>
            <w:tcW w:w="958" w:type="pct"/>
          </w:tcPr>
          <w:p w14:paraId="5F99525F" w14:textId="77777777" w:rsidR="00074100" w:rsidRPr="00074100" w:rsidRDefault="00074100" w:rsidP="00074100">
            <w:pPr>
              <w:spacing w:line="276" w:lineRule="auto"/>
              <w:rPr>
                <w:rFonts w:eastAsia="Calibri"/>
                <w:color w:val="000000"/>
                <w:sz w:val="16"/>
                <w:szCs w:val="16"/>
                <w:lang w:val="en-GB"/>
              </w:rPr>
            </w:pPr>
            <w:r w:rsidRPr="00074100">
              <w:rPr>
                <w:rFonts w:eastAsia="Calibri"/>
                <w:color w:val="000000"/>
                <w:sz w:val="16"/>
                <w:szCs w:val="16"/>
                <w:lang w:val="en-GB"/>
              </w:rPr>
              <w:t>-0.34</w:t>
            </w:r>
          </w:p>
        </w:tc>
        <w:tc>
          <w:tcPr>
            <w:tcW w:w="639" w:type="pct"/>
          </w:tcPr>
          <w:p w14:paraId="17F9FBA1" w14:textId="77777777" w:rsidR="00074100" w:rsidRPr="00074100" w:rsidRDefault="00074100" w:rsidP="00074100">
            <w:pPr>
              <w:spacing w:line="276" w:lineRule="auto"/>
              <w:rPr>
                <w:rFonts w:eastAsia="Calibri"/>
                <w:color w:val="000000"/>
                <w:sz w:val="16"/>
                <w:szCs w:val="16"/>
                <w:lang w:val="en-GB"/>
              </w:rPr>
            </w:pPr>
          </w:p>
        </w:tc>
        <w:tc>
          <w:tcPr>
            <w:tcW w:w="639" w:type="pct"/>
          </w:tcPr>
          <w:p w14:paraId="6C36FF4A" w14:textId="77777777" w:rsidR="00074100" w:rsidRPr="00074100" w:rsidRDefault="00074100" w:rsidP="00074100">
            <w:pPr>
              <w:spacing w:line="276" w:lineRule="auto"/>
              <w:rPr>
                <w:rFonts w:eastAsia="Calibri"/>
                <w:color w:val="000000"/>
                <w:sz w:val="16"/>
                <w:szCs w:val="16"/>
                <w:lang w:val="en-GB"/>
              </w:rPr>
            </w:pPr>
          </w:p>
        </w:tc>
      </w:tr>
      <w:tr w:rsidR="00074100" w:rsidRPr="00074100" w14:paraId="294FCDD4" w14:textId="77777777" w:rsidTr="00390D0A">
        <w:trPr>
          <w:trHeight w:val="20"/>
        </w:trPr>
        <w:tc>
          <w:tcPr>
            <w:tcW w:w="1166" w:type="pct"/>
          </w:tcPr>
          <w:p w14:paraId="5804F73D" w14:textId="77777777" w:rsidR="00074100" w:rsidRPr="00074100" w:rsidRDefault="00074100" w:rsidP="00074100">
            <w:pPr>
              <w:spacing w:line="276" w:lineRule="auto"/>
              <w:rPr>
                <w:rFonts w:eastAsia="Calibri"/>
                <w:color w:val="000000"/>
                <w:sz w:val="16"/>
                <w:szCs w:val="16"/>
                <w:lang w:val="en-GB"/>
              </w:rPr>
            </w:pPr>
            <w:r w:rsidRPr="00074100">
              <w:rPr>
                <w:rFonts w:eastAsia="Calibri"/>
                <w:color w:val="000000"/>
                <w:sz w:val="16"/>
                <w:szCs w:val="16"/>
                <w:lang w:val="en-GB"/>
              </w:rPr>
              <w:t>VAE 2</w:t>
            </w:r>
          </w:p>
        </w:tc>
        <w:tc>
          <w:tcPr>
            <w:tcW w:w="958" w:type="pct"/>
          </w:tcPr>
          <w:p w14:paraId="518DC85C" w14:textId="77777777" w:rsidR="00074100" w:rsidRPr="00074100" w:rsidRDefault="00074100" w:rsidP="00074100">
            <w:pPr>
              <w:spacing w:line="276" w:lineRule="auto"/>
              <w:rPr>
                <w:rFonts w:eastAsia="Calibri"/>
                <w:color w:val="000000"/>
                <w:sz w:val="16"/>
                <w:szCs w:val="16"/>
                <w:lang w:val="en-GB"/>
              </w:rPr>
            </w:pPr>
          </w:p>
        </w:tc>
        <w:tc>
          <w:tcPr>
            <w:tcW w:w="639" w:type="pct"/>
          </w:tcPr>
          <w:p w14:paraId="474C4C29" w14:textId="77777777" w:rsidR="00074100" w:rsidRPr="00074100" w:rsidRDefault="00074100" w:rsidP="00074100">
            <w:pPr>
              <w:spacing w:line="276" w:lineRule="auto"/>
              <w:rPr>
                <w:rFonts w:eastAsia="Calibri"/>
                <w:color w:val="000000"/>
                <w:sz w:val="16"/>
                <w:szCs w:val="16"/>
                <w:lang w:val="en-GB"/>
              </w:rPr>
            </w:pPr>
          </w:p>
        </w:tc>
        <w:tc>
          <w:tcPr>
            <w:tcW w:w="958" w:type="pct"/>
          </w:tcPr>
          <w:p w14:paraId="55129975" w14:textId="77777777" w:rsidR="00074100" w:rsidRPr="00074100" w:rsidRDefault="00074100" w:rsidP="00074100">
            <w:pPr>
              <w:spacing w:line="276" w:lineRule="auto"/>
              <w:rPr>
                <w:rFonts w:eastAsia="Calibri"/>
                <w:color w:val="000000"/>
                <w:sz w:val="16"/>
                <w:szCs w:val="16"/>
                <w:lang w:val="en-GB"/>
              </w:rPr>
            </w:pPr>
            <w:r w:rsidRPr="00074100">
              <w:rPr>
                <w:rFonts w:eastAsia="Calibri"/>
                <w:color w:val="000000"/>
                <w:sz w:val="16"/>
                <w:szCs w:val="16"/>
                <w:lang w:val="en-GB"/>
              </w:rPr>
              <w:t>0,27</w:t>
            </w:r>
          </w:p>
        </w:tc>
        <w:tc>
          <w:tcPr>
            <w:tcW w:w="639" w:type="pct"/>
          </w:tcPr>
          <w:p w14:paraId="4596122B" w14:textId="77777777" w:rsidR="00074100" w:rsidRPr="00074100" w:rsidRDefault="00074100" w:rsidP="00074100">
            <w:pPr>
              <w:spacing w:line="276" w:lineRule="auto"/>
              <w:rPr>
                <w:rFonts w:eastAsia="Calibri"/>
                <w:color w:val="000000"/>
                <w:sz w:val="16"/>
                <w:szCs w:val="16"/>
                <w:lang w:val="en-GB"/>
              </w:rPr>
            </w:pPr>
            <w:r w:rsidRPr="00074100">
              <w:rPr>
                <w:rFonts w:eastAsia="Calibri"/>
                <w:color w:val="000000"/>
                <w:sz w:val="16"/>
                <w:szCs w:val="16"/>
                <w:lang w:val="en-GB"/>
              </w:rPr>
              <w:t>-0.30</w:t>
            </w:r>
          </w:p>
        </w:tc>
        <w:tc>
          <w:tcPr>
            <w:tcW w:w="639" w:type="pct"/>
          </w:tcPr>
          <w:p w14:paraId="2943CE58" w14:textId="77777777" w:rsidR="00074100" w:rsidRPr="00074100" w:rsidRDefault="00074100" w:rsidP="00074100">
            <w:pPr>
              <w:spacing w:line="276" w:lineRule="auto"/>
              <w:rPr>
                <w:rFonts w:eastAsia="Calibri"/>
                <w:color w:val="000000"/>
                <w:sz w:val="16"/>
                <w:szCs w:val="16"/>
                <w:lang w:val="en-GB"/>
              </w:rPr>
            </w:pPr>
          </w:p>
        </w:tc>
      </w:tr>
      <w:tr w:rsidR="00074100" w:rsidRPr="00074100" w14:paraId="19FD2437" w14:textId="77777777" w:rsidTr="00390D0A">
        <w:trPr>
          <w:trHeight w:val="20"/>
        </w:trPr>
        <w:tc>
          <w:tcPr>
            <w:tcW w:w="1166" w:type="pct"/>
          </w:tcPr>
          <w:p w14:paraId="7597F8E8" w14:textId="77777777" w:rsidR="00074100" w:rsidRPr="00074100" w:rsidRDefault="00074100" w:rsidP="00074100">
            <w:pPr>
              <w:spacing w:line="276" w:lineRule="auto"/>
              <w:rPr>
                <w:rFonts w:eastAsia="Calibri"/>
                <w:color w:val="000000"/>
                <w:sz w:val="16"/>
                <w:szCs w:val="16"/>
                <w:lang w:val="en-GB"/>
              </w:rPr>
            </w:pPr>
            <w:r w:rsidRPr="00074100">
              <w:rPr>
                <w:rFonts w:eastAsia="Calibri"/>
                <w:color w:val="000000"/>
                <w:sz w:val="16"/>
                <w:szCs w:val="16"/>
                <w:lang w:val="en-GB"/>
              </w:rPr>
              <w:t>Strides per day</w:t>
            </w:r>
          </w:p>
        </w:tc>
        <w:tc>
          <w:tcPr>
            <w:tcW w:w="958" w:type="pct"/>
          </w:tcPr>
          <w:p w14:paraId="6234D3A4" w14:textId="77777777" w:rsidR="00074100" w:rsidRPr="00074100" w:rsidRDefault="00074100" w:rsidP="00074100">
            <w:pPr>
              <w:spacing w:line="276" w:lineRule="auto"/>
              <w:rPr>
                <w:rFonts w:eastAsia="Calibri"/>
                <w:color w:val="000000"/>
                <w:sz w:val="16"/>
                <w:szCs w:val="16"/>
                <w:lang w:val="en-GB"/>
              </w:rPr>
            </w:pPr>
            <w:r w:rsidRPr="00074100">
              <w:rPr>
                <w:rFonts w:eastAsia="Calibri"/>
                <w:color w:val="000000"/>
                <w:sz w:val="16"/>
                <w:szCs w:val="16"/>
                <w:lang w:val="en-GB"/>
              </w:rPr>
              <w:t>-0.36</w:t>
            </w:r>
          </w:p>
        </w:tc>
        <w:tc>
          <w:tcPr>
            <w:tcW w:w="639" w:type="pct"/>
          </w:tcPr>
          <w:p w14:paraId="1FA8220E" w14:textId="77777777" w:rsidR="00074100" w:rsidRPr="00074100" w:rsidRDefault="00074100" w:rsidP="00074100">
            <w:pPr>
              <w:spacing w:line="276" w:lineRule="auto"/>
              <w:rPr>
                <w:rFonts w:eastAsia="Calibri"/>
                <w:color w:val="000000"/>
                <w:sz w:val="16"/>
                <w:szCs w:val="16"/>
                <w:lang w:val="en-GB"/>
              </w:rPr>
            </w:pPr>
            <w:r w:rsidRPr="00074100">
              <w:rPr>
                <w:rFonts w:eastAsia="Calibri"/>
                <w:color w:val="000000"/>
                <w:sz w:val="16"/>
                <w:szCs w:val="16"/>
                <w:lang w:val="en-GB"/>
              </w:rPr>
              <w:t>-0.14</w:t>
            </w:r>
          </w:p>
        </w:tc>
        <w:tc>
          <w:tcPr>
            <w:tcW w:w="958" w:type="pct"/>
          </w:tcPr>
          <w:p w14:paraId="102F4702" w14:textId="77777777" w:rsidR="00074100" w:rsidRPr="00074100" w:rsidRDefault="00074100" w:rsidP="00074100">
            <w:pPr>
              <w:spacing w:line="276" w:lineRule="auto"/>
              <w:rPr>
                <w:rFonts w:eastAsia="Calibri"/>
                <w:color w:val="000000"/>
                <w:sz w:val="16"/>
                <w:szCs w:val="16"/>
                <w:lang w:val="en-GB"/>
              </w:rPr>
            </w:pPr>
            <w:r w:rsidRPr="00074100">
              <w:rPr>
                <w:rFonts w:eastAsia="Calibri"/>
                <w:color w:val="000000"/>
                <w:sz w:val="16"/>
                <w:szCs w:val="16"/>
                <w:lang w:val="en-GB"/>
              </w:rPr>
              <w:t>-0,27</w:t>
            </w:r>
          </w:p>
        </w:tc>
        <w:tc>
          <w:tcPr>
            <w:tcW w:w="639" w:type="pct"/>
          </w:tcPr>
          <w:p w14:paraId="00C3DBFE" w14:textId="77777777" w:rsidR="00074100" w:rsidRPr="00074100" w:rsidRDefault="00074100" w:rsidP="00074100">
            <w:pPr>
              <w:spacing w:line="276" w:lineRule="auto"/>
              <w:rPr>
                <w:rFonts w:eastAsia="Calibri"/>
                <w:color w:val="000000"/>
                <w:sz w:val="16"/>
                <w:szCs w:val="16"/>
                <w:lang w:val="en-GB"/>
              </w:rPr>
            </w:pPr>
            <w:r w:rsidRPr="00074100">
              <w:rPr>
                <w:rFonts w:eastAsia="Calibri"/>
                <w:color w:val="000000"/>
                <w:sz w:val="16"/>
                <w:szCs w:val="16"/>
                <w:lang w:val="en-GB"/>
              </w:rPr>
              <w:t>0.54</w:t>
            </w:r>
          </w:p>
        </w:tc>
        <w:tc>
          <w:tcPr>
            <w:tcW w:w="639" w:type="pct"/>
          </w:tcPr>
          <w:p w14:paraId="74DB3E97" w14:textId="77777777" w:rsidR="00074100" w:rsidRPr="00074100" w:rsidRDefault="00074100" w:rsidP="00074100">
            <w:pPr>
              <w:spacing w:line="276" w:lineRule="auto"/>
              <w:rPr>
                <w:rFonts w:eastAsia="Calibri"/>
                <w:color w:val="000000"/>
                <w:sz w:val="16"/>
                <w:szCs w:val="16"/>
                <w:lang w:val="en-GB"/>
              </w:rPr>
            </w:pPr>
            <w:r w:rsidRPr="00074100">
              <w:rPr>
                <w:rFonts w:eastAsia="Calibri"/>
                <w:color w:val="000000"/>
                <w:sz w:val="16"/>
                <w:szCs w:val="16"/>
                <w:lang w:val="en-GB"/>
              </w:rPr>
              <w:t>-4.81</w:t>
            </w:r>
          </w:p>
        </w:tc>
      </w:tr>
    </w:tbl>
    <w:p w14:paraId="1F630C80" w14:textId="77777777" w:rsidR="00074100" w:rsidRPr="00074100" w:rsidRDefault="00074100" w:rsidP="00074100">
      <w:pPr>
        <w:rPr>
          <w:rFonts w:eastAsia="Calibri"/>
          <w:lang w:val="en-GB"/>
        </w:rPr>
      </w:pPr>
    </w:p>
    <w:p w14:paraId="35E35F05" w14:textId="77777777" w:rsidR="00074100" w:rsidRPr="00074100" w:rsidRDefault="00074100" w:rsidP="00074100">
      <w:pPr>
        <w:rPr>
          <w:rFonts w:eastAsia="Calibri"/>
          <w:b/>
          <w:bCs/>
          <w:sz w:val="20"/>
          <w:szCs w:val="20"/>
        </w:rPr>
      </w:pPr>
      <w:proofErr w:type="spellStart"/>
      <w:r w:rsidRPr="00074100">
        <w:rPr>
          <w:rFonts w:eastAsia="Calibri"/>
          <w:b/>
          <w:bCs/>
          <w:sz w:val="20"/>
          <w:szCs w:val="20"/>
        </w:rPr>
        <w:t>Table</w:t>
      </w:r>
      <w:proofErr w:type="spellEnd"/>
      <w:r w:rsidRPr="00074100">
        <w:rPr>
          <w:rFonts w:eastAsia="Calibri"/>
          <w:b/>
          <w:bCs/>
          <w:sz w:val="20"/>
          <w:szCs w:val="20"/>
        </w:rPr>
        <w:t xml:space="preserve"> S6.2 </w:t>
      </w:r>
      <w:proofErr w:type="spellStart"/>
      <w:r w:rsidRPr="00074100">
        <w:rPr>
          <w:rFonts w:eastAsia="Calibri"/>
          <w:b/>
          <w:bCs/>
          <w:sz w:val="20"/>
          <w:szCs w:val="20"/>
        </w:rPr>
        <w:t>Correlations</w:t>
      </w:r>
      <w:proofErr w:type="spellEnd"/>
      <w:r w:rsidRPr="00074100">
        <w:rPr>
          <w:rFonts w:eastAsia="Calibri"/>
          <w:b/>
          <w:bCs/>
          <w:sz w:val="20"/>
          <w:szCs w:val="20"/>
        </w:rPr>
        <w:t xml:space="preserve"> of the variables in the </w:t>
      </w:r>
      <w:proofErr w:type="spellStart"/>
      <w:r w:rsidRPr="00074100">
        <w:rPr>
          <w:rFonts w:eastAsia="Calibri"/>
          <w:b/>
          <w:bCs/>
          <w:sz w:val="20"/>
          <w:szCs w:val="20"/>
        </w:rPr>
        <w:t>multivariate</w:t>
      </w:r>
      <w:proofErr w:type="spellEnd"/>
      <w:r w:rsidRPr="00074100">
        <w:rPr>
          <w:rFonts w:eastAsia="Calibri"/>
          <w:b/>
          <w:bCs/>
          <w:sz w:val="20"/>
          <w:szCs w:val="20"/>
        </w:rPr>
        <w:t xml:space="preserve"> </w:t>
      </w:r>
      <w:proofErr w:type="spellStart"/>
      <w:r w:rsidRPr="00074100">
        <w:rPr>
          <w:rFonts w:eastAsia="Calibri"/>
          <w:b/>
          <w:bCs/>
          <w:sz w:val="20"/>
          <w:szCs w:val="20"/>
        </w:rPr>
        <w:t>ordinary</w:t>
      </w:r>
      <w:proofErr w:type="spellEnd"/>
      <w:r w:rsidRPr="00074100">
        <w:rPr>
          <w:rFonts w:eastAsia="Calibri"/>
          <w:b/>
          <w:bCs/>
          <w:sz w:val="20"/>
          <w:szCs w:val="20"/>
        </w:rPr>
        <w:t xml:space="preserve"> </w:t>
      </w:r>
      <w:proofErr w:type="spellStart"/>
      <w:r w:rsidRPr="00074100">
        <w:rPr>
          <w:rFonts w:eastAsia="Calibri"/>
          <w:b/>
          <w:bCs/>
          <w:sz w:val="20"/>
          <w:szCs w:val="20"/>
        </w:rPr>
        <w:t>least</w:t>
      </w:r>
      <w:proofErr w:type="spellEnd"/>
      <w:r w:rsidRPr="00074100">
        <w:rPr>
          <w:rFonts w:eastAsia="Calibri"/>
          <w:b/>
          <w:bCs/>
          <w:sz w:val="20"/>
          <w:szCs w:val="20"/>
        </w:rPr>
        <w:t xml:space="preserve"> </w:t>
      </w:r>
      <w:proofErr w:type="spellStart"/>
      <w:r w:rsidRPr="00074100">
        <w:rPr>
          <w:rFonts w:eastAsia="Calibri"/>
          <w:b/>
          <w:bCs/>
          <w:sz w:val="20"/>
          <w:szCs w:val="20"/>
        </w:rPr>
        <w:t>square</w:t>
      </w:r>
      <w:proofErr w:type="spellEnd"/>
      <w:r w:rsidRPr="00074100">
        <w:rPr>
          <w:rFonts w:eastAsia="Calibri"/>
          <w:b/>
          <w:bCs/>
          <w:sz w:val="20"/>
          <w:szCs w:val="20"/>
        </w:rPr>
        <w:t xml:space="preserve"> regression </w:t>
      </w:r>
      <w:proofErr w:type="spellStart"/>
      <w:r w:rsidRPr="00074100">
        <w:rPr>
          <w:rFonts w:eastAsia="Calibri"/>
          <w:b/>
          <w:bCs/>
          <w:sz w:val="20"/>
          <w:szCs w:val="20"/>
        </w:rPr>
        <w:t>estimating</w:t>
      </w:r>
      <w:proofErr w:type="spellEnd"/>
      <w:r w:rsidRPr="00074100">
        <w:rPr>
          <w:rFonts w:eastAsia="Calibri"/>
          <w:b/>
          <w:bCs/>
          <w:sz w:val="20"/>
          <w:szCs w:val="20"/>
        </w:rPr>
        <w:t xml:space="preserve"> the average </w:t>
      </w:r>
      <w:proofErr w:type="spellStart"/>
      <w:r w:rsidRPr="00074100">
        <w:rPr>
          <w:rFonts w:eastAsia="Calibri"/>
          <w:b/>
          <w:bCs/>
          <w:sz w:val="20"/>
          <w:szCs w:val="20"/>
        </w:rPr>
        <w:t>gait</w:t>
      </w:r>
      <w:proofErr w:type="spellEnd"/>
      <w:r w:rsidRPr="00074100">
        <w:rPr>
          <w:rFonts w:eastAsia="Calibri"/>
          <w:b/>
          <w:bCs/>
          <w:sz w:val="20"/>
          <w:szCs w:val="20"/>
        </w:rPr>
        <w:t xml:space="preserve"> speed</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262"/>
        <w:gridCol w:w="3542"/>
      </w:tblGrid>
      <w:tr w:rsidR="00074100" w:rsidRPr="00074100" w14:paraId="241C7F88" w14:textId="77777777" w:rsidTr="00390D0A">
        <w:trPr>
          <w:trHeight w:val="20"/>
        </w:trPr>
        <w:tc>
          <w:tcPr>
            <w:tcW w:w="1250" w:type="pct"/>
          </w:tcPr>
          <w:p w14:paraId="6EC11875" w14:textId="77777777" w:rsidR="00074100" w:rsidRPr="00074100" w:rsidRDefault="00074100" w:rsidP="00074100">
            <w:pPr>
              <w:spacing w:line="276" w:lineRule="auto"/>
              <w:rPr>
                <w:rFonts w:eastAsia="Calibri"/>
                <w:color w:val="000000"/>
                <w:sz w:val="16"/>
                <w:szCs w:val="16"/>
                <w:lang w:val="en-GB"/>
              </w:rPr>
            </w:pPr>
          </w:p>
        </w:tc>
        <w:tc>
          <w:tcPr>
            <w:tcW w:w="1798" w:type="pct"/>
          </w:tcPr>
          <w:p w14:paraId="00D431F3" w14:textId="77777777" w:rsidR="00074100" w:rsidRPr="00074100" w:rsidRDefault="00074100" w:rsidP="00074100">
            <w:pPr>
              <w:spacing w:line="276" w:lineRule="auto"/>
              <w:jc w:val="center"/>
              <w:rPr>
                <w:rFonts w:eastAsia="Calibri"/>
                <w:color w:val="000000"/>
                <w:sz w:val="16"/>
                <w:szCs w:val="16"/>
                <w:lang w:val="en-GB"/>
              </w:rPr>
            </w:pPr>
            <w:r w:rsidRPr="00074100">
              <w:rPr>
                <w:rFonts w:eastAsia="Calibri"/>
                <w:color w:val="000000"/>
                <w:sz w:val="16"/>
                <w:szCs w:val="16"/>
                <w:lang w:val="en-GB"/>
              </w:rPr>
              <w:t>Admission</w:t>
            </w:r>
          </w:p>
        </w:tc>
        <w:tc>
          <w:tcPr>
            <w:tcW w:w="1952" w:type="pct"/>
          </w:tcPr>
          <w:p w14:paraId="678CEAE7" w14:textId="77777777" w:rsidR="00074100" w:rsidRPr="00074100" w:rsidRDefault="00074100" w:rsidP="00074100">
            <w:pPr>
              <w:spacing w:line="276" w:lineRule="auto"/>
              <w:jc w:val="center"/>
              <w:rPr>
                <w:rFonts w:eastAsia="Calibri"/>
                <w:color w:val="000000"/>
                <w:sz w:val="16"/>
                <w:szCs w:val="16"/>
                <w:lang w:val="en-GB"/>
              </w:rPr>
            </w:pPr>
            <w:r w:rsidRPr="00074100">
              <w:rPr>
                <w:rFonts w:eastAsia="Calibri"/>
                <w:color w:val="000000"/>
                <w:sz w:val="16"/>
                <w:szCs w:val="16"/>
                <w:lang w:val="en-GB"/>
              </w:rPr>
              <w:t>Discharge</w:t>
            </w:r>
          </w:p>
        </w:tc>
      </w:tr>
      <w:tr w:rsidR="00074100" w:rsidRPr="00074100" w14:paraId="50D05A63" w14:textId="77777777" w:rsidTr="00390D0A">
        <w:trPr>
          <w:trHeight w:val="20"/>
        </w:trPr>
        <w:tc>
          <w:tcPr>
            <w:tcW w:w="1250" w:type="pct"/>
          </w:tcPr>
          <w:p w14:paraId="74553AA7" w14:textId="77777777" w:rsidR="00074100" w:rsidRPr="00074100" w:rsidRDefault="00074100" w:rsidP="00074100">
            <w:pPr>
              <w:spacing w:line="276" w:lineRule="auto"/>
              <w:rPr>
                <w:rFonts w:eastAsia="Calibri"/>
                <w:color w:val="000000"/>
                <w:sz w:val="16"/>
                <w:szCs w:val="16"/>
                <w:lang w:val="en-GB"/>
              </w:rPr>
            </w:pPr>
          </w:p>
        </w:tc>
        <w:tc>
          <w:tcPr>
            <w:tcW w:w="1798" w:type="pct"/>
            <w:tcBorders>
              <w:bottom w:val="single" w:sz="4" w:space="0" w:color="auto"/>
            </w:tcBorders>
          </w:tcPr>
          <w:p w14:paraId="04B805FE" w14:textId="77777777" w:rsidR="00074100" w:rsidRPr="00074100" w:rsidRDefault="00074100" w:rsidP="00074100">
            <w:pPr>
              <w:spacing w:line="276" w:lineRule="auto"/>
              <w:rPr>
                <w:rFonts w:eastAsia="Calibri"/>
                <w:color w:val="000000"/>
                <w:sz w:val="16"/>
                <w:szCs w:val="16"/>
                <w:lang w:val="en-GB"/>
              </w:rPr>
            </w:pPr>
            <w:r w:rsidRPr="00074100">
              <w:rPr>
                <w:rFonts w:eastAsia="Calibri"/>
                <w:color w:val="000000"/>
                <w:sz w:val="16"/>
                <w:szCs w:val="16"/>
                <w:lang w:val="en-GB"/>
              </w:rPr>
              <w:t>Speed [m/s]</w:t>
            </w:r>
          </w:p>
        </w:tc>
        <w:tc>
          <w:tcPr>
            <w:tcW w:w="1952" w:type="pct"/>
            <w:tcBorders>
              <w:bottom w:val="single" w:sz="4" w:space="0" w:color="auto"/>
            </w:tcBorders>
          </w:tcPr>
          <w:p w14:paraId="22CA955A" w14:textId="77777777" w:rsidR="00074100" w:rsidRPr="00074100" w:rsidRDefault="00074100" w:rsidP="00074100">
            <w:pPr>
              <w:spacing w:line="276" w:lineRule="auto"/>
              <w:rPr>
                <w:rFonts w:eastAsia="Calibri"/>
                <w:color w:val="000000"/>
                <w:sz w:val="16"/>
                <w:szCs w:val="16"/>
                <w:lang w:val="en-GB"/>
              </w:rPr>
            </w:pPr>
            <w:r w:rsidRPr="00074100">
              <w:rPr>
                <w:rFonts w:eastAsia="Calibri"/>
                <w:color w:val="000000"/>
                <w:sz w:val="16"/>
                <w:szCs w:val="16"/>
                <w:lang w:val="en-GB"/>
              </w:rPr>
              <w:t>TCT</w:t>
            </w:r>
          </w:p>
        </w:tc>
      </w:tr>
      <w:tr w:rsidR="00074100" w:rsidRPr="00074100" w14:paraId="75D6C214" w14:textId="77777777" w:rsidTr="00390D0A">
        <w:trPr>
          <w:trHeight w:val="20"/>
        </w:trPr>
        <w:tc>
          <w:tcPr>
            <w:tcW w:w="1250" w:type="pct"/>
          </w:tcPr>
          <w:p w14:paraId="642866BF" w14:textId="77777777" w:rsidR="00074100" w:rsidRPr="00074100" w:rsidRDefault="00074100" w:rsidP="00074100">
            <w:pPr>
              <w:spacing w:line="276" w:lineRule="auto"/>
              <w:rPr>
                <w:rFonts w:eastAsia="Calibri"/>
                <w:color w:val="000000"/>
                <w:sz w:val="16"/>
                <w:szCs w:val="16"/>
                <w:lang w:val="en-GB"/>
              </w:rPr>
            </w:pPr>
            <w:r w:rsidRPr="00074100">
              <w:rPr>
                <w:rFonts w:eastAsia="Calibri"/>
                <w:color w:val="000000"/>
                <w:sz w:val="16"/>
                <w:szCs w:val="16"/>
                <w:lang w:val="en-GB"/>
              </w:rPr>
              <w:t>Average gait speed [m/s]</w:t>
            </w:r>
          </w:p>
        </w:tc>
        <w:tc>
          <w:tcPr>
            <w:tcW w:w="1798" w:type="pct"/>
          </w:tcPr>
          <w:p w14:paraId="7CFAA4F8" w14:textId="77777777" w:rsidR="00074100" w:rsidRPr="00074100" w:rsidRDefault="00074100" w:rsidP="00074100">
            <w:pPr>
              <w:spacing w:line="276" w:lineRule="auto"/>
              <w:rPr>
                <w:rFonts w:eastAsia="Calibri"/>
                <w:color w:val="000000"/>
                <w:sz w:val="16"/>
                <w:szCs w:val="16"/>
                <w:lang w:val="en-GB"/>
              </w:rPr>
            </w:pPr>
            <w:r w:rsidRPr="00074100">
              <w:rPr>
                <w:rFonts w:eastAsia="Calibri"/>
                <w:color w:val="000000"/>
                <w:sz w:val="16"/>
                <w:szCs w:val="16"/>
                <w:lang w:val="en-GB"/>
              </w:rPr>
              <w:t>-0.42</w:t>
            </w:r>
          </w:p>
        </w:tc>
        <w:tc>
          <w:tcPr>
            <w:tcW w:w="1952" w:type="pct"/>
          </w:tcPr>
          <w:p w14:paraId="3697BA67" w14:textId="77777777" w:rsidR="00074100" w:rsidRPr="00074100" w:rsidRDefault="00074100" w:rsidP="00074100">
            <w:pPr>
              <w:spacing w:line="276" w:lineRule="auto"/>
              <w:rPr>
                <w:rFonts w:eastAsia="Calibri"/>
                <w:color w:val="000000"/>
                <w:sz w:val="16"/>
                <w:szCs w:val="16"/>
                <w:lang w:val="en-GB"/>
              </w:rPr>
            </w:pPr>
            <w:r w:rsidRPr="00074100">
              <w:rPr>
                <w:rFonts w:eastAsia="Calibri"/>
                <w:color w:val="000000"/>
                <w:sz w:val="16"/>
                <w:szCs w:val="16"/>
                <w:lang w:val="en-GB"/>
              </w:rPr>
              <w:t>0,46</w:t>
            </w:r>
          </w:p>
        </w:tc>
      </w:tr>
    </w:tbl>
    <w:p w14:paraId="4AE0701A" w14:textId="77777777" w:rsidR="00074100" w:rsidRPr="00074100" w:rsidRDefault="00074100" w:rsidP="00074100">
      <w:pPr>
        <w:rPr>
          <w:rFonts w:eastAsia="Calibri"/>
          <w:b/>
          <w:bCs/>
          <w:sz w:val="20"/>
          <w:szCs w:val="20"/>
        </w:rPr>
      </w:pPr>
    </w:p>
    <w:p w14:paraId="1F39726F" w14:textId="77777777" w:rsidR="00074100" w:rsidRPr="00074100" w:rsidRDefault="00074100" w:rsidP="00074100">
      <w:pPr>
        <w:rPr>
          <w:rFonts w:eastAsia="Calibri"/>
          <w:b/>
          <w:bCs/>
          <w:sz w:val="20"/>
          <w:szCs w:val="20"/>
        </w:rPr>
      </w:pPr>
      <w:proofErr w:type="spellStart"/>
      <w:r w:rsidRPr="00074100">
        <w:rPr>
          <w:rFonts w:eastAsia="Calibri"/>
          <w:b/>
          <w:bCs/>
          <w:sz w:val="20"/>
          <w:szCs w:val="20"/>
        </w:rPr>
        <w:t>Table</w:t>
      </w:r>
      <w:proofErr w:type="spellEnd"/>
      <w:r w:rsidRPr="00074100">
        <w:rPr>
          <w:rFonts w:eastAsia="Calibri"/>
          <w:b/>
          <w:bCs/>
          <w:sz w:val="20"/>
          <w:szCs w:val="20"/>
        </w:rPr>
        <w:t xml:space="preserve"> S6.3 </w:t>
      </w:r>
      <w:proofErr w:type="spellStart"/>
      <w:r w:rsidRPr="00074100">
        <w:rPr>
          <w:rFonts w:eastAsia="Calibri"/>
          <w:b/>
          <w:bCs/>
          <w:sz w:val="20"/>
          <w:szCs w:val="20"/>
        </w:rPr>
        <w:t>Correlations</w:t>
      </w:r>
      <w:proofErr w:type="spellEnd"/>
      <w:r w:rsidRPr="00074100">
        <w:rPr>
          <w:rFonts w:eastAsia="Calibri"/>
          <w:b/>
          <w:bCs/>
          <w:sz w:val="20"/>
          <w:szCs w:val="20"/>
        </w:rPr>
        <w:t xml:space="preserve"> of the variables in the </w:t>
      </w:r>
      <w:proofErr w:type="spellStart"/>
      <w:r w:rsidRPr="00074100">
        <w:rPr>
          <w:rFonts w:eastAsia="Calibri"/>
          <w:b/>
          <w:bCs/>
          <w:sz w:val="20"/>
          <w:szCs w:val="20"/>
        </w:rPr>
        <w:t>multivariate</w:t>
      </w:r>
      <w:proofErr w:type="spellEnd"/>
      <w:r w:rsidRPr="00074100">
        <w:rPr>
          <w:rFonts w:eastAsia="Calibri"/>
          <w:b/>
          <w:bCs/>
          <w:sz w:val="20"/>
          <w:szCs w:val="20"/>
        </w:rPr>
        <w:t xml:space="preserve"> </w:t>
      </w:r>
      <w:proofErr w:type="spellStart"/>
      <w:r w:rsidRPr="00074100">
        <w:rPr>
          <w:rFonts w:eastAsia="Calibri"/>
          <w:b/>
          <w:bCs/>
          <w:sz w:val="20"/>
          <w:szCs w:val="20"/>
        </w:rPr>
        <w:t>ordinary</w:t>
      </w:r>
      <w:proofErr w:type="spellEnd"/>
      <w:r w:rsidRPr="00074100">
        <w:rPr>
          <w:rFonts w:eastAsia="Calibri"/>
          <w:b/>
          <w:bCs/>
          <w:sz w:val="20"/>
          <w:szCs w:val="20"/>
        </w:rPr>
        <w:t xml:space="preserve"> </w:t>
      </w:r>
      <w:proofErr w:type="spellStart"/>
      <w:r w:rsidRPr="00074100">
        <w:rPr>
          <w:rFonts w:eastAsia="Calibri"/>
          <w:b/>
          <w:bCs/>
          <w:sz w:val="20"/>
          <w:szCs w:val="20"/>
        </w:rPr>
        <w:t>least</w:t>
      </w:r>
      <w:proofErr w:type="spellEnd"/>
      <w:r w:rsidRPr="00074100">
        <w:rPr>
          <w:rFonts w:eastAsia="Calibri"/>
          <w:b/>
          <w:bCs/>
          <w:sz w:val="20"/>
          <w:szCs w:val="20"/>
        </w:rPr>
        <w:t xml:space="preserve"> </w:t>
      </w:r>
      <w:proofErr w:type="spellStart"/>
      <w:r w:rsidRPr="00074100">
        <w:rPr>
          <w:rFonts w:eastAsia="Calibri"/>
          <w:b/>
          <w:bCs/>
          <w:sz w:val="20"/>
          <w:szCs w:val="20"/>
        </w:rPr>
        <w:t>square</w:t>
      </w:r>
      <w:proofErr w:type="spellEnd"/>
      <w:r w:rsidRPr="00074100">
        <w:rPr>
          <w:rFonts w:eastAsia="Calibri"/>
          <w:b/>
          <w:bCs/>
          <w:sz w:val="20"/>
          <w:szCs w:val="20"/>
        </w:rPr>
        <w:t xml:space="preserve"> regression </w:t>
      </w:r>
      <w:proofErr w:type="spellStart"/>
      <w:r w:rsidRPr="00074100">
        <w:rPr>
          <w:rFonts w:eastAsia="Calibri"/>
          <w:b/>
          <w:bCs/>
          <w:sz w:val="20"/>
          <w:szCs w:val="20"/>
        </w:rPr>
        <w:t>estimating</w:t>
      </w:r>
      <w:proofErr w:type="spellEnd"/>
      <w:r w:rsidRPr="00074100">
        <w:rPr>
          <w:rFonts w:eastAsia="Calibri"/>
          <w:b/>
          <w:bCs/>
          <w:sz w:val="20"/>
          <w:szCs w:val="20"/>
        </w:rPr>
        <w:t xml:space="preserve"> the </w:t>
      </w:r>
      <w:proofErr w:type="spellStart"/>
      <w:r w:rsidRPr="00074100">
        <w:rPr>
          <w:rFonts w:eastAsia="Calibri"/>
          <w:b/>
          <w:bCs/>
          <w:sz w:val="20"/>
          <w:szCs w:val="20"/>
        </w:rPr>
        <w:t>maximum</w:t>
      </w:r>
      <w:proofErr w:type="spellEnd"/>
      <w:r w:rsidRPr="00074100">
        <w:rPr>
          <w:rFonts w:eastAsia="Calibri"/>
          <w:b/>
          <w:bCs/>
          <w:sz w:val="20"/>
          <w:szCs w:val="20"/>
        </w:rPr>
        <w:t xml:space="preserve"> </w:t>
      </w:r>
      <w:proofErr w:type="spellStart"/>
      <w:r w:rsidRPr="00074100">
        <w:rPr>
          <w:rFonts w:eastAsia="Calibri"/>
          <w:b/>
          <w:bCs/>
          <w:sz w:val="20"/>
          <w:szCs w:val="20"/>
        </w:rPr>
        <w:t>gait</w:t>
      </w:r>
      <w:proofErr w:type="spellEnd"/>
      <w:r w:rsidRPr="00074100">
        <w:rPr>
          <w:rFonts w:eastAsia="Calibri"/>
          <w:b/>
          <w:bCs/>
          <w:sz w:val="20"/>
          <w:szCs w:val="20"/>
        </w:rPr>
        <w:t xml:space="preserve"> speed</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233"/>
        <w:gridCol w:w="1571"/>
      </w:tblGrid>
      <w:tr w:rsidR="00074100" w:rsidRPr="00074100" w14:paraId="00ED989F" w14:textId="77777777" w:rsidTr="00390D0A">
        <w:trPr>
          <w:trHeight w:val="20"/>
        </w:trPr>
        <w:tc>
          <w:tcPr>
            <w:tcW w:w="1250" w:type="pct"/>
          </w:tcPr>
          <w:p w14:paraId="79E7CFC2" w14:textId="77777777" w:rsidR="00074100" w:rsidRPr="00074100" w:rsidRDefault="00074100" w:rsidP="00074100">
            <w:pPr>
              <w:spacing w:line="276" w:lineRule="auto"/>
              <w:rPr>
                <w:rFonts w:eastAsia="Calibri"/>
                <w:color w:val="000000"/>
                <w:sz w:val="16"/>
                <w:szCs w:val="16"/>
                <w:lang w:val="en-GB"/>
              </w:rPr>
            </w:pPr>
          </w:p>
        </w:tc>
        <w:tc>
          <w:tcPr>
            <w:tcW w:w="3750" w:type="pct"/>
            <w:gridSpan w:val="2"/>
          </w:tcPr>
          <w:p w14:paraId="4D1A3199" w14:textId="77777777" w:rsidR="00074100" w:rsidRPr="00074100" w:rsidRDefault="00074100" w:rsidP="00074100">
            <w:pPr>
              <w:spacing w:line="276" w:lineRule="auto"/>
              <w:jc w:val="center"/>
              <w:rPr>
                <w:rFonts w:eastAsia="Calibri"/>
                <w:color w:val="000000"/>
                <w:sz w:val="16"/>
                <w:szCs w:val="16"/>
                <w:lang w:val="en-GB"/>
              </w:rPr>
            </w:pPr>
            <w:r w:rsidRPr="00074100">
              <w:rPr>
                <w:rFonts w:eastAsia="Calibri"/>
                <w:color w:val="000000"/>
                <w:sz w:val="16"/>
                <w:szCs w:val="16"/>
                <w:lang w:val="en-GB"/>
              </w:rPr>
              <w:t>Admission</w:t>
            </w:r>
          </w:p>
        </w:tc>
      </w:tr>
      <w:tr w:rsidR="00074100" w:rsidRPr="00074100" w14:paraId="5168D7D2" w14:textId="77777777" w:rsidTr="00390D0A">
        <w:trPr>
          <w:trHeight w:val="20"/>
        </w:trPr>
        <w:tc>
          <w:tcPr>
            <w:tcW w:w="1250" w:type="pct"/>
          </w:tcPr>
          <w:p w14:paraId="3604BDAA" w14:textId="77777777" w:rsidR="00074100" w:rsidRPr="00074100" w:rsidRDefault="00074100" w:rsidP="00074100">
            <w:pPr>
              <w:spacing w:line="276" w:lineRule="auto"/>
              <w:rPr>
                <w:rFonts w:eastAsia="Calibri"/>
                <w:color w:val="000000"/>
                <w:sz w:val="16"/>
                <w:szCs w:val="16"/>
                <w:lang w:val="en-GB"/>
              </w:rPr>
            </w:pPr>
          </w:p>
        </w:tc>
        <w:tc>
          <w:tcPr>
            <w:tcW w:w="2884" w:type="pct"/>
          </w:tcPr>
          <w:p w14:paraId="6EECFB8C" w14:textId="77777777" w:rsidR="00074100" w:rsidRPr="00074100" w:rsidRDefault="00074100" w:rsidP="00074100">
            <w:pPr>
              <w:spacing w:line="276" w:lineRule="auto"/>
              <w:rPr>
                <w:rFonts w:eastAsia="Calibri"/>
                <w:color w:val="000000"/>
                <w:sz w:val="16"/>
                <w:szCs w:val="16"/>
                <w:lang w:val="en-GB"/>
              </w:rPr>
            </w:pPr>
            <w:r w:rsidRPr="00074100">
              <w:rPr>
                <w:rFonts w:eastAsia="Calibri"/>
                <w:color w:val="000000"/>
                <w:sz w:val="16"/>
                <w:szCs w:val="16"/>
                <w:lang w:val="en-GB"/>
              </w:rPr>
              <w:t>MI Paretic leg</w:t>
            </w:r>
          </w:p>
        </w:tc>
        <w:tc>
          <w:tcPr>
            <w:tcW w:w="866" w:type="pct"/>
            <w:tcBorders>
              <w:bottom w:val="single" w:sz="4" w:space="0" w:color="auto"/>
            </w:tcBorders>
          </w:tcPr>
          <w:p w14:paraId="147B1888" w14:textId="77777777" w:rsidR="00074100" w:rsidRPr="00074100" w:rsidRDefault="00074100" w:rsidP="00074100">
            <w:pPr>
              <w:spacing w:line="276" w:lineRule="auto"/>
              <w:rPr>
                <w:rFonts w:eastAsia="Calibri"/>
                <w:color w:val="000000"/>
                <w:sz w:val="16"/>
                <w:szCs w:val="16"/>
                <w:lang w:val="en-GB"/>
              </w:rPr>
            </w:pPr>
            <w:r w:rsidRPr="00074100">
              <w:rPr>
                <w:rFonts w:eastAsia="Calibri"/>
                <w:color w:val="000000"/>
                <w:sz w:val="16"/>
                <w:szCs w:val="16"/>
                <w:lang w:val="en-GB"/>
              </w:rPr>
              <w:t>VAE 2</w:t>
            </w:r>
          </w:p>
        </w:tc>
      </w:tr>
      <w:tr w:rsidR="00074100" w:rsidRPr="00074100" w14:paraId="464D5514" w14:textId="77777777" w:rsidTr="00390D0A">
        <w:trPr>
          <w:trHeight w:val="20"/>
        </w:trPr>
        <w:tc>
          <w:tcPr>
            <w:tcW w:w="1250" w:type="pct"/>
          </w:tcPr>
          <w:p w14:paraId="3E2C78E4" w14:textId="77777777" w:rsidR="00074100" w:rsidRPr="00074100" w:rsidRDefault="00074100" w:rsidP="00074100">
            <w:pPr>
              <w:spacing w:line="276" w:lineRule="auto"/>
              <w:rPr>
                <w:rFonts w:eastAsia="Calibri"/>
                <w:color w:val="000000"/>
                <w:sz w:val="16"/>
                <w:szCs w:val="16"/>
                <w:lang w:val="en-GB"/>
              </w:rPr>
            </w:pPr>
            <w:r w:rsidRPr="00074100">
              <w:rPr>
                <w:rFonts w:eastAsia="Calibri"/>
                <w:color w:val="000000"/>
                <w:sz w:val="16"/>
                <w:szCs w:val="16"/>
                <w:lang w:val="en-GB"/>
              </w:rPr>
              <w:t>VAE 2</w:t>
            </w:r>
          </w:p>
        </w:tc>
        <w:tc>
          <w:tcPr>
            <w:tcW w:w="2884" w:type="pct"/>
          </w:tcPr>
          <w:p w14:paraId="4B26A85B" w14:textId="77777777" w:rsidR="00074100" w:rsidRPr="00074100" w:rsidRDefault="00074100" w:rsidP="00074100">
            <w:pPr>
              <w:spacing w:line="276" w:lineRule="auto"/>
              <w:rPr>
                <w:rFonts w:eastAsia="Calibri"/>
                <w:color w:val="000000"/>
                <w:sz w:val="16"/>
                <w:szCs w:val="16"/>
                <w:lang w:val="en-GB"/>
              </w:rPr>
            </w:pPr>
            <w:r w:rsidRPr="00074100">
              <w:rPr>
                <w:rFonts w:eastAsia="Calibri"/>
                <w:color w:val="000000"/>
                <w:sz w:val="16"/>
                <w:szCs w:val="16"/>
                <w:lang w:val="en-GB"/>
              </w:rPr>
              <w:t>-0.0</w:t>
            </w:r>
          </w:p>
        </w:tc>
        <w:tc>
          <w:tcPr>
            <w:tcW w:w="866" w:type="pct"/>
          </w:tcPr>
          <w:p w14:paraId="2515899F" w14:textId="77777777" w:rsidR="00074100" w:rsidRPr="00074100" w:rsidRDefault="00074100" w:rsidP="00074100">
            <w:pPr>
              <w:spacing w:line="276" w:lineRule="auto"/>
              <w:rPr>
                <w:rFonts w:eastAsia="Calibri"/>
                <w:color w:val="000000"/>
                <w:sz w:val="16"/>
                <w:szCs w:val="16"/>
                <w:lang w:val="en-GB"/>
              </w:rPr>
            </w:pPr>
          </w:p>
        </w:tc>
      </w:tr>
      <w:tr w:rsidR="00074100" w:rsidRPr="00074100" w14:paraId="0B5F5D0B" w14:textId="77777777" w:rsidTr="00390D0A">
        <w:trPr>
          <w:trHeight w:val="20"/>
        </w:trPr>
        <w:tc>
          <w:tcPr>
            <w:tcW w:w="1250" w:type="pct"/>
          </w:tcPr>
          <w:p w14:paraId="1FC5C293" w14:textId="77777777" w:rsidR="00074100" w:rsidRPr="00074100" w:rsidRDefault="00074100" w:rsidP="00074100">
            <w:pPr>
              <w:spacing w:line="276" w:lineRule="auto"/>
              <w:rPr>
                <w:rFonts w:eastAsia="Calibri"/>
                <w:color w:val="000000"/>
                <w:sz w:val="16"/>
                <w:szCs w:val="16"/>
                <w:lang w:val="en-GB"/>
              </w:rPr>
            </w:pPr>
            <w:r w:rsidRPr="00074100">
              <w:rPr>
                <w:rFonts w:eastAsia="Calibri"/>
                <w:color w:val="000000"/>
                <w:sz w:val="16"/>
                <w:szCs w:val="16"/>
                <w:lang w:val="en-GB"/>
              </w:rPr>
              <w:t>Maximum gait speed [m/s]</w:t>
            </w:r>
          </w:p>
        </w:tc>
        <w:tc>
          <w:tcPr>
            <w:tcW w:w="2884" w:type="pct"/>
          </w:tcPr>
          <w:p w14:paraId="00C640DF" w14:textId="77777777" w:rsidR="00074100" w:rsidRPr="00074100" w:rsidRDefault="00074100" w:rsidP="00074100">
            <w:pPr>
              <w:spacing w:line="276" w:lineRule="auto"/>
              <w:rPr>
                <w:rFonts w:eastAsia="Calibri"/>
                <w:color w:val="000000"/>
                <w:sz w:val="16"/>
                <w:szCs w:val="16"/>
                <w:lang w:val="en-GB"/>
              </w:rPr>
            </w:pPr>
            <w:r w:rsidRPr="00074100">
              <w:rPr>
                <w:rFonts w:eastAsia="Calibri"/>
                <w:color w:val="000000"/>
                <w:sz w:val="16"/>
                <w:szCs w:val="16"/>
                <w:lang w:val="en-GB"/>
              </w:rPr>
              <w:t>0.02</w:t>
            </w:r>
          </w:p>
        </w:tc>
        <w:tc>
          <w:tcPr>
            <w:tcW w:w="866" w:type="pct"/>
          </w:tcPr>
          <w:p w14:paraId="50B358B8" w14:textId="77777777" w:rsidR="00074100" w:rsidRPr="00074100" w:rsidRDefault="00074100" w:rsidP="00074100">
            <w:pPr>
              <w:spacing w:line="276" w:lineRule="auto"/>
              <w:rPr>
                <w:rFonts w:eastAsia="Calibri"/>
                <w:color w:val="000000"/>
                <w:sz w:val="16"/>
                <w:szCs w:val="16"/>
                <w:lang w:val="en-GB"/>
              </w:rPr>
            </w:pPr>
            <w:r w:rsidRPr="00074100">
              <w:rPr>
                <w:rFonts w:eastAsia="Calibri"/>
                <w:color w:val="000000"/>
                <w:sz w:val="16"/>
                <w:szCs w:val="16"/>
                <w:lang w:val="en-GB"/>
              </w:rPr>
              <w:t>-0.26</w:t>
            </w:r>
          </w:p>
        </w:tc>
      </w:tr>
    </w:tbl>
    <w:p w14:paraId="2B2A77C1" w14:textId="77777777" w:rsidR="002E003B" w:rsidRDefault="002E003B" w:rsidP="00D70A7E"/>
    <w:p w14:paraId="7D16D6B4" w14:textId="38627E80" w:rsidR="00D462E8" w:rsidRPr="00D462E8" w:rsidRDefault="00D462E8" w:rsidP="00D462E8">
      <w:pPr>
        <w:keepNext/>
        <w:keepLines/>
        <w:spacing w:before="240"/>
        <w:outlineLvl w:val="0"/>
        <w:rPr>
          <w:rFonts w:eastAsia="Times New Roman"/>
          <w:b/>
          <w:bCs/>
          <w:color w:val="000000"/>
          <w:sz w:val="34"/>
          <w:szCs w:val="34"/>
          <w:lang w:val="en-GB"/>
        </w:rPr>
      </w:pPr>
      <w:r>
        <w:rPr>
          <w:rFonts w:eastAsia="Times New Roman"/>
          <w:b/>
          <w:bCs/>
          <w:color w:val="000000"/>
          <w:sz w:val="34"/>
          <w:szCs w:val="34"/>
          <w:lang w:val="en-GB"/>
        </w:rPr>
        <w:br w:type="column"/>
      </w:r>
      <w:r w:rsidRPr="00D462E8">
        <w:rPr>
          <w:rFonts w:eastAsia="Times New Roman"/>
          <w:b/>
          <w:bCs/>
          <w:color w:val="000000"/>
          <w:sz w:val="34"/>
          <w:szCs w:val="34"/>
          <w:lang w:val="en-GB"/>
        </w:rPr>
        <w:lastRenderedPageBreak/>
        <w:t>References</w:t>
      </w:r>
    </w:p>
    <w:p w14:paraId="20261946" w14:textId="77777777" w:rsidR="00D462E8" w:rsidRPr="00D462E8" w:rsidRDefault="00D462E8" w:rsidP="00D462E8">
      <w:pPr>
        <w:pStyle w:val="Lijstalinea"/>
        <w:numPr>
          <w:ilvl w:val="0"/>
          <w:numId w:val="3"/>
        </w:numPr>
      </w:pPr>
      <w:r w:rsidRPr="00D462E8">
        <w:t xml:space="preserve">Felius, R. A. W., Geerars, M., Bruijn, S. M., van </w:t>
      </w:r>
      <w:proofErr w:type="spellStart"/>
      <w:r w:rsidRPr="00D462E8">
        <w:t>Dieën</w:t>
      </w:r>
      <w:proofErr w:type="spellEnd"/>
      <w:r w:rsidRPr="00D462E8">
        <w:t>, J. H., Wouda, N. C., &amp; Punt, M. (2022). </w:t>
      </w:r>
      <w:proofErr w:type="spellStart"/>
      <w:r w:rsidRPr="00D462E8">
        <w:t>Reliability</w:t>
      </w:r>
      <w:proofErr w:type="spellEnd"/>
      <w:r w:rsidRPr="00D462E8">
        <w:t xml:space="preserve"> of IMU-</w:t>
      </w:r>
      <w:proofErr w:type="spellStart"/>
      <w:r w:rsidRPr="00D462E8">
        <w:t>Based</w:t>
      </w:r>
      <w:proofErr w:type="spellEnd"/>
      <w:r w:rsidRPr="00D462E8">
        <w:t xml:space="preserve"> </w:t>
      </w:r>
      <w:proofErr w:type="spellStart"/>
      <w:r w:rsidRPr="00D462E8">
        <w:t>Gait</w:t>
      </w:r>
      <w:proofErr w:type="spellEnd"/>
      <w:r w:rsidRPr="00D462E8">
        <w:t xml:space="preserve"> Assessment in </w:t>
      </w:r>
      <w:proofErr w:type="spellStart"/>
      <w:r w:rsidRPr="00D462E8">
        <w:t>Clinical</w:t>
      </w:r>
      <w:proofErr w:type="spellEnd"/>
      <w:r w:rsidRPr="00D462E8">
        <w:t xml:space="preserve"> </w:t>
      </w:r>
      <w:proofErr w:type="spellStart"/>
      <w:r w:rsidRPr="00D462E8">
        <w:t>Stroke</w:t>
      </w:r>
      <w:proofErr w:type="spellEnd"/>
      <w:r w:rsidRPr="00D462E8">
        <w:t xml:space="preserve"> </w:t>
      </w:r>
      <w:proofErr w:type="spellStart"/>
      <w:r w:rsidRPr="00D462E8">
        <w:t>Rehabilitation</w:t>
      </w:r>
      <w:proofErr w:type="spellEnd"/>
      <w:r w:rsidRPr="00D462E8">
        <w:t>. Sensors, 22(3), 1-19. [908]. </w:t>
      </w:r>
      <w:hyperlink r:id="rId11" w:history="1">
        <w:r w:rsidRPr="00D462E8">
          <w:t>https://doi.org/10.3390/s22030908</w:t>
        </w:r>
      </w:hyperlink>
    </w:p>
    <w:p w14:paraId="0A1BA7A1" w14:textId="77777777" w:rsidR="00D462E8" w:rsidRDefault="00D462E8" w:rsidP="00D462E8">
      <w:pPr>
        <w:pStyle w:val="Lijstalinea"/>
        <w:rPr>
          <w:rStyle w:val="Hyperlink"/>
          <w:color w:val="000000"/>
          <w:u w:val="none"/>
        </w:rPr>
      </w:pPr>
      <w:proofErr w:type="spellStart"/>
      <w:r w:rsidRPr="00D462E8">
        <w:t>Tasseel</w:t>
      </w:r>
      <w:proofErr w:type="spellEnd"/>
      <w:r w:rsidRPr="00D462E8">
        <w:t xml:space="preserve"> -</w:t>
      </w:r>
      <w:proofErr w:type="spellStart"/>
      <w:r w:rsidRPr="00D462E8">
        <w:t>Ponche</w:t>
      </w:r>
      <w:proofErr w:type="spellEnd"/>
      <w:r w:rsidRPr="00D462E8">
        <w:t xml:space="preserve">, S., </w:t>
      </w:r>
      <w:proofErr w:type="spellStart"/>
      <w:r w:rsidRPr="00D462E8">
        <w:t>Delafontaine</w:t>
      </w:r>
      <w:proofErr w:type="spellEnd"/>
      <w:r w:rsidRPr="00D462E8">
        <w:t xml:space="preserve">, A., </w:t>
      </w:r>
      <w:proofErr w:type="spellStart"/>
      <w:r w:rsidRPr="00D462E8">
        <w:t>Godefroy</w:t>
      </w:r>
      <w:proofErr w:type="spellEnd"/>
      <w:r w:rsidRPr="00D462E8">
        <w:t xml:space="preserve">, O., </w:t>
      </w:r>
      <w:proofErr w:type="spellStart"/>
      <w:r w:rsidRPr="00D462E8">
        <w:t>Yelnik</w:t>
      </w:r>
      <w:proofErr w:type="spellEnd"/>
      <w:r w:rsidRPr="00D462E8">
        <w:t xml:space="preserve">, A. P., </w:t>
      </w:r>
      <w:proofErr w:type="spellStart"/>
      <w:r w:rsidRPr="00D462E8">
        <w:t>Doutrellot</w:t>
      </w:r>
      <w:proofErr w:type="spellEnd"/>
      <w:r w:rsidRPr="00D462E8">
        <w:t xml:space="preserve">, P. L., </w:t>
      </w:r>
      <w:proofErr w:type="spellStart"/>
      <w:r w:rsidRPr="00D462E8">
        <w:t>Duchossoy</w:t>
      </w:r>
      <w:proofErr w:type="spellEnd"/>
      <w:r w:rsidRPr="00D462E8">
        <w:t xml:space="preserve">, C., </w:t>
      </w:r>
      <w:proofErr w:type="spellStart"/>
      <w:r w:rsidRPr="00D462E8">
        <w:t>Hyra</w:t>
      </w:r>
      <w:proofErr w:type="spellEnd"/>
      <w:r w:rsidRPr="00D462E8">
        <w:t xml:space="preserve">, M., </w:t>
      </w:r>
      <w:proofErr w:type="spellStart"/>
      <w:r w:rsidRPr="00D462E8">
        <w:t>Sader</w:t>
      </w:r>
      <w:proofErr w:type="spellEnd"/>
      <w:r w:rsidRPr="00D462E8">
        <w:t xml:space="preserve">, T., &amp; </w:t>
      </w:r>
      <w:proofErr w:type="spellStart"/>
      <w:r w:rsidRPr="00D462E8">
        <w:t>Diouf</w:t>
      </w:r>
      <w:proofErr w:type="spellEnd"/>
      <w:r w:rsidRPr="00D462E8">
        <w:t xml:space="preserve">, M. (2022). </w:t>
      </w:r>
      <w:proofErr w:type="spellStart"/>
      <w:r w:rsidRPr="00D462E8">
        <w:t>Walking</w:t>
      </w:r>
      <w:proofErr w:type="spellEnd"/>
      <w:r w:rsidRPr="00D462E8">
        <w:t xml:space="preserve"> speed at </w:t>
      </w:r>
      <w:proofErr w:type="spellStart"/>
      <w:r w:rsidRPr="00D462E8">
        <w:t>the</w:t>
      </w:r>
      <w:proofErr w:type="spellEnd"/>
      <w:r w:rsidRPr="00D462E8">
        <w:t xml:space="preserve"> acute </w:t>
      </w:r>
      <w:proofErr w:type="spellStart"/>
      <w:r w:rsidRPr="00D462E8">
        <w:t>and</w:t>
      </w:r>
      <w:proofErr w:type="spellEnd"/>
      <w:r w:rsidRPr="00D462E8">
        <w:t xml:space="preserve"> subacute </w:t>
      </w:r>
      <w:proofErr w:type="spellStart"/>
      <w:r w:rsidRPr="00D462E8">
        <w:t>stroke</w:t>
      </w:r>
      <w:proofErr w:type="spellEnd"/>
      <w:r w:rsidRPr="00D462E8">
        <w:t xml:space="preserve"> stage: A </w:t>
      </w:r>
      <w:proofErr w:type="spellStart"/>
      <w:r w:rsidRPr="00D462E8">
        <w:t>descriptive</w:t>
      </w:r>
      <w:proofErr w:type="spellEnd"/>
      <w:r w:rsidRPr="00D462E8">
        <w:t xml:space="preserve"> meta-analysis. Frontiers in </w:t>
      </w:r>
      <w:proofErr w:type="spellStart"/>
      <w:r w:rsidRPr="00D462E8">
        <w:t>neurology</w:t>
      </w:r>
      <w:proofErr w:type="spellEnd"/>
      <w:r w:rsidRPr="00D462E8">
        <w:t xml:space="preserve">, 13, 989622. </w:t>
      </w:r>
      <w:hyperlink r:id="rId12" w:history="1">
        <w:r w:rsidRPr="00D462E8">
          <w:rPr>
            <w:rStyle w:val="Hyperlink"/>
            <w:color w:val="000000"/>
            <w:u w:val="none"/>
          </w:rPr>
          <w:t>https://doi.org/10.3389/fneur.2022.989622</w:t>
        </w:r>
      </w:hyperlink>
    </w:p>
    <w:p w14:paraId="268C3D9D" w14:textId="77777777" w:rsidR="00A43F97" w:rsidRPr="00A43F97" w:rsidRDefault="00A43F97" w:rsidP="00A43F97">
      <w:pPr>
        <w:pStyle w:val="Lijstalinea"/>
        <w:rPr>
          <w:lang w:val="en-US"/>
        </w:rPr>
      </w:pPr>
      <w:proofErr w:type="spellStart"/>
      <w:r w:rsidRPr="00A43F97">
        <w:rPr>
          <w:lang w:val="en-US"/>
        </w:rPr>
        <w:t>Madgwick</w:t>
      </w:r>
      <w:proofErr w:type="spellEnd"/>
      <w:r w:rsidRPr="00A43F97">
        <w:rPr>
          <w:lang w:val="en-US"/>
        </w:rPr>
        <w:t xml:space="preserve">, S. O. H., Harrison, A. J. L., Sharkey, P. M, Vaidyanathan, R. and </w:t>
      </w:r>
      <w:proofErr w:type="spellStart"/>
      <w:r w:rsidRPr="00A43F97">
        <w:rPr>
          <w:lang w:val="en-US"/>
        </w:rPr>
        <w:t>Harwin</w:t>
      </w:r>
      <w:proofErr w:type="spellEnd"/>
      <w:r w:rsidRPr="00A43F97">
        <w:rPr>
          <w:lang w:val="en-US"/>
        </w:rPr>
        <w:t xml:space="preserve">, W. S (2013) Measuring motion with kinematically redundant accelerometer arrays: theory, </w:t>
      </w:r>
      <w:proofErr w:type="gramStart"/>
      <w:r w:rsidRPr="00A43F97">
        <w:rPr>
          <w:lang w:val="en-US"/>
        </w:rPr>
        <w:t>simulation</w:t>
      </w:r>
      <w:proofErr w:type="gramEnd"/>
      <w:r w:rsidRPr="00A43F97">
        <w:rPr>
          <w:lang w:val="en-US"/>
        </w:rPr>
        <w:t xml:space="preserve"> and implementation. Mechatronics, 23 (5). pp. 518- 529. ISSN 0957-4158 </w:t>
      </w:r>
      <w:proofErr w:type="spellStart"/>
      <w:r w:rsidRPr="00A43F97">
        <w:rPr>
          <w:lang w:val="en-US"/>
        </w:rPr>
        <w:t>doi</w:t>
      </w:r>
      <w:proofErr w:type="spellEnd"/>
      <w:r w:rsidRPr="00A43F97">
        <w:rPr>
          <w:lang w:val="en-US"/>
        </w:rPr>
        <w:t xml:space="preserve">: https://doi.org/10.1016/j.mechatronics.2013.04.003 Available at https://centaur.reading.ac.uk/31540/ </w:t>
      </w:r>
    </w:p>
    <w:p w14:paraId="6D2485FA" w14:textId="77777777" w:rsidR="00A43F97" w:rsidRDefault="00A43F97" w:rsidP="00A43F97">
      <w:pPr>
        <w:pStyle w:val="Lijstalinea"/>
        <w:rPr>
          <w:lang w:val="en-US"/>
        </w:rPr>
      </w:pPr>
      <w:r w:rsidRPr="00A43F97">
        <w:rPr>
          <w:lang w:val="en-US"/>
        </w:rPr>
        <w:t xml:space="preserve">R. P. Suresh, V. Sridhar, J. Pramod and V. </w:t>
      </w:r>
      <w:proofErr w:type="spellStart"/>
      <w:r w:rsidRPr="00A43F97">
        <w:rPr>
          <w:lang w:val="en-US"/>
        </w:rPr>
        <w:t>Talasila</w:t>
      </w:r>
      <w:proofErr w:type="spellEnd"/>
      <w:r w:rsidRPr="00A43F97">
        <w:rPr>
          <w:lang w:val="en-US"/>
        </w:rPr>
        <w:t xml:space="preserve">, "Zero Velocity Potential Update (ZUPT) as a Correction Technique," 2018 3rd International Conference </w:t>
      </w:r>
      <w:proofErr w:type="gramStart"/>
      <w:r w:rsidRPr="00A43F97">
        <w:rPr>
          <w:lang w:val="en-US"/>
        </w:rPr>
        <w:t>On</w:t>
      </w:r>
      <w:proofErr w:type="gramEnd"/>
      <w:r w:rsidRPr="00A43F97">
        <w:rPr>
          <w:lang w:val="en-US"/>
        </w:rPr>
        <w:t xml:space="preserve"> Internet of Things: Smart Innovation and Usages (IoT-SIU), </w:t>
      </w:r>
      <w:proofErr w:type="spellStart"/>
      <w:r w:rsidRPr="00A43F97">
        <w:rPr>
          <w:lang w:val="en-US"/>
        </w:rPr>
        <w:t>Bhimtal</w:t>
      </w:r>
      <w:proofErr w:type="spellEnd"/>
      <w:r w:rsidRPr="00A43F97">
        <w:rPr>
          <w:lang w:val="en-US"/>
        </w:rPr>
        <w:t xml:space="preserve">, India, 2018, pp. 1-8, </w:t>
      </w:r>
      <w:proofErr w:type="spellStart"/>
      <w:r w:rsidRPr="00A43F97">
        <w:rPr>
          <w:lang w:val="en-US"/>
        </w:rPr>
        <w:t>doi</w:t>
      </w:r>
      <w:proofErr w:type="spellEnd"/>
      <w:r w:rsidRPr="00A43F97">
        <w:rPr>
          <w:lang w:val="en-US"/>
        </w:rPr>
        <w:t>: 10.1109/IoT-SIU.2018.8519902.</w:t>
      </w:r>
    </w:p>
    <w:p w14:paraId="46DED734" w14:textId="2E3D04D3" w:rsidR="00E37FB8" w:rsidRPr="00E37FB8" w:rsidRDefault="00E37FB8" w:rsidP="00E37FB8">
      <w:pPr>
        <w:pStyle w:val="Lijstalinea"/>
        <w:rPr>
          <w:lang w:val="en-US"/>
        </w:rPr>
      </w:pPr>
      <w:r w:rsidRPr="00E37FB8">
        <w:rPr>
          <w:lang w:val="en-US"/>
        </w:rPr>
        <w:t xml:space="preserve">Patterson, K. K., </w:t>
      </w:r>
      <w:proofErr w:type="spellStart"/>
      <w:r w:rsidRPr="00E37FB8">
        <w:rPr>
          <w:lang w:val="en-US"/>
        </w:rPr>
        <w:t>Parafianowicz</w:t>
      </w:r>
      <w:proofErr w:type="spellEnd"/>
      <w:r w:rsidRPr="00E37FB8">
        <w:rPr>
          <w:lang w:val="en-US"/>
        </w:rPr>
        <w:t xml:space="preserve">, I., </w:t>
      </w:r>
      <w:proofErr w:type="spellStart"/>
      <w:r w:rsidRPr="00E37FB8">
        <w:rPr>
          <w:lang w:val="en-US"/>
        </w:rPr>
        <w:t>Danells</w:t>
      </w:r>
      <w:proofErr w:type="spellEnd"/>
      <w:r w:rsidRPr="00E37FB8">
        <w:rPr>
          <w:lang w:val="en-US"/>
        </w:rPr>
        <w:t xml:space="preserve">, C. J., </w:t>
      </w:r>
      <w:proofErr w:type="spellStart"/>
      <w:r w:rsidRPr="00E37FB8">
        <w:rPr>
          <w:lang w:val="en-US"/>
        </w:rPr>
        <w:t>Closson</w:t>
      </w:r>
      <w:proofErr w:type="spellEnd"/>
      <w:r w:rsidRPr="00E37FB8">
        <w:rPr>
          <w:lang w:val="en-US"/>
        </w:rPr>
        <w:t>, V., Verrier, M. C., Staines, W. R., Black, S. E., &amp; McIlroy, W. E. (2008). Gait asymmetry in community-ambulating stroke survivors. Archives of physical medicine and rehabilitation, 89(2), 304–310. https://doi.org/10.1016/j.apmr.2007.08.142</w:t>
      </w:r>
    </w:p>
    <w:p w14:paraId="0D809E47" w14:textId="77777777" w:rsidR="00E37FB8" w:rsidRPr="00FF66C1" w:rsidRDefault="00E37FB8" w:rsidP="00E37FB8">
      <w:pPr>
        <w:pStyle w:val="Lijstalinea"/>
        <w:rPr>
          <w:rStyle w:val="Hyperlink"/>
          <w:color w:val="000000" w:themeColor="text1"/>
        </w:rPr>
      </w:pPr>
      <w:r w:rsidRPr="00E37FB8">
        <w:rPr>
          <w:lang w:val="en-US"/>
        </w:rPr>
        <w:t xml:space="preserve">Patel, P., </w:t>
      </w:r>
      <w:proofErr w:type="spellStart"/>
      <w:r w:rsidRPr="00E37FB8">
        <w:rPr>
          <w:lang w:val="en-US"/>
        </w:rPr>
        <w:t>Enzastiga</w:t>
      </w:r>
      <w:proofErr w:type="spellEnd"/>
      <w:r w:rsidRPr="00E37FB8">
        <w:rPr>
          <w:lang w:val="en-US"/>
        </w:rPr>
        <w:t xml:space="preserve">, D., </w:t>
      </w:r>
      <w:proofErr w:type="spellStart"/>
      <w:r w:rsidRPr="00E37FB8">
        <w:rPr>
          <w:lang w:val="en-US"/>
        </w:rPr>
        <w:t>Casamento</w:t>
      </w:r>
      <w:proofErr w:type="spellEnd"/>
      <w:r w:rsidRPr="00E37FB8">
        <w:rPr>
          <w:lang w:val="en-US"/>
        </w:rPr>
        <w:t xml:space="preserve">-Moran, A., Christou, E. A., &amp; </w:t>
      </w:r>
      <w:proofErr w:type="spellStart"/>
      <w:r w:rsidRPr="00E37FB8">
        <w:rPr>
          <w:lang w:val="en-US"/>
        </w:rPr>
        <w:t>Lodha</w:t>
      </w:r>
      <w:proofErr w:type="spellEnd"/>
      <w:r w:rsidRPr="00E37FB8">
        <w:rPr>
          <w:lang w:val="en-US"/>
        </w:rPr>
        <w:t xml:space="preserve">, N. (2022). Increased temporal stride variability contributes to impaired gait coordination after stroke. </w:t>
      </w:r>
      <w:proofErr w:type="spellStart"/>
      <w:r w:rsidRPr="00B84665">
        <w:t>Scientific</w:t>
      </w:r>
      <w:proofErr w:type="spellEnd"/>
      <w:r w:rsidRPr="00B84665">
        <w:t xml:space="preserve"> </w:t>
      </w:r>
      <w:proofErr w:type="spellStart"/>
      <w:r w:rsidRPr="00B84665">
        <w:t>reports</w:t>
      </w:r>
      <w:proofErr w:type="spellEnd"/>
      <w:r w:rsidRPr="00B84665">
        <w:t xml:space="preserve">, 12(1), 12679. </w:t>
      </w:r>
      <w:hyperlink r:id="rId13" w:history="1">
        <w:r w:rsidRPr="00FF66C1">
          <w:rPr>
            <w:rStyle w:val="Hyperlink"/>
            <w:color w:val="000000" w:themeColor="text1"/>
          </w:rPr>
          <w:t>https://doi.org/10.1038/s41598-022-17017-1</w:t>
        </w:r>
      </w:hyperlink>
    </w:p>
    <w:p w14:paraId="6394C66C" w14:textId="77777777" w:rsidR="00E37FB8" w:rsidRPr="000B5718" w:rsidRDefault="00E37FB8" w:rsidP="00E37FB8">
      <w:pPr>
        <w:pStyle w:val="Lijstalinea"/>
      </w:pPr>
      <w:r w:rsidRPr="00E37FB8">
        <w:rPr>
          <w:lang w:val="en-US"/>
        </w:rPr>
        <w:t xml:space="preserve">Garcia, F. D. V., da Cunha, M. J., </w:t>
      </w:r>
      <w:proofErr w:type="spellStart"/>
      <w:r w:rsidRPr="00E37FB8">
        <w:rPr>
          <w:lang w:val="en-US"/>
        </w:rPr>
        <w:t>Schuch</w:t>
      </w:r>
      <w:proofErr w:type="spellEnd"/>
      <w:r w:rsidRPr="00E37FB8">
        <w:rPr>
          <w:lang w:val="en-US"/>
        </w:rPr>
        <w:t xml:space="preserve">, C. P., </w:t>
      </w:r>
      <w:proofErr w:type="spellStart"/>
      <w:r w:rsidRPr="00E37FB8">
        <w:rPr>
          <w:lang w:val="en-US"/>
        </w:rPr>
        <w:t>Schifino</w:t>
      </w:r>
      <w:proofErr w:type="spellEnd"/>
      <w:r w:rsidRPr="00E37FB8">
        <w:rPr>
          <w:lang w:val="en-US"/>
        </w:rPr>
        <w:t xml:space="preserve">, G. P., </w:t>
      </w:r>
      <w:proofErr w:type="spellStart"/>
      <w:r w:rsidRPr="00E37FB8">
        <w:rPr>
          <w:lang w:val="en-US"/>
        </w:rPr>
        <w:t>Balbinot</w:t>
      </w:r>
      <w:proofErr w:type="spellEnd"/>
      <w:r w:rsidRPr="00E37FB8">
        <w:rPr>
          <w:lang w:val="en-US"/>
        </w:rPr>
        <w:t xml:space="preserve">, G., &amp; </w:t>
      </w:r>
      <w:proofErr w:type="spellStart"/>
      <w:r w:rsidRPr="00E37FB8">
        <w:rPr>
          <w:lang w:val="en-US"/>
        </w:rPr>
        <w:t>Pagnussat</w:t>
      </w:r>
      <w:proofErr w:type="spellEnd"/>
      <w:r w:rsidRPr="00E37FB8">
        <w:rPr>
          <w:lang w:val="en-US"/>
        </w:rPr>
        <w:t xml:space="preserve">, A. S. (2021). Movement smoothness in chronic post-stroke individuals walking in an outdoor environment-A cross-sectional study using IMU sensors. </w:t>
      </w:r>
      <w:proofErr w:type="spellStart"/>
      <w:r w:rsidRPr="000B5718">
        <w:t>PloS</w:t>
      </w:r>
      <w:proofErr w:type="spellEnd"/>
      <w:r w:rsidRPr="000B5718">
        <w:t xml:space="preserve"> </w:t>
      </w:r>
      <w:proofErr w:type="spellStart"/>
      <w:r w:rsidRPr="000B5718">
        <w:t>one</w:t>
      </w:r>
      <w:proofErr w:type="spellEnd"/>
      <w:r w:rsidRPr="000B5718">
        <w:t xml:space="preserve">, 16(4), e0250100. </w:t>
      </w:r>
      <w:hyperlink r:id="rId14" w:history="1">
        <w:r w:rsidRPr="000B5718">
          <w:rPr>
            <w:rStyle w:val="Hyperlink"/>
          </w:rPr>
          <w:t>https://doi.org/10.1371/journal.pone.0250100</w:t>
        </w:r>
      </w:hyperlink>
    </w:p>
    <w:p w14:paraId="09E3893E" w14:textId="77777777" w:rsidR="00D462E8" w:rsidRPr="00D462E8" w:rsidRDefault="00D462E8" w:rsidP="00D462E8">
      <w:pPr>
        <w:pStyle w:val="Lijstalinea"/>
      </w:pPr>
      <w:r w:rsidRPr="00D462E8">
        <w:t xml:space="preserve">R.A.W. Felius, M. Punt., N.C. Wouda, M. Geerars, R.B. Rutgers, S.M. Bruijn, S. David, </w:t>
      </w:r>
      <w:proofErr w:type="spellStart"/>
      <w:r w:rsidRPr="00D462E8">
        <w:t>and</w:t>
      </w:r>
      <w:proofErr w:type="spellEnd"/>
      <w:r w:rsidRPr="00D462E8">
        <w:t xml:space="preserve"> J.H. van </w:t>
      </w:r>
      <w:proofErr w:type="spellStart"/>
      <w:r w:rsidRPr="00D462E8">
        <w:t>Dieën</w:t>
      </w:r>
      <w:proofErr w:type="spellEnd"/>
      <w:r w:rsidRPr="00D462E8">
        <w:t xml:space="preserve"> (2024). </w:t>
      </w:r>
      <w:proofErr w:type="spellStart"/>
      <w:r w:rsidRPr="00D462E8">
        <w:t>Exploring</w:t>
      </w:r>
      <w:proofErr w:type="spellEnd"/>
      <w:r w:rsidRPr="00D462E8">
        <w:t xml:space="preserve"> </w:t>
      </w:r>
      <w:proofErr w:type="spellStart"/>
      <w:r w:rsidRPr="00D462E8">
        <w:t>Unsupervised</w:t>
      </w:r>
      <w:proofErr w:type="spellEnd"/>
      <w:r w:rsidRPr="00D462E8">
        <w:t xml:space="preserve"> Feature </w:t>
      </w:r>
      <w:proofErr w:type="spellStart"/>
      <w:r w:rsidRPr="00D462E8">
        <w:t>Extraction</w:t>
      </w:r>
      <w:proofErr w:type="spellEnd"/>
      <w:r w:rsidRPr="00D462E8">
        <w:t xml:space="preserve"> of IMU-</w:t>
      </w:r>
      <w:proofErr w:type="spellStart"/>
      <w:r w:rsidRPr="00D462E8">
        <w:t>based</w:t>
      </w:r>
      <w:proofErr w:type="spellEnd"/>
      <w:r w:rsidRPr="00D462E8">
        <w:t xml:space="preserve"> </w:t>
      </w:r>
      <w:proofErr w:type="spellStart"/>
      <w:r w:rsidRPr="00D462E8">
        <w:t>Gait</w:t>
      </w:r>
      <w:proofErr w:type="spellEnd"/>
      <w:r w:rsidRPr="00D462E8">
        <w:t xml:space="preserve"> Data in </w:t>
      </w:r>
      <w:proofErr w:type="spellStart"/>
      <w:r w:rsidRPr="00D462E8">
        <w:t>Stroke</w:t>
      </w:r>
      <w:proofErr w:type="spellEnd"/>
      <w:r w:rsidRPr="00D462E8">
        <w:t xml:space="preserve"> </w:t>
      </w:r>
      <w:proofErr w:type="spellStart"/>
      <w:r w:rsidRPr="00D462E8">
        <w:t>Rehabilitation</w:t>
      </w:r>
      <w:proofErr w:type="spellEnd"/>
      <w:r w:rsidRPr="00D462E8">
        <w:t xml:space="preserve"> </w:t>
      </w:r>
      <w:proofErr w:type="spellStart"/>
      <w:r w:rsidRPr="00D462E8">
        <w:t>using</w:t>
      </w:r>
      <w:proofErr w:type="spellEnd"/>
      <w:r w:rsidRPr="00D462E8">
        <w:t xml:space="preserve"> a </w:t>
      </w:r>
      <w:proofErr w:type="spellStart"/>
      <w:r w:rsidRPr="00D462E8">
        <w:t>Variational</w:t>
      </w:r>
      <w:proofErr w:type="spellEnd"/>
      <w:r w:rsidRPr="00D462E8">
        <w:t xml:space="preserve"> </w:t>
      </w:r>
      <w:proofErr w:type="spellStart"/>
      <w:r w:rsidRPr="00D462E8">
        <w:t>AutoEncoder</w:t>
      </w:r>
      <w:proofErr w:type="spellEnd"/>
      <w:r w:rsidRPr="00D462E8">
        <w:t xml:space="preserve">. </w:t>
      </w:r>
      <w:proofErr w:type="gramStart"/>
      <w:r w:rsidRPr="00D462E8">
        <w:t>manuscript</w:t>
      </w:r>
      <w:proofErr w:type="gramEnd"/>
      <w:r w:rsidRPr="00D462E8">
        <w:t xml:space="preserve"> </w:t>
      </w:r>
      <w:proofErr w:type="spellStart"/>
      <w:r w:rsidRPr="00D462E8">
        <w:t>submitted</w:t>
      </w:r>
      <w:proofErr w:type="spellEnd"/>
      <w:r w:rsidRPr="00D462E8">
        <w:t xml:space="preserve"> </w:t>
      </w:r>
      <w:proofErr w:type="spellStart"/>
      <w:r w:rsidRPr="00D462E8">
        <w:t>for</w:t>
      </w:r>
      <w:proofErr w:type="spellEnd"/>
      <w:r w:rsidRPr="00D462E8">
        <w:t xml:space="preserve"> </w:t>
      </w:r>
      <w:proofErr w:type="spellStart"/>
      <w:r w:rsidRPr="00D462E8">
        <w:t>publication</w:t>
      </w:r>
      <w:proofErr w:type="spellEnd"/>
      <w:r w:rsidRPr="00D462E8">
        <w:t xml:space="preserve">. </w:t>
      </w:r>
    </w:p>
    <w:p w14:paraId="352AF292" w14:textId="77777777" w:rsidR="00D462E8" w:rsidRPr="00D462E8" w:rsidRDefault="00D462E8" w:rsidP="00D462E8">
      <w:pPr>
        <w:spacing w:line="360" w:lineRule="auto"/>
        <w:contextualSpacing/>
        <w:rPr>
          <w:rFonts w:eastAsia="Calibri"/>
          <w:color w:val="000000"/>
          <w:sz w:val="18"/>
          <w:szCs w:val="18"/>
          <w:shd w:val="clear" w:color="auto" w:fill="FFFFFF"/>
        </w:rPr>
      </w:pPr>
    </w:p>
    <w:p w14:paraId="1B300663" w14:textId="77777777" w:rsidR="00D462E8" w:rsidRPr="00D70A7E" w:rsidRDefault="00D462E8" w:rsidP="00D70A7E"/>
    <w:sectPr w:rsidR="00D462E8" w:rsidRPr="00D70A7E" w:rsidSect="00B66E2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56FE4"/>
    <w:multiLevelType w:val="hybridMultilevel"/>
    <w:tmpl w:val="999A13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0C766DF"/>
    <w:multiLevelType w:val="hybridMultilevel"/>
    <w:tmpl w:val="00F2AA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93B7F66"/>
    <w:multiLevelType w:val="hybridMultilevel"/>
    <w:tmpl w:val="999A13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980440B"/>
    <w:multiLevelType w:val="hybridMultilevel"/>
    <w:tmpl w:val="A8AC5F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08E6B15"/>
    <w:multiLevelType w:val="hybridMultilevel"/>
    <w:tmpl w:val="C43E2BA6"/>
    <w:lvl w:ilvl="0" w:tplc="D038881C">
      <w:start w:val="1"/>
      <w:numFmt w:val="decimal"/>
      <w:pStyle w:val="Lijstalin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3E6A45"/>
    <w:multiLevelType w:val="hybridMultilevel"/>
    <w:tmpl w:val="19288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FF72DDD"/>
    <w:multiLevelType w:val="hybridMultilevel"/>
    <w:tmpl w:val="9690A67C"/>
    <w:lvl w:ilvl="0" w:tplc="9BB0205E">
      <w:start w:val="1"/>
      <w:numFmt w:val="decimal"/>
      <w:lvlText w:val="[%1]"/>
      <w:lvlJc w:val="left"/>
      <w:pPr>
        <w:ind w:left="598" w:hanging="365"/>
        <w:jc w:val="right"/>
      </w:pPr>
      <w:rPr>
        <w:rFonts w:ascii="Georgia" w:eastAsia="Georgia" w:hAnsi="Georgia" w:cs="Georgia" w:hint="default"/>
        <w:w w:val="87"/>
        <w:sz w:val="20"/>
        <w:szCs w:val="20"/>
        <w:lang w:val="en-US" w:eastAsia="en-US" w:bidi="ar-SA"/>
      </w:rPr>
    </w:lvl>
    <w:lvl w:ilvl="1" w:tplc="BFD6F27A">
      <w:numFmt w:val="bullet"/>
      <w:lvlText w:val="•"/>
      <w:lvlJc w:val="left"/>
      <w:pPr>
        <w:ind w:left="1480" w:hanging="365"/>
      </w:pPr>
      <w:rPr>
        <w:rFonts w:hint="default"/>
        <w:lang w:val="en-US" w:eastAsia="en-US" w:bidi="ar-SA"/>
      </w:rPr>
    </w:lvl>
    <w:lvl w:ilvl="2" w:tplc="EF9A9D38">
      <w:numFmt w:val="bullet"/>
      <w:lvlText w:val="•"/>
      <w:lvlJc w:val="left"/>
      <w:pPr>
        <w:ind w:left="2361" w:hanging="365"/>
      </w:pPr>
      <w:rPr>
        <w:rFonts w:hint="default"/>
        <w:lang w:val="en-US" w:eastAsia="en-US" w:bidi="ar-SA"/>
      </w:rPr>
    </w:lvl>
    <w:lvl w:ilvl="3" w:tplc="00169CF0">
      <w:numFmt w:val="bullet"/>
      <w:lvlText w:val="•"/>
      <w:lvlJc w:val="left"/>
      <w:pPr>
        <w:ind w:left="3241" w:hanging="365"/>
      </w:pPr>
      <w:rPr>
        <w:rFonts w:hint="default"/>
        <w:lang w:val="en-US" w:eastAsia="en-US" w:bidi="ar-SA"/>
      </w:rPr>
    </w:lvl>
    <w:lvl w:ilvl="4" w:tplc="3202E438">
      <w:numFmt w:val="bullet"/>
      <w:lvlText w:val="•"/>
      <w:lvlJc w:val="left"/>
      <w:pPr>
        <w:ind w:left="4122" w:hanging="365"/>
      </w:pPr>
      <w:rPr>
        <w:rFonts w:hint="default"/>
        <w:lang w:val="en-US" w:eastAsia="en-US" w:bidi="ar-SA"/>
      </w:rPr>
    </w:lvl>
    <w:lvl w:ilvl="5" w:tplc="F602712A">
      <w:numFmt w:val="bullet"/>
      <w:lvlText w:val="•"/>
      <w:lvlJc w:val="left"/>
      <w:pPr>
        <w:ind w:left="5002" w:hanging="365"/>
      </w:pPr>
      <w:rPr>
        <w:rFonts w:hint="default"/>
        <w:lang w:val="en-US" w:eastAsia="en-US" w:bidi="ar-SA"/>
      </w:rPr>
    </w:lvl>
    <w:lvl w:ilvl="6" w:tplc="BFE07618">
      <w:numFmt w:val="bullet"/>
      <w:lvlText w:val="•"/>
      <w:lvlJc w:val="left"/>
      <w:pPr>
        <w:ind w:left="5883" w:hanging="365"/>
      </w:pPr>
      <w:rPr>
        <w:rFonts w:hint="default"/>
        <w:lang w:val="en-US" w:eastAsia="en-US" w:bidi="ar-SA"/>
      </w:rPr>
    </w:lvl>
    <w:lvl w:ilvl="7" w:tplc="10D07152">
      <w:numFmt w:val="bullet"/>
      <w:lvlText w:val="•"/>
      <w:lvlJc w:val="left"/>
      <w:pPr>
        <w:ind w:left="6763" w:hanging="365"/>
      </w:pPr>
      <w:rPr>
        <w:rFonts w:hint="default"/>
        <w:lang w:val="en-US" w:eastAsia="en-US" w:bidi="ar-SA"/>
      </w:rPr>
    </w:lvl>
    <w:lvl w:ilvl="8" w:tplc="C00AD00C">
      <w:numFmt w:val="bullet"/>
      <w:lvlText w:val="•"/>
      <w:lvlJc w:val="left"/>
      <w:pPr>
        <w:ind w:left="7644" w:hanging="365"/>
      </w:pPr>
      <w:rPr>
        <w:rFonts w:hint="default"/>
        <w:lang w:val="en-US" w:eastAsia="en-US" w:bidi="ar-SA"/>
      </w:rPr>
    </w:lvl>
  </w:abstractNum>
  <w:abstractNum w:abstractNumId="7" w15:restartNumberingAfterBreak="0">
    <w:nsid w:val="4D796ADD"/>
    <w:multiLevelType w:val="hybridMultilevel"/>
    <w:tmpl w:val="C2968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F17E99"/>
    <w:multiLevelType w:val="hybridMultilevel"/>
    <w:tmpl w:val="49FA793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081562135">
    <w:abstractNumId w:val="4"/>
  </w:num>
  <w:num w:numId="2" w16cid:durableId="607548464">
    <w:abstractNumId w:val="6"/>
  </w:num>
  <w:num w:numId="3" w16cid:durableId="3783653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20365297">
    <w:abstractNumId w:val="0"/>
  </w:num>
  <w:num w:numId="5" w16cid:durableId="645164411">
    <w:abstractNumId w:val="7"/>
  </w:num>
  <w:num w:numId="6" w16cid:durableId="2070230656">
    <w:abstractNumId w:val="5"/>
  </w:num>
  <w:num w:numId="7" w16cid:durableId="1818453498">
    <w:abstractNumId w:val="1"/>
  </w:num>
  <w:num w:numId="8" w16cid:durableId="249966245">
    <w:abstractNumId w:val="8"/>
  </w:num>
  <w:num w:numId="9" w16cid:durableId="637609734">
    <w:abstractNumId w:val="3"/>
  </w:num>
  <w:num w:numId="10" w16cid:durableId="12547824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A7E"/>
    <w:rsid w:val="00074100"/>
    <w:rsid w:val="002E003B"/>
    <w:rsid w:val="00A43F97"/>
    <w:rsid w:val="00A944D9"/>
    <w:rsid w:val="00B66E2A"/>
    <w:rsid w:val="00D462E8"/>
    <w:rsid w:val="00D53EA9"/>
    <w:rsid w:val="00D70A7E"/>
    <w:rsid w:val="00E37F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3574F52A"/>
  <w15:chartTrackingRefBased/>
  <w15:docId w15:val="{039081E9-2D7F-F44A-8FB5-20EEF8FC5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70A7E"/>
    <w:pPr>
      <w:spacing w:line="480" w:lineRule="auto"/>
    </w:pPr>
    <w:rPr>
      <w:rFonts w:ascii="Times New Roman" w:hAnsi="Times New Roman" w:cs="Times New Roman"/>
      <w:lang w:val="da-DK"/>
    </w:rPr>
  </w:style>
  <w:style w:type="paragraph" w:styleId="Kop1">
    <w:name w:val="heading 1"/>
    <w:basedOn w:val="Standaard"/>
    <w:next w:val="Standaard"/>
    <w:link w:val="Kop1Char"/>
    <w:uiPriority w:val="9"/>
    <w:qFormat/>
    <w:rsid w:val="00D70A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D70A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D70A7E"/>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D70A7E"/>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D70A7E"/>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D70A7E"/>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D70A7E"/>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D70A7E"/>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D70A7E"/>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70A7E"/>
    <w:rPr>
      <w:rFonts w:asciiTheme="majorHAnsi" w:eastAsiaTheme="majorEastAsia" w:hAnsiTheme="majorHAnsi" w:cstheme="majorBidi"/>
      <w:color w:val="0F4761" w:themeColor="accent1" w:themeShade="BF"/>
      <w:sz w:val="40"/>
      <w:szCs w:val="40"/>
      <w:lang w:val="en-GB"/>
    </w:rPr>
  </w:style>
  <w:style w:type="character" w:customStyle="1" w:styleId="Kop2Char">
    <w:name w:val="Kop 2 Char"/>
    <w:basedOn w:val="Standaardalinea-lettertype"/>
    <w:link w:val="Kop2"/>
    <w:uiPriority w:val="9"/>
    <w:rsid w:val="00D70A7E"/>
    <w:rPr>
      <w:rFonts w:asciiTheme="majorHAnsi" w:eastAsiaTheme="majorEastAsia" w:hAnsiTheme="majorHAnsi" w:cstheme="majorBidi"/>
      <w:color w:val="0F4761" w:themeColor="accent1" w:themeShade="BF"/>
      <w:sz w:val="32"/>
      <w:szCs w:val="32"/>
      <w:lang w:val="en-GB"/>
    </w:rPr>
  </w:style>
  <w:style w:type="character" w:customStyle="1" w:styleId="Kop3Char">
    <w:name w:val="Kop 3 Char"/>
    <w:basedOn w:val="Standaardalinea-lettertype"/>
    <w:link w:val="Kop3"/>
    <w:uiPriority w:val="9"/>
    <w:rsid w:val="00D70A7E"/>
    <w:rPr>
      <w:rFonts w:eastAsiaTheme="majorEastAsia" w:cstheme="majorBidi"/>
      <w:color w:val="0F4761" w:themeColor="accent1" w:themeShade="BF"/>
      <w:sz w:val="28"/>
      <w:szCs w:val="28"/>
      <w:lang w:val="en-GB"/>
    </w:rPr>
  </w:style>
  <w:style w:type="character" w:customStyle="1" w:styleId="Kop4Char">
    <w:name w:val="Kop 4 Char"/>
    <w:basedOn w:val="Standaardalinea-lettertype"/>
    <w:link w:val="Kop4"/>
    <w:uiPriority w:val="9"/>
    <w:semiHidden/>
    <w:rsid w:val="00D70A7E"/>
    <w:rPr>
      <w:rFonts w:eastAsiaTheme="majorEastAsia" w:cstheme="majorBidi"/>
      <w:i/>
      <w:iCs/>
      <w:color w:val="0F4761" w:themeColor="accent1" w:themeShade="BF"/>
      <w:lang w:val="en-GB"/>
    </w:rPr>
  </w:style>
  <w:style w:type="character" w:customStyle="1" w:styleId="Kop5Char">
    <w:name w:val="Kop 5 Char"/>
    <w:basedOn w:val="Standaardalinea-lettertype"/>
    <w:link w:val="Kop5"/>
    <w:uiPriority w:val="9"/>
    <w:semiHidden/>
    <w:rsid w:val="00D70A7E"/>
    <w:rPr>
      <w:rFonts w:eastAsiaTheme="majorEastAsia" w:cstheme="majorBidi"/>
      <w:color w:val="0F4761" w:themeColor="accent1" w:themeShade="BF"/>
      <w:lang w:val="en-GB"/>
    </w:rPr>
  </w:style>
  <w:style w:type="character" w:customStyle="1" w:styleId="Kop6Char">
    <w:name w:val="Kop 6 Char"/>
    <w:basedOn w:val="Standaardalinea-lettertype"/>
    <w:link w:val="Kop6"/>
    <w:uiPriority w:val="9"/>
    <w:semiHidden/>
    <w:rsid w:val="00D70A7E"/>
    <w:rPr>
      <w:rFonts w:eastAsiaTheme="majorEastAsia" w:cstheme="majorBidi"/>
      <w:i/>
      <w:iCs/>
      <w:color w:val="595959" w:themeColor="text1" w:themeTint="A6"/>
      <w:lang w:val="en-GB"/>
    </w:rPr>
  </w:style>
  <w:style w:type="character" w:customStyle="1" w:styleId="Kop7Char">
    <w:name w:val="Kop 7 Char"/>
    <w:basedOn w:val="Standaardalinea-lettertype"/>
    <w:link w:val="Kop7"/>
    <w:uiPriority w:val="9"/>
    <w:semiHidden/>
    <w:rsid w:val="00D70A7E"/>
    <w:rPr>
      <w:rFonts w:eastAsiaTheme="majorEastAsia" w:cstheme="majorBidi"/>
      <w:color w:val="595959" w:themeColor="text1" w:themeTint="A6"/>
      <w:lang w:val="en-GB"/>
    </w:rPr>
  </w:style>
  <w:style w:type="character" w:customStyle="1" w:styleId="Kop8Char">
    <w:name w:val="Kop 8 Char"/>
    <w:basedOn w:val="Standaardalinea-lettertype"/>
    <w:link w:val="Kop8"/>
    <w:uiPriority w:val="9"/>
    <w:semiHidden/>
    <w:rsid w:val="00D70A7E"/>
    <w:rPr>
      <w:rFonts w:eastAsiaTheme="majorEastAsia" w:cstheme="majorBidi"/>
      <w:i/>
      <w:iCs/>
      <w:color w:val="272727" w:themeColor="text1" w:themeTint="D8"/>
      <w:lang w:val="en-GB"/>
    </w:rPr>
  </w:style>
  <w:style w:type="character" w:customStyle="1" w:styleId="Kop9Char">
    <w:name w:val="Kop 9 Char"/>
    <w:basedOn w:val="Standaardalinea-lettertype"/>
    <w:link w:val="Kop9"/>
    <w:uiPriority w:val="9"/>
    <w:semiHidden/>
    <w:rsid w:val="00D70A7E"/>
    <w:rPr>
      <w:rFonts w:eastAsiaTheme="majorEastAsia" w:cstheme="majorBidi"/>
      <w:color w:val="272727" w:themeColor="text1" w:themeTint="D8"/>
      <w:lang w:val="en-GB"/>
    </w:rPr>
  </w:style>
  <w:style w:type="paragraph" w:styleId="Titel">
    <w:name w:val="Title"/>
    <w:basedOn w:val="Standaard"/>
    <w:next w:val="Standaard"/>
    <w:link w:val="TitelChar"/>
    <w:uiPriority w:val="10"/>
    <w:qFormat/>
    <w:rsid w:val="00D70A7E"/>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70A7E"/>
    <w:rPr>
      <w:rFonts w:asciiTheme="majorHAnsi" w:eastAsiaTheme="majorEastAsia" w:hAnsiTheme="majorHAnsi" w:cstheme="majorBidi"/>
      <w:spacing w:val="-10"/>
      <w:kern w:val="28"/>
      <w:sz w:val="56"/>
      <w:szCs w:val="56"/>
      <w:lang w:val="en-GB"/>
    </w:rPr>
  </w:style>
  <w:style w:type="paragraph" w:styleId="Ondertitel">
    <w:name w:val="Subtitle"/>
    <w:basedOn w:val="Standaard"/>
    <w:next w:val="Standaard"/>
    <w:link w:val="OndertitelChar"/>
    <w:uiPriority w:val="11"/>
    <w:qFormat/>
    <w:rsid w:val="00D70A7E"/>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D70A7E"/>
    <w:rPr>
      <w:rFonts w:eastAsiaTheme="majorEastAsia" w:cstheme="majorBidi"/>
      <w:color w:val="595959" w:themeColor="text1" w:themeTint="A6"/>
      <w:spacing w:val="15"/>
      <w:sz w:val="28"/>
      <w:szCs w:val="28"/>
      <w:lang w:val="en-GB"/>
    </w:rPr>
  </w:style>
  <w:style w:type="paragraph" w:styleId="Citaat">
    <w:name w:val="Quote"/>
    <w:basedOn w:val="Standaard"/>
    <w:next w:val="Standaard"/>
    <w:link w:val="CitaatChar"/>
    <w:uiPriority w:val="29"/>
    <w:qFormat/>
    <w:rsid w:val="00D70A7E"/>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D70A7E"/>
    <w:rPr>
      <w:i/>
      <w:iCs/>
      <w:color w:val="404040" w:themeColor="text1" w:themeTint="BF"/>
      <w:lang w:val="en-GB"/>
    </w:rPr>
  </w:style>
  <w:style w:type="paragraph" w:styleId="Lijstalinea">
    <w:name w:val="List Paragraph"/>
    <w:basedOn w:val="Standaard"/>
    <w:uiPriority w:val="1"/>
    <w:qFormat/>
    <w:rsid w:val="00D462E8"/>
    <w:pPr>
      <w:numPr>
        <w:numId w:val="1"/>
      </w:numPr>
      <w:spacing w:line="360" w:lineRule="auto"/>
      <w:contextualSpacing/>
    </w:pPr>
    <w:rPr>
      <w:rFonts w:eastAsia="Calibri"/>
      <w:color w:val="000000"/>
      <w:sz w:val="18"/>
      <w:szCs w:val="18"/>
      <w:shd w:val="clear" w:color="auto" w:fill="FFFFFF"/>
      <w:lang w:val="nl-NL"/>
    </w:rPr>
  </w:style>
  <w:style w:type="character" w:styleId="Intensievebenadrukking">
    <w:name w:val="Intense Emphasis"/>
    <w:basedOn w:val="Standaardalinea-lettertype"/>
    <w:uiPriority w:val="21"/>
    <w:qFormat/>
    <w:rsid w:val="00D70A7E"/>
    <w:rPr>
      <w:i/>
      <w:iCs/>
      <w:color w:val="0F4761" w:themeColor="accent1" w:themeShade="BF"/>
    </w:rPr>
  </w:style>
  <w:style w:type="paragraph" w:styleId="Duidelijkcitaat">
    <w:name w:val="Intense Quote"/>
    <w:basedOn w:val="Standaard"/>
    <w:next w:val="Standaard"/>
    <w:link w:val="DuidelijkcitaatChar"/>
    <w:uiPriority w:val="30"/>
    <w:qFormat/>
    <w:rsid w:val="00D70A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D70A7E"/>
    <w:rPr>
      <w:i/>
      <w:iCs/>
      <w:color w:val="0F4761" w:themeColor="accent1" w:themeShade="BF"/>
      <w:lang w:val="en-GB"/>
    </w:rPr>
  </w:style>
  <w:style w:type="character" w:styleId="Intensieveverwijzing">
    <w:name w:val="Intense Reference"/>
    <w:basedOn w:val="Standaardalinea-lettertype"/>
    <w:uiPriority w:val="32"/>
    <w:qFormat/>
    <w:rsid w:val="00D70A7E"/>
    <w:rPr>
      <w:b/>
      <w:bCs/>
      <w:smallCaps/>
      <w:color w:val="0F4761" w:themeColor="accent1" w:themeShade="BF"/>
      <w:spacing w:val="5"/>
    </w:rPr>
  </w:style>
  <w:style w:type="table" w:styleId="Tabelraster">
    <w:name w:val="Table Grid"/>
    <w:basedOn w:val="Standaardtabel"/>
    <w:uiPriority w:val="39"/>
    <w:rsid w:val="00D70A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D70A7E"/>
    <w:pPr>
      <w:spacing w:after="200" w:line="240" w:lineRule="auto"/>
    </w:pPr>
    <w:rPr>
      <w:i/>
      <w:iCs/>
      <w:color w:val="0E2841" w:themeColor="text2"/>
      <w:sz w:val="18"/>
      <w:szCs w:val="18"/>
    </w:rPr>
  </w:style>
  <w:style w:type="character" w:styleId="Hyperlink">
    <w:name w:val="Hyperlink"/>
    <w:basedOn w:val="Standaardalinea-lettertype"/>
    <w:uiPriority w:val="99"/>
    <w:unhideWhenUsed/>
    <w:rsid w:val="00D70A7E"/>
    <w:rPr>
      <w:color w:val="467886" w:themeColor="hyperlink"/>
      <w:u w:val="single"/>
    </w:rPr>
  </w:style>
  <w:style w:type="paragraph" w:styleId="Plattetekst">
    <w:name w:val="Body Text"/>
    <w:basedOn w:val="Standaard"/>
    <w:link w:val="PlattetekstChar"/>
    <w:uiPriority w:val="1"/>
    <w:unhideWhenUsed/>
    <w:qFormat/>
    <w:rsid w:val="00D70A7E"/>
    <w:pPr>
      <w:spacing w:after="120"/>
    </w:pPr>
  </w:style>
  <w:style w:type="character" w:customStyle="1" w:styleId="PlattetekstChar">
    <w:name w:val="Platte tekst Char"/>
    <w:basedOn w:val="Standaardalinea-lettertype"/>
    <w:link w:val="Plattetekst"/>
    <w:uiPriority w:val="1"/>
    <w:rsid w:val="00D70A7E"/>
    <w:rPr>
      <w:rFonts w:ascii="Times New Roman" w:hAnsi="Times New Roman" w:cs="Times New Roman"/>
      <w:lang w:val="da-DK"/>
    </w:rPr>
  </w:style>
  <w:style w:type="character" w:styleId="Verwijzingopmerking">
    <w:name w:val="annotation reference"/>
    <w:basedOn w:val="Standaardalinea-lettertype"/>
    <w:uiPriority w:val="99"/>
    <w:semiHidden/>
    <w:unhideWhenUsed/>
    <w:rsid w:val="00D70A7E"/>
    <w:rPr>
      <w:sz w:val="16"/>
      <w:szCs w:val="16"/>
    </w:rPr>
  </w:style>
  <w:style w:type="paragraph" w:styleId="Tekstopmerking">
    <w:name w:val="annotation text"/>
    <w:basedOn w:val="Standaard"/>
    <w:link w:val="TekstopmerkingChar"/>
    <w:uiPriority w:val="99"/>
    <w:unhideWhenUsed/>
    <w:rsid w:val="00D70A7E"/>
    <w:pPr>
      <w:spacing w:line="240" w:lineRule="auto"/>
    </w:pPr>
    <w:rPr>
      <w:sz w:val="20"/>
      <w:szCs w:val="20"/>
    </w:rPr>
  </w:style>
  <w:style w:type="character" w:customStyle="1" w:styleId="TekstopmerkingChar">
    <w:name w:val="Tekst opmerking Char"/>
    <w:basedOn w:val="Standaardalinea-lettertype"/>
    <w:link w:val="Tekstopmerking"/>
    <w:uiPriority w:val="99"/>
    <w:rsid w:val="00D70A7E"/>
    <w:rPr>
      <w:rFonts w:ascii="Times New Roman" w:hAnsi="Times New Roman" w:cs="Times New Roman"/>
      <w:sz w:val="20"/>
      <w:szCs w:val="20"/>
      <w:lang w:val="da-DK"/>
    </w:rPr>
  </w:style>
  <w:style w:type="paragraph" w:styleId="Onderwerpvanopmerking">
    <w:name w:val="annotation subject"/>
    <w:basedOn w:val="Tekstopmerking"/>
    <w:next w:val="Tekstopmerking"/>
    <w:link w:val="OnderwerpvanopmerkingChar"/>
    <w:uiPriority w:val="99"/>
    <w:semiHidden/>
    <w:unhideWhenUsed/>
    <w:rsid w:val="00D70A7E"/>
    <w:rPr>
      <w:b/>
      <w:bCs/>
    </w:rPr>
  </w:style>
  <w:style w:type="character" w:customStyle="1" w:styleId="OnderwerpvanopmerkingChar">
    <w:name w:val="Onderwerp van opmerking Char"/>
    <w:basedOn w:val="TekstopmerkingChar"/>
    <w:link w:val="Onderwerpvanopmerking"/>
    <w:uiPriority w:val="99"/>
    <w:semiHidden/>
    <w:rsid w:val="00D70A7E"/>
    <w:rPr>
      <w:rFonts w:ascii="Times New Roman" w:hAnsi="Times New Roman" w:cs="Times New Roman"/>
      <w:b/>
      <w:bCs/>
      <w:sz w:val="20"/>
      <w:szCs w:val="20"/>
      <w:lang w:val="da-DK"/>
    </w:rPr>
  </w:style>
  <w:style w:type="paragraph" w:customStyle="1" w:styleId="table">
    <w:name w:val="table"/>
    <w:basedOn w:val="Standaard"/>
    <w:uiPriority w:val="1"/>
    <w:qFormat/>
    <w:rsid w:val="00D70A7E"/>
    <w:pPr>
      <w:widowControl w:val="0"/>
      <w:autoSpaceDE w:val="0"/>
      <w:autoSpaceDN w:val="0"/>
      <w:spacing w:before="48" w:line="360" w:lineRule="auto"/>
      <w:ind w:left="79"/>
    </w:pPr>
    <w:rPr>
      <w:rFonts w:eastAsia="Georgia"/>
      <w:w w:val="95"/>
      <w:kern w:val="0"/>
      <w:sz w:val="18"/>
      <w:szCs w:val="18"/>
      <w:lang w:val="en-US"/>
      <w14:ligatures w14:val="none"/>
    </w:rPr>
  </w:style>
  <w:style w:type="paragraph" w:styleId="Koptekst">
    <w:name w:val="header"/>
    <w:basedOn w:val="Standaard"/>
    <w:link w:val="KoptekstChar"/>
    <w:uiPriority w:val="99"/>
    <w:unhideWhenUsed/>
    <w:rsid w:val="00D70A7E"/>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D70A7E"/>
    <w:rPr>
      <w:rFonts w:ascii="Times New Roman" w:hAnsi="Times New Roman" w:cs="Times New Roman"/>
      <w:lang w:val="da-DK"/>
    </w:rPr>
  </w:style>
  <w:style w:type="paragraph" w:styleId="Voettekst">
    <w:name w:val="footer"/>
    <w:basedOn w:val="Standaard"/>
    <w:link w:val="VoettekstChar"/>
    <w:uiPriority w:val="99"/>
    <w:unhideWhenUsed/>
    <w:rsid w:val="00D70A7E"/>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D70A7E"/>
    <w:rPr>
      <w:rFonts w:ascii="Times New Roman" w:hAnsi="Times New Roman" w:cs="Times New Roman"/>
      <w:lang w:val="da-DK"/>
    </w:rPr>
  </w:style>
  <w:style w:type="character" w:styleId="Onopgelostemelding">
    <w:name w:val="Unresolved Mention"/>
    <w:basedOn w:val="Standaardalinea-lettertype"/>
    <w:uiPriority w:val="99"/>
    <w:semiHidden/>
    <w:unhideWhenUsed/>
    <w:rsid w:val="00D70A7E"/>
    <w:rPr>
      <w:color w:val="605E5C"/>
      <w:shd w:val="clear" w:color="auto" w:fill="E1DFDD"/>
    </w:rPr>
  </w:style>
  <w:style w:type="character" w:customStyle="1" w:styleId="apple-converted-space">
    <w:name w:val="apple-converted-space"/>
    <w:basedOn w:val="Standaardalinea-lettertype"/>
    <w:rsid w:val="00D70A7E"/>
  </w:style>
  <w:style w:type="character" w:styleId="Nadruk">
    <w:name w:val="Emphasis"/>
    <w:basedOn w:val="Standaardalinea-lettertype"/>
    <w:uiPriority w:val="20"/>
    <w:qFormat/>
    <w:rsid w:val="00D70A7E"/>
    <w:rPr>
      <w:i/>
      <w:iCs/>
    </w:rPr>
  </w:style>
  <w:style w:type="paragraph" w:styleId="Revisie">
    <w:name w:val="Revision"/>
    <w:hidden/>
    <w:uiPriority w:val="99"/>
    <w:semiHidden/>
    <w:rsid w:val="00D70A7E"/>
    <w:rPr>
      <w:rFonts w:ascii="Times New Roman" w:hAnsi="Times New Roman" w:cs="Times New Roman"/>
      <w:lang w:val="da-DK"/>
    </w:rPr>
  </w:style>
  <w:style w:type="character" w:customStyle="1" w:styleId="anchor-text">
    <w:name w:val="anchor-text"/>
    <w:basedOn w:val="Standaardalinea-lettertype"/>
    <w:rsid w:val="00D70A7E"/>
  </w:style>
  <w:style w:type="character" w:styleId="GevolgdeHyperlink">
    <w:name w:val="FollowedHyperlink"/>
    <w:basedOn w:val="Standaardalinea-lettertype"/>
    <w:uiPriority w:val="99"/>
    <w:semiHidden/>
    <w:unhideWhenUsed/>
    <w:rsid w:val="00D70A7E"/>
    <w:rPr>
      <w:color w:val="96607D" w:themeColor="followedHyperlink"/>
      <w:u w:val="single"/>
    </w:rPr>
  </w:style>
  <w:style w:type="character" w:styleId="Tekstvantijdelijkeaanduiding">
    <w:name w:val="Placeholder Text"/>
    <w:basedOn w:val="Standaardalinea-lettertype"/>
    <w:uiPriority w:val="99"/>
    <w:semiHidden/>
    <w:rsid w:val="00D70A7E"/>
    <w:rPr>
      <w:color w:val="808080"/>
    </w:rPr>
  </w:style>
  <w:style w:type="character" w:styleId="Zwaar">
    <w:name w:val="Strong"/>
    <w:basedOn w:val="Standaardalinea-lettertype"/>
    <w:uiPriority w:val="22"/>
    <w:qFormat/>
    <w:rsid w:val="00D70A7E"/>
    <w:rPr>
      <w:b/>
      <w:bCs/>
    </w:rPr>
  </w:style>
  <w:style w:type="character" w:customStyle="1" w:styleId="citation-title">
    <w:name w:val="citation-title"/>
    <w:basedOn w:val="Standaardalinea-lettertype"/>
    <w:rsid w:val="00D70A7E"/>
  </w:style>
  <w:style w:type="paragraph" w:styleId="Geenafstand">
    <w:name w:val="No Spacing"/>
    <w:uiPriority w:val="1"/>
    <w:qFormat/>
    <w:rsid w:val="00D70A7E"/>
    <w:rPr>
      <w:rFonts w:ascii="Times New Roman" w:hAnsi="Times New Roman" w:cs="Times New Roman"/>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1038/s41598-022-17017-1"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doi.org/10.3389/fneur.2022.989622"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3390/s22030908"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1371/journal.pone.0250100"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9</Pages>
  <Words>1843</Words>
  <Characters>10142</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Felius</dc:creator>
  <cp:keywords/>
  <dc:description/>
  <cp:lastModifiedBy>Richard Felius</cp:lastModifiedBy>
  <cp:revision>4</cp:revision>
  <dcterms:created xsi:type="dcterms:W3CDTF">2024-04-29T09:41:00Z</dcterms:created>
  <dcterms:modified xsi:type="dcterms:W3CDTF">2025-03-28T08:05:00Z</dcterms:modified>
</cp:coreProperties>
</file>