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EEE38" w14:textId="77777777" w:rsidR="005739F6" w:rsidRDefault="005739F6" w:rsidP="005739F6">
      <w:pPr>
        <w:pStyle w:val="AuthorList"/>
        <w:jc w:val="center"/>
        <w:rPr>
          <w:sz w:val="32"/>
          <w:szCs w:val="32"/>
        </w:rPr>
      </w:pPr>
      <w:bookmarkStart w:id="0" w:name="_Hlk106839108"/>
      <w:r w:rsidRPr="00A354E5">
        <w:rPr>
          <w:sz w:val="32"/>
          <w:szCs w:val="32"/>
        </w:rPr>
        <w:t xml:space="preserve">Sodium Valproate </w:t>
      </w:r>
      <w:r w:rsidRPr="00A354E5">
        <w:rPr>
          <w:rFonts w:hint="eastAsia"/>
          <w:sz w:val="32"/>
          <w:szCs w:val="32"/>
        </w:rPr>
        <w:t>Enhanc</w:t>
      </w:r>
      <w:r w:rsidRPr="00A354E5">
        <w:rPr>
          <w:sz w:val="32"/>
          <w:szCs w:val="32"/>
        </w:rPr>
        <w:t xml:space="preserve">es Efficacy of NKG2D CAR-T Cells </w:t>
      </w:r>
      <w:r w:rsidRPr="00A354E5">
        <w:rPr>
          <w:rFonts w:hint="eastAsia"/>
          <w:sz w:val="32"/>
          <w:szCs w:val="32"/>
        </w:rPr>
        <w:t>against</w:t>
      </w:r>
      <w:r w:rsidRPr="00A354E5">
        <w:rPr>
          <w:sz w:val="32"/>
          <w:szCs w:val="32"/>
        </w:rPr>
        <w:t xml:space="preserve"> Glioblastoma</w:t>
      </w:r>
      <w:bookmarkEnd w:id="0"/>
    </w:p>
    <w:p w14:paraId="0EF49FCB" w14:textId="77777777" w:rsidR="005739F6" w:rsidRPr="005739F6" w:rsidRDefault="005739F6" w:rsidP="005739F6">
      <w:pPr>
        <w:rPr>
          <w:lang w:eastAsia="zh-CN"/>
        </w:rPr>
      </w:pPr>
    </w:p>
    <w:p w14:paraId="38A3CA5E" w14:textId="77777777" w:rsidR="005739F6" w:rsidRPr="001549D3" w:rsidRDefault="005739F6" w:rsidP="005739F6">
      <w:pPr>
        <w:pStyle w:val="SupplementaryMaterial"/>
        <w:rPr>
          <w:b w:val="0"/>
        </w:rPr>
      </w:pPr>
      <w:r w:rsidRPr="001549D3">
        <w:t>Supplementary Material</w:t>
      </w:r>
    </w:p>
    <w:p w14:paraId="262BDBBE" w14:textId="77777777" w:rsidR="005739F6" w:rsidRPr="005739F6" w:rsidRDefault="005739F6" w:rsidP="00994A3D">
      <w:pPr>
        <w:jc w:val="both"/>
        <w:rPr>
          <w:rFonts w:cs="Times New Roman"/>
          <w:szCs w:val="24"/>
          <w:lang w:eastAsia="zh-CN"/>
        </w:rPr>
      </w:pPr>
    </w:p>
    <w:p w14:paraId="591EB118" w14:textId="77777777" w:rsidR="005739F6" w:rsidRPr="005739F6" w:rsidRDefault="005739F6" w:rsidP="00994A3D">
      <w:pPr>
        <w:jc w:val="both"/>
        <w:rPr>
          <w:rFonts w:cs="Times New Roman"/>
          <w:szCs w:val="24"/>
          <w:lang w:eastAsia="zh-CN"/>
        </w:rPr>
      </w:pPr>
    </w:p>
    <w:p w14:paraId="6FF85C8E" w14:textId="77777777" w:rsidR="00FF761A" w:rsidRPr="00FF761A" w:rsidRDefault="00FF761A" w:rsidP="00FF761A">
      <w:pPr>
        <w:adjustRightInd w:val="0"/>
        <w:snapToGrid w:val="0"/>
        <w:rPr>
          <w:rFonts w:eastAsia="Times New Roman" w:cs="Times New Roman"/>
          <w:snapToGrid w:val="0"/>
          <w:szCs w:val="24"/>
          <w:lang w:eastAsia="de-DE" w:bidi="en-US"/>
        </w:rPr>
      </w:pPr>
      <w:r w:rsidRPr="00FF761A">
        <w:rPr>
          <w:rFonts w:eastAsia="Times New Roman" w:cs="Times New Roman"/>
          <w:b/>
          <w:snapToGrid w:val="0"/>
          <w:szCs w:val="24"/>
          <w:lang w:eastAsia="de-DE" w:bidi="en-US"/>
        </w:rPr>
        <w:t>Table 1.</w:t>
      </w:r>
      <w:r w:rsidRPr="00FF761A">
        <w:rPr>
          <w:rFonts w:eastAsia="Times New Roman" w:cs="Times New Roman"/>
          <w:snapToGrid w:val="0"/>
          <w:szCs w:val="24"/>
          <w:lang w:eastAsia="de-DE" w:bidi="en-US"/>
        </w:rPr>
        <w:t xml:space="preserve"> Primers for quantitative RT-PCR.</w:t>
      </w:r>
    </w:p>
    <w:tbl>
      <w:tblPr>
        <w:tblW w:w="10117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253"/>
        <w:gridCol w:w="4163"/>
      </w:tblGrid>
      <w:tr w:rsidR="00FF761A" w:rsidRPr="00FF761A" w14:paraId="27CBADC7" w14:textId="77777777" w:rsidTr="00FF761A">
        <w:trPr>
          <w:trHeight w:val="203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03A63A" w14:textId="77777777" w:rsidR="00FF761A" w:rsidRPr="00FF761A" w:rsidRDefault="00FF761A" w:rsidP="00FF761A">
            <w:pPr>
              <w:adjustRightInd w:val="0"/>
              <w:snapToGrid w:val="0"/>
              <w:rPr>
                <w:rFonts w:eastAsia="Times New Roman" w:cs="Times New Roman"/>
                <w:b/>
                <w:snapToGrid w:val="0"/>
                <w:szCs w:val="24"/>
                <w:lang w:eastAsia="de-DE" w:bidi="en-US"/>
              </w:rPr>
            </w:pPr>
            <w:r w:rsidRPr="00FF761A">
              <w:rPr>
                <w:rFonts w:eastAsia="Times New Roman" w:cs="Times New Roman"/>
                <w:b/>
                <w:snapToGrid w:val="0"/>
                <w:szCs w:val="24"/>
                <w:lang w:eastAsia="de-DE" w:bidi="en-US"/>
              </w:rPr>
              <w:t>Genes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0CD59C" w14:textId="77777777" w:rsidR="00FF761A" w:rsidRPr="00FF761A" w:rsidRDefault="00FF761A" w:rsidP="00FF761A">
            <w:pPr>
              <w:adjustRightInd w:val="0"/>
              <w:snapToGrid w:val="0"/>
              <w:rPr>
                <w:rFonts w:eastAsia="Times New Roman" w:cs="Times New Roman"/>
                <w:b/>
                <w:snapToGrid w:val="0"/>
                <w:szCs w:val="24"/>
                <w:lang w:eastAsia="de-DE" w:bidi="en-US"/>
              </w:rPr>
            </w:pPr>
            <w:r w:rsidRPr="00FF761A">
              <w:rPr>
                <w:rFonts w:cs="Times New Roman"/>
                <w:b/>
                <w:szCs w:val="24"/>
              </w:rPr>
              <w:t>Forward (5</w:t>
            </w:r>
            <w:r w:rsidRPr="00FF761A">
              <w:rPr>
                <w:rFonts w:cs="Times New Roman"/>
                <w:b/>
                <w:szCs w:val="24"/>
              </w:rPr>
              <w:sym w:font="Symbol" w:char="F0A2"/>
            </w:r>
            <w:r w:rsidRPr="00FF761A">
              <w:rPr>
                <w:rFonts w:cs="Times New Roman"/>
                <w:b/>
                <w:szCs w:val="24"/>
              </w:rPr>
              <w:t xml:space="preserve"> -3</w:t>
            </w:r>
            <w:r w:rsidRPr="00FF761A">
              <w:rPr>
                <w:rFonts w:cs="Times New Roman"/>
                <w:b/>
                <w:szCs w:val="24"/>
              </w:rPr>
              <w:sym w:font="Symbol" w:char="F0A2"/>
            </w:r>
            <w:r w:rsidRPr="00FF761A">
              <w:rPr>
                <w:rFonts w:cs="Times New Roman"/>
                <w:b/>
                <w:szCs w:val="24"/>
              </w:rPr>
              <w:t xml:space="preserve"> )</w:t>
            </w:r>
          </w:p>
        </w:tc>
        <w:tc>
          <w:tcPr>
            <w:tcW w:w="416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6BBA03" w14:textId="77777777" w:rsidR="00FF761A" w:rsidRPr="00FF761A" w:rsidRDefault="00FF761A" w:rsidP="00FF761A">
            <w:pPr>
              <w:adjustRightInd w:val="0"/>
              <w:snapToGrid w:val="0"/>
              <w:rPr>
                <w:rFonts w:eastAsia="Times New Roman" w:cs="Times New Roman"/>
                <w:b/>
                <w:snapToGrid w:val="0"/>
                <w:szCs w:val="24"/>
                <w:lang w:eastAsia="de-DE" w:bidi="en-US"/>
              </w:rPr>
            </w:pPr>
            <w:r w:rsidRPr="00FF761A">
              <w:rPr>
                <w:rFonts w:cs="Times New Roman"/>
                <w:b/>
                <w:szCs w:val="24"/>
              </w:rPr>
              <w:t>Reverse (5</w:t>
            </w:r>
            <w:r w:rsidRPr="00FF761A">
              <w:rPr>
                <w:rFonts w:cs="Times New Roman"/>
                <w:b/>
                <w:szCs w:val="24"/>
              </w:rPr>
              <w:sym w:font="Symbol" w:char="F0A2"/>
            </w:r>
            <w:r w:rsidRPr="00FF761A">
              <w:rPr>
                <w:rFonts w:cs="Times New Roman"/>
                <w:b/>
                <w:szCs w:val="24"/>
              </w:rPr>
              <w:t xml:space="preserve"> -3</w:t>
            </w:r>
            <w:r w:rsidRPr="00FF761A">
              <w:rPr>
                <w:rFonts w:cs="Times New Roman"/>
                <w:b/>
                <w:szCs w:val="24"/>
              </w:rPr>
              <w:sym w:font="Symbol" w:char="F0A2"/>
            </w:r>
            <w:r w:rsidRPr="00FF761A">
              <w:rPr>
                <w:rFonts w:cs="Times New Roman"/>
                <w:b/>
                <w:szCs w:val="24"/>
              </w:rPr>
              <w:t xml:space="preserve"> )</w:t>
            </w:r>
          </w:p>
        </w:tc>
      </w:tr>
      <w:tr w:rsidR="00FF761A" w:rsidRPr="00FF761A" w14:paraId="4D0F2EF1" w14:textId="77777777" w:rsidTr="00FF761A">
        <w:trPr>
          <w:trHeight w:val="26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D676F8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GAPDH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9EF376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GAGTCAACGGATTTGGTCGT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EF013C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GATCTCGCTCCTGGAAGATG</w:t>
            </w:r>
          </w:p>
        </w:tc>
      </w:tr>
      <w:tr w:rsidR="00FF761A" w:rsidRPr="00FF761A" w14:paraId="5E0BECBA" w14:textId="77777777" w:rsidTr="00FF761A">
        <w:trPr>
          <w:trHeight w:val="27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88ACB7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MICA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56C82A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ATCTTCCCTTTTGCACCTCC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49CB60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AACCCTGACTGCACAGATCC</w:t>
            </w:r>
          </w:p>
        </w:tc>
      </w:tr>
      <w:tr w:rsidR="00FF761A" w:rsidRPr="00FF761A" w14:paraId="071B2E4E" w14:textId="77777777" w:rsidTr="00FF761A">
        <w:trPr>
          <w:trHeight w:val="27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A858705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MICB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3F99906D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CTGCTGTTTCTGGCCGTC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14:paraId="014675A0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ACAGATCCATCCTGGGACAG</w:t>
            </w:r>
          </w:p>
        </w:tc>
      </w:tr>
      <w:tr w:rsidR="00FF761A" w:rsidRPr="00FF761A" w14:paraId="723BE119" w14:textId="77777777" w:rsidTr="00FF761A">
        <w:trPr>
          <w:trHeight w:val="32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8CC1C23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ULBP1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096039BB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ACTGTGTTAACCACAAGGCCA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14:paraId="4B936FFC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CAGGGTGAGGGGCTCAATG</w:t>
            </w:r>
          </w:p>
        </w:tc>
      </w:tr>
      <w:tr w:rsidR="00FF761A" w:rsidRPr="00FF761A" w14:paraId="1B3F78E7" w14:textId="77777777" w:rsidTr="00FF761A">
        <w:trPr>
          <w:trHeight w:val="27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E377204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ULBP2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301E000F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TCATCTTCCAGGCTCTCCTTC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14:paraId="09F51BFD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AAAGAGAGTGAGGGTCGGC</w:t>
            </w:r>
          </w:p>
        </w:tc>
      </w:tr>
      <w:tr w:rsidR="00FF761A" w:rsidRPr="00FF761A" w14:paraId="3C841F25" w14:textId="77777777" w:rsidTr="00FF761A">
        <w:trPr>
          <w:trHeight w:val="23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0DEE09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ULBP3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4A71D158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AGGAAGAAGAGGCTGGAACC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14:paraId="0B790366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CTATGGCTTTGGGTTGAGCTA</w:t>
            </w:r>
          </w:p>
        </w:tc>
      </w:tr>
      <w:tr w:rsidR="00FF761A" w:rsidRPr="00FF761A" w14:paraId="24665EED" w14:textId="77777777" w:rsidTr="00FF761A">
        <w:trPr>
          <w:trHeight w:val="21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3ABA609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ULBP4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B0D67B5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CAGAACCGACAGTGTCACCA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14:paraId="2C506CB0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TGCCACCAGACACAGATGAG</w:t>
            </w:r>
          </w:p>
        </w:tc>
      </w:tr>
      <w:tr w:rsidR="00FF761A" w:rsidRPr="00FF761A" w14:paraId="701CEFB1" w14:textId="77777777" w:rsidTr="00FF761A">
        <w:trPr>
          <w:trHeight w:val="27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6546C6A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ULBP5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FCFC877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ATCCAACTCCCCAATGGCAG</w:t>
            </w: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14:paraId="114A72A5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CAAAGAGAGTGAGGGTCGGC</w:t>
            </w:r>
          </w:p>
        </w:tc>
      </w:tr>
      <w:tr w:rsidR="00FF761A" w:rsidRPr="00FF761A" w14:paraId="2D89A164" w14:textId="77777777" w:rsidTr="00FF761A">
        <w:trPr>
          <w:trHeight w:val="288"/>
        </w:trPr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1244BA5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ULBP6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876B39D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ACATCACCGTCATCCCTAAGT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CD54A21" w14:textId="77777777" w:rsidR="00FF761A" w:rsidRPr="00FF761A" w:rsidRDefault="00FF761A" w:rsidP="00FF761A">
            <w:pPr>
              <w:rPr>
                <w:rFonts w:cs="Times New Roman"/>
                <w:szCs w:val="24"/>
              </w:rPr>
            </w:pPr>
            <w:r w:rsidRPr="00FF761A">
              <w:rPr>
                <w:rFonts w:cs="Times New Roman"/>
                <w:szCs w:val="24"/>
              </w:rPr>
              <w:t>GTCTTGTTGCCACAGTCATAGT</w:t>
            </w:r>
          </w:p>
        </w:tc>
      </w:tr>
    </w:tbl>
    <w:p w14:paraId="4EDEFDAC" w14:textId="77777777" w:rsidR="00FF761A" w:rsidRDefault="00FF761A" w:rsidP="00994A3D">
      <w:pPr>
        <w:jc w:val="both"/>
        <w:rPr>
          <w:rFonts w:cs="Times New Roman"/>
          <w:szCs w:val="24"/>
          <w:lang w:eastAsia="zh-CN"/>
        </w:rPr>
      </w:pPr>
    </w:p>
    <w:p w14:paraId="0534E187" w14:textId="77777777" w:rsidR="00FF761A" w:rsidRPr="00994A3D" w:rsidRDefault="00FF761A" w:rsidP="00994A3D">
      <w:pPr>
        <w:jc w:val="both"/>
        <w:rPr>
          <w:rFonts w:cs="Times New Roman"/>
          <w:szCs w:val="24"/>
          <w:lang w:eastAsia="zh-CN"/>
        </w:rPr>
      </w:pP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72CB5ADE" w:rsidR="00994A3D" w:rsidRPr="001549D3" w:rsidRDefault="00732A6E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B8B4410" wp14:editId="40A9DCA7">
            <wp:extent cx="4671637" cy="5335326"/>
            <wp:effectExtent l="0" t="0" r="0" b="0"/>
            <wp:docPr id="1553525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441" cy="534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73F505B5" w:rsidR="00994A3D" w:rsidRPr="002B4A57" w:rsidRDefault="00994A3D" w:rsidP="00052038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F64F15">
        <w:rPr>
          <w:rFonts w:cs="Times New Roman" w:hint="eastAsia"/>
          <w:b/>
          <w:szCs w:val="24"/>
          <w:lang w:eastAsia="zh-CN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F64F15" w:rsidRPr="00F64F15">
        <w:rPr>
          <w:rFonts w:cs="Times New Roman" w:hint="eastAsia"/>
          <w:b/>
          <w:bCs/>
          <w:color w:val="000000"/>
          <w:szCs w:val="24"/>
          <w:lang w:bidi="en-US"/>
        </w:rPr>
        <w:t xml:space="preserve">The </w:t>
      </w:r>
      <w:r w:rsidR="00F64F15" w:rsidRPr="00F64F15">
        <w:rPr>
          <w:rFonts w:cs="Times New Roman"/>
          <w:b/>
          <w:bCs/>
          <w:color w:val="000000"/>
          <w:szCs w:val="24"/>
          <w:lang w:bidi="en-US"/>
        </w:rPr>
        <w:t>combination</w:t>
      </w:r>
      <w:r w:rsidR="00F64F15" w:rsidRPr="00F64F15">
        <w:rPr>
          <w:rFonts w:cs="Times New Roman" w:hint="eastAsia"/>
          <w:b/>
          <w:bCs/>
          <w:color w:val="000000"/>
          <w:szCs w:val="24"/>
          <w:lang w:bidi="en-US"/>
        </w:rPr>
        <w:t xml:space="preserve"> of </w:t>
      </w:r>
      <w:r w:rsidR="00F64F15" w:rsidRPr="00F64F15">
        <w:rPr>
          <w:rFonts w:eastAsia="Times New Roman" w:cs="Times New Roman" w:hint="eastAsia"/>
          <w:b/>
          <w:bCs/>
          <w:color w:val="000000"/>
          <w:szCs w:val="24"/>
          <w:lang w:eastAsia="de-DE" w:bidi="en-US"/>
        </w:rPr>
        <w:t>VPA</w:t>
      </w:r>
      <w:r w:rsidR="00F64F15" w:rsidRPr="00F64F15">
        <w:rPr>
          <w:rFonts w:cs="Times New Roman" w:hint="eastAsia"/>
          <w:b/>
          <w:bCs/>
          <w:color w:val="000000"/>
          <w:szCs w:val="24"/>
          <w:lang w:bidi="en-US"/>
        </w:rPr>
        <w:t xml:space="preserve"> and NKG2D CAR-T cells for the treatment of glioblastoma</w:t>
      </w:r>
      <w:r w:rsidR="00F64F15" w:rsidRPr="00F64F15">
        <w:rPr>
          <w:rFonts w:eastAsia="Times New Roman" w:cs="Times New Roman" w:hint="eastAsia"/>
          <w:b/>
          <w:bCs/>
          <w:color w:val="000000"/>
          <w:szCs w:val="24"/>
          <w:lang w:eastAsia="de-DE" w:bidi="en-US"/>
        </w:rPr>
        <w:t xml:space="preserve"> in vivo.</w:t>
      </w:r>
      <w:r w:rsidR="00F64F15" w:rsidRPr="00F64F15">
        <w:rPr>
          <w:rFonts w:cs="Times New Roman" w:hint="eastAsia"/>
          <w:b/>
          <w:bCs/>
          <w:color w:val="000000"/>
          <w:szCs w:val="24"/>
          <w:lang w:bidi="en-US"/>
        </w:rPr>
        <w:t xml:space="preserve"> (</w:t>
      </w:r>
      <w:r w:rsidR="00F64F15" w:rsidRPr="00F64F15">
        <w:rPr>
          <w:rFonts w:eastAsia="Times New Roman" w:cs="Times New Roman"/>
          <w:b/>
          <w:bCs/>
          <w:color w:val="000000"/>
          <w:szCs w:val="24"/>
          <w:lang w:eastAsia="de-DE" w:bidi="en-US"/>
        </w:rPr>
        <w:t>A</w:t>
      </w:r>
      <w:r w:rsidR="00F64F15" w:rsidRPr="00F64F15">
        <w:rPr>
          <w:rFonts w:cs="Times New Roman" w:hint="eastAsia"/>
          <w:b/>
          <w:bCs/>
          <w:color w:val="000000"/>
          <w:szCs w:val="24"/>
          <w:lang w:bidi="en-US"/>
        </w:rPr>
        <w:t>)</w:t>
      </w:r>
      <w:r w:rsidR="00F64F15" w:rsidRPr="00F64F15">
        <w:rPr>
          <w:rFonts w:eastAsia="Times New Roman" w:cs="Times New Roman"/>
          <w:b/>
          <w:bCs/>
          <w:color w:val="000000"/>
          <w:szCs w:val="24"/>
          <w:lang w:eastAsia="de-DE" w:bidi="en-US"/>
        </w:rPr>
        <w:t xml:space="preserve"> </w:t>
      </w:r>
      <w:r w:rsidR="00F64F15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>Schematics of the U251 glioblastoma xenograft model for VPA monotherapy. B-NDG mice were injected with 2×10</w:t>
      </w:r>
      <w:r w:rsidR="00F64F15" w:rsidRPr="00F64F15">
        <w:rPr>
          <w:rFonts w:eastAsia="Times New Roman" w:cs="Times New Roman" w:hint="eastAsia"/>
          <w:color w:val="000000"/>
          <w:szCs w:val="24"/>
          <w:vertAlign w:val="superscript"/>
          <w:lang w:eastAsia="de-DE" w:bidi="en-US"/>
        </w:rPr>
        <w:t>6</w:t>
      </w:r>
      <w:r w:rsidR="00F64F15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 xml:space="preserve"> U251 cells via the subcutaneous injection. Then B-NDG mice were treated with VPA via the tail vein, 100 mg/kg or saline every two days for 4 times (</w:t>
      </w:r>
      <w:r w:rsidR="00F64F15" w:rsidRPr="00194E0A">
        <w:rPr>
          <w:rFonts w:eastAsia="Times New Roman" w:cs="Times New Roman" w:hint="eastAsia"/>
          <w:i/>
          <w:iCs/>
          <w:color w:val="000000"/>
          <w:szCs w:val="24"/>
          <w:lang w:eastAsia="de-DE" w:bidi="en-US"/>
        </w:rPr>
        <w:t>n</w:t>
      </w:r>
      <w:r w:rsidR="00194E0A">
        <w:rPr>
          <w:rFonts w:cs="Times New Roman" w:hint="eastAsia"/>
          <w:i/>
          <w:iCs/>
          <w:color w:val="000000"/>
          <w:szCs w:val="24"/>
          <w:lang w:eastAsia="zh-CN" w:bidi="en-US"/>
        </w:rPr>
        <w:t xml:space="preserve"> </w:t>
      </w:r>
      <w:r w:rsidR="00F64F15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>=</w:t>
      </w:r>
      <w:r w:rsidR="00194E0A">
        <w:rPr>
          <w:rFonts w:cs="Times New Roman" w:hint="eastAsia"/>
          <w:color w:val="000000"/>
          <w:szCs w:val="24"/>
          <w:lang w:eastAsia="zh-CN" w:bidi="en-US"/>
        </w:rPr>
        <w:t xml:space="preserve"> </w:t>
      </w:r>
      <w:r w:rsidR="00F64F15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 xml:space="preserve">3). </w:t>
      </w:r>
      <w:r w:rsidR="00F64F15" w:rsidRPr="00F64F15">
        <w:rPr>
          <w:rFonts w:cs="Times New Roman" w:hint="eastAsia"/>
          <w:b/>
          <w:bCs/>
          <w:color w:val="000000"/>
          <w:szCs w:val="24"/>
          <w:lang w:bidi="en-US"/>
        </w:rPr>
        <w:t>(</w:t>
      </w:r>
      <w:r w:rsidR="00F64F15" w:rsidRPr="00F64F15">
        <w:rPr>
          <w:rFonts w:eastAsia="Times New Roman" w:cs="Times New Roman"/>
          <w:b/>
          <w:bCs/>
          <w:color w:val="000000"/>
          <w:szCs w:val="24"/>
          <w:lang w:eastAsia="de-DE" w:bidi="en-US"/>
        </w:rPr>
        <w:t>B</w:t>
      </w:r>
      <w:r w:rsidR="00F64F15" w:rsidRPr="00F64F15">
        <w:rPr>
          <w:rFonts w:cs="Times New Roman" w:hint="eastAsia"/>
          <w:b/>
          <w:bCs/>
          <w:color w:val="000000"/>
          <w:szCs w:val="24"/>
          <w:lang w:bidi="en-US"/>
        </w:rPr>
        <w:t>)</w:t>
      </w:r>
      <w:r w:rsidR="00F64F15" w:rsidRPr="00F64F15">
        <w:rPr>
          <w:rFonts w:eastAsia="Times New Roman" w:cs="Times New Roman"/>
          <w:b/>
          <w:bCs/>
          <w:color w:val="000000"/>
          <w:szCs w:val="24"/>
          <w:lang w:eastAsia="de-DE" w:bidi="en-US"/>
        </w:rPr>
        <w:t xml:space="preserve"> </w:t>
      </w:r>
      <w:r w:rsidR="00F64F15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 xml:space="preserve">Effect VPA treatment on the tumor growth of U251 xenograft models. </w:t>
      </w:r>
      <w:r w:rsidR="00F64F15" w:rsidRPr="00F64F15">
        <w:rPr>
          <w:rFonts w:cs="Times New Roman" w:hint="eastAsia"/>
          <w:b/>
          <w:bCs/>
          <w:color w:val="000000"/>
          <w:szCs w:val="24"/>
          <w:lang w:bidi="en-US"/>
        </w:rPr>
        <w:t>(</w:t>
      </w:r>
      <w:r w:rsidR="00F64F15" w:rsidRPr="00F64F15">
        <w:rPr>
          <w:rFonts w:eastAsia="Times New Roman" w:cs="Times New Roman"/>
          <w:b/>
          <w:bCs/>
          <w:color w:val="000000"/>
          <w:szCs w:val="24"/>
          <w:lang w:eastAsia="de-DE" w:bidi="en-US"/>
        </w:rPr>
        <w:t>C</w:t>
      </w:r>
      <w:r w:rsidR="00F64F15" w:rsidRPr="00F64F15">
        <w:rPr>
          <w:rFonts w:cs="Times New Roman" w:hint="eastAsia"/>
          <w:b/>
          <w:bCs/>
          <w:color w:val="000000"/>
          <w:szCs w:val="24"/>
          <w:lang w:bidi="en-US"/>
        </w:rPr>
        <w:t>)</w:t>
      </w:r>
      <w:r w:rsidR="00F64F15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 xml:space="preserve"> Image of the xenograft tumors from different groups. </w:t>
      </w:r>
      <w:r w:rsidR="00F64F15" w:rsidRPr="00F64F15">
        <w:rPr>
          <w:rFonts w:cs="Times New Roman" w:hint="eastAsia"/>
          <w:b/>
          <w:bCs/>
          <w:color w:val="000000"/>
          <w:szCs w:val="24"/>
          <w:lang w:bidi="en-US"/>
        </w:rPr>
        <w:t>(</w:t>
      </w:r>
      <w:r w:rsidR="00F64F15" w:rsidRPr="00F64F15">
        <w:rPr>
          <w:rFonts w:eastAsia="Times New Roman" w:cs="Times New Roman"/>
          <w:b/>
          <w:bCs/>
          <w:color w:val="000000"/>
          <w:szCs w:val="24"/>
          <w:lang w:eastAsia="de-DE" w:bidi="en-US"/>
        </w:rPr>
        <w:t>D</w:t>
      </w:r>
      <w:r w:rsidR="00F64F15" w:rsidRPr="00F64F15">
        <w:rPr>
          <w:rFonts w:cs="Times New Roman" w:hint="eastAsia"/>
          <w:b/>
          <w:bCs/>
          <w:color w:val="000000"/>
          <w:szCs w:val="24"/>
          <w:lang w:bidi="en-US"/>
        </w:rPr>
        <w:t>)</w:t>
      </w:r>
      <w:r w:rsidR="00F64F15" w:rsidRPr="00F64F15">
        <w:rPr>
          <w:rFonts w:eastAsia="Times New Roman" w:cs="Times New Roman"/>
          <w:b/>
          <w:bCs/>
          <w:color w:val="000000"/>
          <w:szCs w:val="24"/>
          <w:lang w:eastAsia="de-DE" w:bidi="en-US"/>
        </w:rPr>
        <w:t xml:space="preserve"> </w:t>
      </w:r>
      <w:r w:rsidR="00F64F15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>Tumor weight of the xenograft tumors from different groups</w:t>
      </w:r>
      <w:r w:rsidR="00F64F15" w:rsidRPr="00F64F15">
        <w:rPr>
          <w:rFonts w:cs="Times New Roman" w:hint="eastAsia"/>
          <w:color w:val="000000"/>
          <w:szCs w:val="24"/>
          <w:lang w:bidi="en-US"/>
        </w:rPr>
        <w:t xml:space="preserve"> (</w:t>
      </w:r>
      <w:r w:rsidR="00F64F15" w:rsidRPr="0044541D">
        <w:rPr>
          <w:rFonts w:cs="Times New Roman" w:hint="eastAsia"/>
          <w:i/>
          <w:iCs/>
          <w:color w:val="000000"/>
          <w:szCs w:val="24"/>
          <w:lang w:bidi="en-US"/>
        </w:rPr>
        <w:t>n</w:t>
      </w:r>
      <w:r w:rsidR="0044541D">
        <w:rPr>
          <w:rFonts w:cs="Times New Roman" w:hint="eastAsia"/>
          <w:color w:val="000000"/>
          <w:szCs w:val="24"/>
          <w:lang w:eastAsia="zh-CN" w:bidi="en-US"/>
        </w:rPr>
        <w:t xml:space="preserve"> </w:t>
      </w:r>
      <w:r w:rsidR="00F64F15" w:rsidRPr="00F64F15">
        <w:rPr>
          <w:rFonts w:cs="Times New Roman" w:hint="eastAsia"/>
          <w:color w:val="000000"/>
          <w:szCs w:val="24"/>
          <w:lang w:bidi="en-US"/>
        </w:rPr>
        <w:t>=</w:t>
      </w:r>
      <w:r w:rsidR="0044541D">
        <w:rPr>
          <w:rFonts w:cs="Times New Roman" w:hint="eastAsia"/>
          <w:color w:val="000000"/>
          <w:szCs w:val="24"/>
          <w:lang w:eastAsia="zh-CN" w:bidi="en-US"/>
        </w:rPr>
        <w:t xml:space="preserve"> </w:t>
      </w:r>
      <w:r w:rsidR="00F64F15" w:rsidRPr="00F64F15">
        <w:rPr>
          <w:rFonts w:cs="Times New Roman" w:hint="eastAsia"/>
          <w:color w:val="000000"/>
          <w:szCs w:val="24"/>
          <w:lang w:bidi="en-US"/>
        </w:rPr>
        <w:t>4)</w:t>
      </w:r>
      <w:r w:rsidR="00F64F15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>.</w:t>
      </w:r>
      <w:r w:rsidR="00473B50" w:rsidRPr="00473B50">
        <w:rPr>
          <w:rFonts w:eastAsia="Times New Roman" w:cs="Times New Roman" w:hint="eastAsia"/>
          <w:color w:val="000000"/>
          <w:szCs w:val="24"/>
          <w:lang w:eastAsia="de-DE" w:bidi="en-US"/>
        </w:rPr>
        <w:t xml:space="preserve"> </w:t>
      </w:r>
      <w:r w:rsidR="00473B50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 xml:space="preserve">Statistical significance was calculated using one way ANOVA (ns, </w:t>
      </w:r>
      <w:r w:rsidR="00473B50" w:rsidRPr="00F64F15">
        <w:rPr>
          <w:rFonts w:eastAsia="Times New Roman" w:cs="Times New Roman" w:hint="eastAsia"/>
          <w:i/>
          <w:iCs/>
          <w:color w:val="000000"/>
          <w:szCs w:val="24"/>
          <w:lang w:eastAsia="de-DE" w:bidi="en-US"/>
        </w:rPr>
        <w:t xml:space="preserve">P </w:t>
      </w:r>
      <w:r w:rsidR="00473B50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>&gt; 0.05, *</w:t>
      </w:r>
      <w:r w:rsidR="00473B50" w:rsidRPr="00F64F15">
        <w:rPr>
          <w:rFonts w:eastAsia="Times New Roman" w:cs="Times New Roman" w:hint="eastAsia"/>
          <w:i/>
          <w:iCs/>
          <w:color w:val="000000"/>
          <w:szCs w:val="24"/>
          <w:lang w:eastAsia="de-DE" w:bidi="en-US"/>
        </w:rPr>
        <w:t xml:space="preserve">P </w:t>
      </w:r>
      <w:r w:rsidR="00473B50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>≤ 0.05, **</w:t>
      </w:r>
      <w:r w:rsidR="00473B50" w:rsidRPr="00F64F15">
        <w:rPr>
          <w:rFonts w:eastAsia="Times New Roman" w:cs="Times New Roman" w:hint="eastAsia"/>
          <w:i/>
          <w:iCs/>
          <w:color w:val="000000"/>
          <w:szCs w:val="24"/>
          <w:lang w:eastAsia="de-DE" w:bidi="en-US"/>
        </w:rPr>
        <w:t>P</w:t>
      </w:r>
      <w:r w:rsidR="00473B50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 xml:space="preserve"> ≤ 0.01, </w:t>
      </w:r>
      <w:r w:rsidR="00473B50" w:rsidRPr="00F64F15">
        <w:rPr>
          <w:rFonts w:eastAsia="Times New Roman" w:cs="Times New Roman" w:hint="eastAsia"/>
          <w:i/>
          <w:iCs/>
          <w:color w:val="000000"/>
          <w:szCs w:val="24"/>
          <w:lang w:eastAsia="de-DE" w:bidi="en-US"/>
        </w:rPr>
        <w:t xml:space="preserve">***P </w:t>
      </w:r>
      <w:r w:rsidR="00473B50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>≤ 0.001).</w:t>
      </w:r>
      <w:r w:rsidR="00473B50" w:rsidRPr="00F64F15">
        <w:rPr>
          <w:rFonts w:cs="Times New Roman" w:hint="eastAsia"/>
          <w:color w:val="000000"/>
          <w:szCs w:val="24"/>
          <w:lang w:eastAsia="zh-CN" w:bidi="en-US"/>
        </w:rPr>
        <w:t xml:space="preserve"> </w:t>
      </w:r>
      <w:r w:rsidR="00F64F15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 xml:space="preserve"> </w:t>
      </w:r>
      <w:r w:rsidR="00F64F15" w:rsidRPr="00F64F15">
        <w:rPr>
          <w:rFonts w:cs="Times New Roman" w:hint="eastAsia"/>
          <w:b/>
          <w:bCs/>
          <w:color w:val="000000"/>
          <w:szCs w:val="24"/>
          <w:lang w:bidi="en-US"/>
        </w:rPr>
        <w:t>(</w:t>
      </w:r>
      <w:r w:rsidR="00F64F15" w:rsidRPr="00F64F15">
        <w:rPr>
          <w:rFonts w:eastAsia="Times New Roman" w:cs="Times New Roman"/>
          <w:b/>
          <w:bCs/>
          <w:color w:val="000000"/>
          <w:szCs w:val="24"/>
          <w:lang w:eastAsia="de-DE" w:bidi="en-US"/>
        </w:rPr>
        <w:t>E</w:t>
      </w:r>
      <w:r w:rsidR="00F64F15" w:rsidRPr="00F64F15">
        <w:rPr>
          <w:rFonts w:cs="Times New Roman" w:hint="eastAsia"/>
          <w:b/>
          <w:bCs/>
          <w:color w:val="000000"/>
          <w:szCs w:val="24"/>
          <w:lang w:bidi="en-US"/>
        </w:rPr>
        <w:t>)</w:t>
      </w:r>
      <w:r w:rsidR="00F64F15" w:rsidRPr="00F64F15">
        <w:rPr>
          <w:rFonts w:eastAsia="Times New Roman" w:cs="Times New Roman"/>
          <w:b/>
          <w:bCs/>
          <w:color w:val="000000"/>
          <w:szCs w:val="24"/>
          <w:lang w:eastAsia="de-DE" w:bidi="en-US"/>
        </w:rPr>
        <w:t xml:space="preserve"> </w:t>
      </w:r>
      <w:r w:rsidR="00F64F15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>Representative flow cytometry plots of the percentage of human CD45</w:t>
      </w:r>
      <w:r w:rsidR="00F64F15" w:rsidRPr="00F64F15">
        <w:rPr>
          <w:rFonts w:eastAsia="Times New Roman" w:cs="Times New Roman" w:hint="eastAsia"/>
          <w:color w:val="000000"/>
          <w:szCs w:val="24"/>
          <w:vertAlign w:val="superscript"/>
          <w:lang w:eastAsia="de-DE" w:bidi="en-US"/>
        </w:rPr>
        <w:t xml:space="preserve">+ </w:t>
      </w:r>
      <w:r w:rsidR="00F64F15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>CD3</w:t>
      </w:r>
      <w:r w:rsidR="00F64F15" w:rsidRPr="00F64F15">
        <w:rPr>
          <w:rFonts w:eastAsia="Times New Roman" w:cs="Times New Roman" w:hint="eastAsia"/>
          <w:color w:val="000000"/>
          <w:szCs w:val="24"/>
          <w:vertAlign w:val="superscript"/>
          <w:lang w:eastAsia="de-DE" w:bidi="en-US"/>
        </w:rPr>
        <w:t>+</w:t>
      </w:r>
      <w:r w:rsidR="00F64F15" w:rsidRPr="00F64F15">
        <w:rPr>
          <w:rFonts w:eastAsia="Times New Roman" w:cs="Times New Roman" w:hint="eastAsia"/>
          <w:color w:val="000000"/>
          <w:szCs w:val="24"/>
          <w:lang w:eastAsia="de-DE" w:bidi="en-US"/>
        </w:rPr>
        <w:t xml:space="preserve"> T in tumor tissues form different groups</w:t>
      </w:r>
      <w:r w:rsidR="00F64F15" w:rsidRPr="00F64F15">
        <w:rPr>
          <w:rFonts w:eastAsia="Times New Roman" w:cs="Times New Roman" w:hint="eastAsia"/>
          <w:b/>
          <w:bCs/>
          <w:color w:val="000000"/>
          <w:szCs w:val="24"/>
          <w:lang w:eastAsia="de-DE" w:bidi="en-US"/>
        </w:rPr>
        <w:t xml:space="preserve">. 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25B685" w14:textId="77777777" w:rsidR="00CC3D2C" w:rsidRDefault="00CC3D2C" w:rsidP="00117666">
      <w:pPr>
        <w:spacing w:after="0"/>
      </w:pPr>
      <w:r>
        <w:separator/>
      </w:r>
    </w:p>
  </w:endnote>
  <w:endnote w:type="continuationSeparator" w:id="0">
    <w:p w14:paraId="3C0F0B61" w14:textId="77777777" w:rsidR="00CC3D2C" w:rsidRDefault="00CC3D2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1E333F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1E333F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1E333F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1E333F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AEEF9" w14:textId="77777777" w:rsidR="00CC3D2C" w:rsidRDefault="00CC3D2C" w:rsidP="00117666">
      <w:pPr>
        <w:spacing w:after="0"/>
      </w:pPr>
      <w:r>
        <w:separator/>
      </w:r>
    </w:p>
  </w:footnote>
  <w:footnote w:type="continuationSeparator" w:id="0">
    <w:p w14:paraId="7773AB27" w14:textId="77777777" w:rsidR="00CC3D2C" w:rsidRDefault="00CC3D2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1E333F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1E333F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038"/>
    <w:rsid w:val="00052A14"/>
    <w:rsid w:val="000627A5"/>
    <w:rsid w:val="00077D53"/>
    <w:rsid w:val="000E2661"/>
    <w:rsid w:val="00105FD9"/>
    <w:rsid w:val="00117666"/>
    <w:rsid w:val="001549D3"/>
    <w:rsid w:val="00160065"/>
    <w:rsid w:val="00177D84"/>
    <w:rsid w:val="00194E0A"/>
    <w:rsid w:val="001E333F"/>
    <w:rsid w:val="002226DD"/>
    <w:rsid w:val="00267D18"/>
    <w:rsid w:val="002844E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541D"/>
    <w:rsid w:val="00447801"/>
    <w:rsid w:val="00452E9C"/>
    <w:rsid w:val="004735C8"/>
    <w:rsid w:val="00473B50"/>
    <w:rsid w:val="004961FF"/>
    <w:rsid w:val="00517A89"/>
    <w:rsid w:val="005250F2"/>
    <w:rsid w:val="005739F6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32A6E"/>
    <w:rsid w:val="007470C8"/>
    <w:rsid w:val="007501BE"/>
    <w:rsid w:val="007849E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06E91"/>
    <w:rsid w:val="00C259C7"/>
    <w:rsid w:val="00C52A7B"/>
    <w:rsid w:val="00C56BAF"/>
    <w:rsid w:val="00C679AA"/>
    <w:rsid w:val="00C75972"/>
    <w:rsid w:val="00CC0A3A"/>
    <w:rsid w:val="00CC3D2C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64F15"/>
    <w:rsid w:val="00FF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maoxuan liu</cp:lastModifiedBy>
  <cp:revision>13</cp:revision>
  <cp:lastPrinted>2013-10-03T12:51:00Z</cp:lastPrinted>
  <dcterms:created xsi:type="dcterms:W3CDTF">2022-11-17T16:58:00Z</dcterms:created>
  <dcterms:modified xsi:type="dcterms:W3CDTF">2024-12-19T15:12:00Z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