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75374" w14:textId="77777777" w:rsidR="00C37021" w:rsidRPr="00EE4309" w:rsidRDefault="001B2FF9" w:rsidP="00C7645B">
      <w:pPr>
        <w:spacing w:line="480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1B2FF9">
        <w:rPr>
          <w:rFonts w:ascii="Times New Roman" w:hAnsi="Times New Roman" w:cs="Times New Roman"/>
          <w:b/>
          <w:bCs/>
          <w:sz w:val="20"/>
          <w:szCs w:val="20"/>
          <w:lang w:val="en-US"/>
        </w:rPr>
        <w:t>SUPPLEMENTARY LEGENDS</w:t>
      </w:r>
    </w:p>
    <w:tbl>
      <w:tblPr>
        <w:tblW w:w="9183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41"/>
        <w:gridCol w:w="1474"/>
        <w:gridCol w:w="1417"/>
        <w:gridCol w:w="1417"/>
        <w:gridCol w:w="1417"/>
        <w:gridCol w:w="1417"/>
      </w:tblGrid>
      <w:tr w:rsidR="00C37021" w:rsidRPr="00C37021" w14:paraId="68186387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29635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DEMOGRAPHIC DATA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D56836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GROUPS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BA467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1F1F1F"/>
                <w:kern w:val="24"/>
                <w:sz w:val="18"/>
                <w:szCs w:val="18"/>
                <w:lang w:eastAsia="es-ES"/>
                <w14:ligatures w14:val="none"/>
              </w:rPr>
              <w:t>HEALTHY (38)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AED38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1F1F1F"/>
                <w:kern w:val="24"/>
                <w:sz w:val="18"/>
                <w:szCs w:val="18"/>
                <w:lang w:eastAsia="es-ES"/>
                <w14:ligatures w14:val="none"/>
              </w:rPr>
              <w:t>MILD (14)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54F76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1F1F1F"/>
                <w:kern w:val="24"/>
                <w:sz w:val="18"/>
                <w:szCs w:val="18"/>
                <w:lang w:eastAsia="es-ES"/>
                <w14:ligatures w14:val="none"/>
              </w:rPr>
              <w:t>SEVERE (16)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F639E9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F1F1F"/>
                <w:kern w:val="24"/>
                <w:sz w:val="18"/>
                <w:szCs w:val="18"/>
                <w:lang w:eastAsia="es-ES"/>
                <w14:ligatures w14:val="none"/>
              </w:rPr>
              <w:t>EXITUS</w:t>
            </w:r>
            <w:r w:rsidRPr="00C37021">
              <w:rPr>
                <w:rFonts w:ascii="Times New Roman" w:eastAsia="Times New Roman" w:hAnsi="Times New Roman" w:cs="Times New Roman"/>
                <w:b/>
                <w:bCs/>
                <w:color w:val="1F1F1F"/>
                <w:kern w:val="24"/>
                <w:sz w:val="18"/>
                <w:szCs w:val="18"/>
                <w:lang w:eastAsia="es-ES"/>
                <w14:ligatures w14:val="none"/>
              </w:rPr>
              <w:t xml:space="preserve"> (12)</w:t>
            </w:r>
          </w:p>
        </w:tc>
      </w:tr>
      <w:tr w:rsidR="00C37021" w:rsidRPr="00C37021" w14:paraId="25D08E0E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AF219D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GENDER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A9494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MALE/FEMALE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6CAF9D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29/9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9E1E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4/10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7BC915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8/8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DE222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6/6</w:t>
            </w:r>
          </w:p>
        </w:tc>
      </w:tr>
      <w:tr w:rsidR="00C37021" w:rsidRPr="00C37021" w14:paraId="67DC4BD5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E673C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AGE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F5223D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CONTINUOUS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2F62CA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51.29 ± 11.31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EDB70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56 ± 16.15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43522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57.5 ± 15.66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C710CC" w14:textId="3BDA97F8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75.83 ± 14.38</w:t>
            </w:r>
            <w:r w:rsidR="00C235C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**</w:t>
            </w:r>
          </w:p>
        </w:tc>
      </w:tr>
      <w:tr w:rsidR="00C37021" w:rsidRPr="00C37021" w14:paraId="5142B2ED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9560F89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SMOKER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9EB67D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CBAA5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25F50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1/13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1F5136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3/13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7B5397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5/7</w:t>
            </w:r>
          </w:p>
        </w:tc>
      </w:tr>
      <w:tr w:rsidR="00C37021" w:rsidRPr="00C37021" w14:paraId="37072F21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D71DA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OBESITY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99EE5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59EC9A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D6BE16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2/12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4752C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5/11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4018E0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0/12</w:t>
            </w:r>
          </w:p>
        </w:tc>
      </w:tr>
      <w:tr w:rsidR="00C37021" w:rsidRPr="00C37021" w14:paraId="12F1D853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A7D23E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HYPERTENSION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39526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B87B3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3193AD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4/10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FB2FC8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3/13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5155F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7/5</w:t>
            </w:r>
          </w:p>
        </w:tc>
      </w:tr>
      <w:tr w:rsidR="00C37021" w:rsidRPr="00C37021" w14:paraId="145EF41D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049089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CORTICOIDS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29D44D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C26376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EAFB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2/12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8A187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12/4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3996E7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8/2 (2)</w:t>
            </w:r>
          </w:p>
        </w:tc>
      </w:tr>
      <w:tr w:rsidR="00C37021" w:rsidRPr="00C37021" w14:paraId="53385803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C7A7FF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TOCILIZUMAB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84A29A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5EB3EE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297DF7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0/14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231A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1/15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C824C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1/9 (2)</w:t>
            </w:r>
          </w:p>
        </w:tc>
      </w:tr>
      <w:tr w:rsidR="00C37021" w:rsidRPr="00C37021" w14:paraId="25CF45FA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543E2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REMDESIVIR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5A08F3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160F92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601DD7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3/11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65CC7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8/8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615A3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2/8 (2)</w:t>
            </w:r>
          </w:p>
        </w:tc>
      </w:tr>
      <w:tr w:rsidR="00C37021" w:rsidRPr="00C37021" w14:paraId="27A7AF16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BC58A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COVALESCENT PLASMA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A27196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YES/NO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EC5CB0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AC9391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0/14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A6146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2/14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91DC4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0/10 (2)</w:t>
            </w:r>
          </w:p>
        </w:tc>
      </w:tr>
      <w:tr w:rsidR="00C37021" w:rsidRPr="00C37021" w14:paraId="799697C3" w14:textId="77777777" w:rsidTr="00C37021">
        <w:trPr>
          <w:trHeight w:val="584"/>
          <w:jc w:val="center"/>
        </w:trPr>
        <w:tc>
          <w:tcPr>
            <w:tcW w:w="204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F4B263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SOFA SCORE</w:t>
            </w:r>
          </w:p>
        </w:tc>
        <w:tc>
          <w:tcPr>
            <w:tcW w:w="147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6C602C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CONTINUOUS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B25A83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74E53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0.64 ± 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948DDB" w14:textId="77777777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0.88 ± 1.26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3043E" w14:textId="1FF70D20" w:rsidR="00C37021" w:rsidRPr="00C37021" w:rsidRDefault="00C37021" w:rsidP="00C37021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C37021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4.8 ± 2.82</w:t>
            </w:r>
            <w:r w:rsidR="00C235C6">
              <w:rPr>
                <w:rFonts w:ascii="Times New Roman" w:eastAsia="Times New Roman" w:hAnsi="Times New Roman" w:cs="Times New Roman"/>
                <w:color w:val="000000"/>
                <w:kern w:val="24"/>
                <w:sz w:val="18"/>
                <w:szCs w:val="18"/>
                <w:lang w:eastAsia="es-ES"/>
                <w14:ligatures w14:val="none"/>
              </w:rPr>
              <w:t>****</w:t>
            </w:r>
          </w:p>
        </w:tc>
      </w:tr>
    </w:tbl>
    <w:p w14:paraId="0AB60F43" w14:textId="3BAD23A3" w:rsidR="00C7645B" w:rsidRPr="00C37021" w:rsidRDefault="00C7645B" w:rsidP="00C37021">
      <w:pPr>
        <w:spacing w:after="0" w:line="48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4AFF397C" w14:textId="6BE5A830" w:rsidR="00EE4309" w:rsidRDefault="001B2FF9" w:rsidP="00EE4309">
      <w:pPr>
        <w:spacing w:after="480"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Supplementary table 1</w:t>
      </w:r>
      <w:r w:rsidRPr="001B2FF9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. </w:t>
      </w:r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Demographic data of both healthy donors and COVID-19 patients</w:t>
      </w:r>
      <w:r w:rsidRPr="001B2FF9">
        <w:rPr>
          <w:rFonts w:ascii="Times New Roman" w:hAnsi="Times New Roman" w:cs="Times New Roman"/>
          <w:sz w:val="20"/>
          <w:szCs w:val="20"/>
          <w:lang w:val="en-US"/>
        </w:rPr>
        <w:t xml:space="preserve">. For healthy donors, only age and gender 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>data were disposable due to protective laws, and for COVID-19 patients, data from their gender, age</w:t>
      </w:r>
      <w:r w:rsidR="00EE4309" w:rsidRPr="004F6AD1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07F62"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some health conditions as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if they were </w:t>
      </w:r>
      <w:r w:rsidR="0028684A" w:rsidRPr="004F6AD1">
        <w:rPr>
          <w:rFonts w:ascii="Times New Roman" w:hAnsi="Times New Roman" w:cs="Times New Roman"/>
          <w:sz w:val="20"/>
          <w:szCs w:val="20"/>
          <w:lang w:val="en-US"/>
        </w:rPr>
        <w:t>smokers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>, hypertensive or obese</w:t>
      </w:r>
      <w:r w:rsidR="00EE4309" w:rsidRPr="004F6AD1">
        <w:rPr>
          <w:rFonts w:ascii="Times New Roman" w:hAnsi="Times New Roman" w:cs="Times New Roman"/>
          <w:sz w:val="20"/>
          <w:szCs w:val="20"/>
          <w:lang w:val="en-US"/>
        </w:rPr>
        <w:t>, treatments received, and SOFA score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were recorded in La Paz Hospital</w:t>
      </w:r>
      <w:r w:rsidR="00807F62"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after admission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F0E65"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In the exitus group, the number within parenthesis indicates the number of missing data.</w:t>
      </w:r>
      <w:r w:rsidR="0072373F">
        <w:rPr>
          <w:rFonts w:ascii="Times New Roman" w:hAnsi="Times New Roman" w:cs="Times New Roman"/>
          <w:sz w:val="20"/>
          <w:szCs w:val="20"/>
          <w:lang w:val="en-US"/>
        </w:rPr>
        <w:t xml:space="preserve"> **p ≤ 0.01, ****p </w:t>
      </w:r>
      <w:r w:rsidR="0072373F">
        <w:rPr>
          <w:rFonts w:ascii="Times New Roman" w:hAnsi="Times New Roman" w:cs="Times New Roman"/>
          <w:sz w:val="20"/>
          <w:szCs w:val="20"/>
          <w:lang w:val="en-US"/>
        </w:rPr>
        <w:t>≤</w:t>
      </w:r>
      <w:r w:rsidR="0072373F">
        <w:rPr>
          <w:rFonts w:ascii="Times New Roman" w:hAnsi="Times New Roman" w:cs="Times New Roman"/>
          <w:sz w:val="20"/>
          <w:szCs w:val="20"/>
          <w:lang w:val="en-US"/>
        </w:rPr>
        <w:t xml:space="preserve"> 0.0001 </w:t>
      </w:r>
      <w:r w:rsidR="0072373F" w:rsidRPr="0072373F">
        <w:rPr>
          <w:rFonts w:ascii="Times New Roman" w:hAnsi="Times New Roman" w:cs="Times New Roman"/>
          <w:i/>
          <w:iCs/>
          <w:sz w:val="20"/>
          <w:szCs w:val="20"/>
          <w:lang w:val="en-US"/>
        </w:rPr>
        <w:t>versus</w:t>
      </w:r>
      <w:r w:rsidR="0072373F">
        <w:rPr>
          <w:rFonts w:ascii="Times New Roman" w:hAnsi="Times New Roman" w:cs="Times New Roman"/>
          <w:sz w:val="20"/>
          <w:szCs w:val="20"/>
          <w:lang w:val="en-US"/>
        </w:rPr>
        <w:t xml:space="preserve"> mild group.</w:t>
      </w:r>
    </w:p>
    <w:p w14:paraId="71ADF5E6" w14:textId="2B162DB7" w:rsidR="00D45957" w:rsidRDefault="00D45957" w:rsidP="00EE4309">
      <w:pPr>
        <w:spacing w:after="480"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ED47705" w14:textId="1E89DC02" w:rsidR="00E44F1A" w:rsidRPr="001B2FF9" w:rsidRDefault="00D45957" w:rsidP="00EE4309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D45957">
        <w:rPr>
          <w:noProof/>
        </w:rPr>
        <w:lastRenderedPageBreak/>
        <w:drawing>
          <wp:inline distT="0" distB="0" distL="0" distR="0" wp14:anchorId="17280A56" wp14:editId="315BF379">
            <wp:extent cx="5400000" cy="1530135"/>
            <wp:effectExtent l="0" t="0" r="0" b="0"/>
            <wp:docPr id="18343473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7" t="4317" b="4073"/>
                    <a:stretch/>
                  </pic:blipFill>
                  <pic:spPr bwMode="auto">
                    <a:xfrm>
                      <a:off x="0" y="0"/>
                      <a:ext cx="5400000" cy="153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ED75D2" w14:textId="43CDBD40" w:rsidR="00D45957" w:rsidRDefault="001B2FF9" w:rsidP="00807F6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Supplementary figure 1. Lipoxin A</w:t>
      </w:r>
      <w:r w:rsidRPr="0033279B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bscript"/>
          <w:lang w:val="en-US"/>
        </w:rPr>
        <w:t>4</w:t>
      </w:r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serum levels in patients according to </w:t>
      </w:r>
      <w:r w:rsidR="00F86367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inflammation and damage biomarkers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: smoker, hypertensive or obese. In each condition, </w:t>
      </w:r>
      <w:r w:rsidR="0028684A" w:rsidRPr="00807F62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DB28BE">
        <w:rPr>
          <w:rFonts w:ascii="Times New Roman" w:hAnsi="Times New Roman" w:cs="Times New Roman"/>
          <w:sz w:val="20"/>
          <w:szCs w:val="20"/>
          <w:lang w:val="en-US"/>
        </w:rPr>
        <w:t>square represents negative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DB28BE">
        <w:rPr>
          <w:rFonts w:ascii="Times New Roman" w:hAnsi="Times New Roman" w:cs="Times New Roman"/>
          <w:sz w:val="20"/>
          <w:szCs w:val="20"/>
          <w:lang w:val="en-US"/>
        </w:rPr>
        <w:t>the circle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B28BE">
        <w:rPr>
          <w:rFonts w:ascii="Times New Roman" w:hAnsi="Times New Roman" w:cs="Times New Roman"/>
          <w:sz w:val="20"/>
          <w:szCs w:val="20"/>
          <w:lang w:val="en-US"/>
        </w:rPr>
        <w:t>positive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699CE6B5" w14:textId="77777777" w:rsidR="00D45957" w:rsidRPr="00E44F1A" w:rsidRDefault="00D45957" w:rsidP="00807F6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602EA16F" w14:textId="251BFB7B" w:rsidR="00E44F1A" w:rsidRDefault="00E44F1A" w:rsidP="00EE4309">
      <w:pPr>
        <w:spacing w:after="0" w:line="48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  <w:r w:rsidRPr="00E44F1A">
        <w:rPr>
          <w:noProof/>
        </w:rPr>
        <w:lastRenderedPageBreak/>
        <w:drawing>
          <wp:inline distT="0" distB="0" distL="0" distR="0" wp14:anchorId="333E4FA6" wp14:editId="7131A214">
            <wp:extent cx="5400000" cy="5871747"/>
            <wp:effectExtent l="0" t="0" r="0" b="0"/>
            <wp:docPr id="89311621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" t="1490" r="3516" b="1666"/>
                    <a:stretch/>
                  </pic:blipFill>
                  <pic:spPr bwMode="auto">
                    <a:xfrm>
                      <a:off x="0" y="0"/>
                      <a:ext cx="5400000" cy="5871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6DE907" w14:textId="7B5C2AEA" w:rsidR="001B2FF9" w:rsidRPr="001B2FF9" w:rsidRDefault="001B2FF9" w:rsidP="00807F62">
      <w:pPr>
        <w:spacing w:line="48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Supplementary figure 2. Correlation analysis between lipoxin A</w:t>
      </w:r>
      <w:r w:rsidRPr="008617F0">
        <w:rPr>
          <w:rFonts w:ascii="Times New Roman" w:hAnsi="Times New Roman" w:cs="Times New Roman"/>
          <w:b/>
          <w:bCs/>
          <w:i/>
          <w:iCs/>
          <w:sz w:val="20"/>
          <w:szCs w:val="20"/>
          <w:vertAlign w:val="subscript"/>
          <w:lang w:val="en-US"/>
        </w:rPr>
        <w:t>4</w:t>
      </w:r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(</w:t>
      </w:r>
      <w:proofErr w:type="spellStart"/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pg</w:t>
      </w:r>
      <w:proofErr w:type="spellEnd"/>
      <w:r w:rsidRPr="001B2FF9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>/ml) and damage biomarkers serum levels</w:t>
      </w:r>
      <w:r w:rsidRPr="001B2FF9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33279B">
        <w:rPr>
          <w:rFonts w:ascii="Times New Roman" w:hAnsi="Times New Roman" w:cs="Times New Roman"/>
          <w:b/>
          <w:bCs/>
          <w:sz w:val="20"/>
          <w:szCs w:val="20"/>
          <w:lang w:val="en-US"/>
        </w:rPr>
        <w:t>A</w:t>
      </w:r>
      <w:r>
        <w:rPr>
          <w:rFonts w:ascii="Times New Roman" w:hAnsi="Times New Roman" w:cs="Times New Roman"/>
          <w:sz w:val="20"/>
          <w:szCs w:val="20"/>
          <w:lang w:val="en-US"/>
        </w:rPr>
        <w:t>. Each dot represents a pa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>tient. Shown values correspond to Pearson</w:t>
      </w:r>
      <w:r w:rsidR="00B33D47" w:rsidRPr="004F6AD1">
        <w:rPr>
          <w:rFonts w:ascii="Times New Roman" w:hAnsi="Times New Roman" w:cs="Times New Roman"/>
          <w:sz w:val="20"/>
          <w:szCs w:val="20"/>
          <w:lang w:val="en-US"/>
        </w:rPr>
        <w:t>’s correlation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coefficient</w:t>
      </w:r>
      <w:r w:rsidR="00B33D47"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B33D47" w:rsidRPr="004F6AD1">
        <w:rPr>
          <w:rFonts w:ascii="Times New Roman" w:hAnsi="Times New Roman" w:cs="Times New Roman"/>
          <w:i/>
          <w:iCs/>
          <w:sz w:val="20"/>
          <w:szCs w:val="20"/>
          <w:lang w:val="en-US"/>
        </w:rPr>
        <w:t>r</w:t>
      </w:r>
      <w:r w:rsidR="00B33D47" w:rsidRPr="004F6AD1">
        <w:rPr>
          <w:rFonts w:ascii="Times New Roman" w:hAnsi="Times New Roman" w:cs="Times New Roman"/>
          <w:sz w:val="20"/>
          <w:szCs w:val="20"/>
          <w:lang w:val="en-US"/>
        </w:rPr>
        <w:t>) and its p-value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4F6AD1">
        <w:rPr>
          <w:rFonts w:ascii="Times New Roman" w:hAnsi="Times New Roman" w:cs="Times New Roman"/>
          <w:b/>
          <w:bCs/>
          <w:sz w:val="20"/>
          <w:szCs w:val="20"/>
          <w:lang w:val="en-US"/>
        </w:rPr>
        <w:t>B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>. The colors represent the corresponding Pearson</w:t>
      </w:r>
      <w:r w:rsidR="002E4221" w:rsidRPr="004F6AD1">
        <w:rPr>
          <w:rFonts w:ascii="Times New Roman" w:hAnsi="Times New Roman" w:cs="Times New Roman"/>
          <w:sz w:val="20"/>
          <w:szCs w:val="20"/>
          <w:lang w:val="en-US"/>
        </w:rPr>
        <w:t>’s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E4221" w:rsidRPr="004F6AD1">
        <w:rPr>
          <w:rFonts w:ascii="Times New Roman" w:hAnsi="Times New Roman" w:cs="Times New Roman"/>
          <w:i/>
          <w:iCs/>
          <w:sz w:val="20"/>
          <w:szCs w:val="20"/>
          <w:lang w:val="en-US"/>
        </w:rPr>
        <w:t>r</w:t>
      </w:r>
      <w:r w:rsidR="002E4221"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>coefficient in patients versus lipoxin A</w:t>
      </w:r>
      <w:r w:rsidRPr="004F6AD1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4</w:t>
      </w:r>
      <w:r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 levels. </w:t>
      </w:r>
      <w:bookmarkStart w:id="0" w:name="_Hlk174693579"/>
      <w:r w:rsidR="008D524E" w:rsidRPr="004F6AD1">
        <w:rPr>
          <w:rFonts w:ascii="Times New Roman" w:hAnsi="Times New Roman" w:cs="Times New Roman"/>
          <w:sz w:val="20"/>
          <w:szCs w:val="20"/>
          <w:lang w:val="en-US"/>
        </w:rPr>
        <w:t>*</w:t>
      </w:r>
      <w:r w:rsidR="008D524E" w:rsidRPr="004F6AD1">
        <w:rPr>
          <w:rFonts w:ascii="Times New Roman" w:hAnsi="Times New Roman" w:cs="Times New Roman"/>
          <w:i/>
          <w:sz w:val="20"/>
          <w:szCs w:val="20"/>
          <w:lang w:val="en-US"/>
        </w:rPr>
        <w:t>p</w:t>
      </w:r>
      <w:r w:rsidR="00D45957">
        <w:rPr>
          <w:rFonts w:ascii="Times New Roman" w:hAnsi="Times New Roman" w:cs="Times New Roman"/>
          <w:i/>
          <w:sz w:val="20"/>
          <w:szCs w:val="20"/>
          <w:lang w:val="en-US"/>
        </w:rPr>
        <w:t xml:space="preserve"> </w:t>
      </w:r>
      <w:r w:rsidR="008D524E" w:rsidRPr="004F6AD1">
        <w:rPr>
          <w:rFonts w:ascii="Times New Roman" w:hAnsi="Times New Roman" w:cs="Times New Roman"/>
          <w:sz w:val="20"/>
          <w:szCs w:val="20"/>
          <w:lang w:val="en-US"/>
        </w:rPr>
        <w:t>≤</w:t>
      </w:r>
      <w:r w:rsidR="00D459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D524E" w:rsidRPr="004F6AD1">
        <w:rPr>
          <w:rFonts w:ascii="Times New Roman" w:hAnsi="Times New Roman" w:cs="Times New Roman"/>
          <w:sz w:val="20"/>
          <w:szCs w:val="20"/>
          <w:lang w:val="en-US"/>
        </w:rPr>
        <w:t xml:space="preserve">0.05 </w:t>
      </w:r>
      <w:r w:rsidR="008D524E" w:rsidRPr="004F6AD1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versus </w:t>
      </w:r>
      <w:r w:rsidR="008D524E" w:rsidRPr="004F6AD1">
        <w:rPr>
          <w:rFonts w:ascii="Times New Roman" w:hAnsi="Times New Roman" w:cs="Times New Roman"/>
          <w:sz w:val="20"/>
          <w:szCs w:val="20"/>
          <w:lang w:val="en-US"/>
        </w:rPr>
        <w:t>the indicated group.</w:t>
      </w:r>
      <w:bookmarkEnd w:id="0"/>
    </w:p>
    <w:sectPr w:rsidR="001B2FF9" w:rsidRPr="001B2F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0808A1"/>
    <w:multiLevelType w:val="hybridMultilevel"/>
    <w:tmpl w:val="DC44A1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21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e3BGIjE3MLS2MjAyUdpeDU4uLM/DyQAsNaAO+IRFosAAAA"/>
  </w:docVars>
  <w:rsids>
    <w:rsidRoot w:val="001B2FF9"/>
    <w:rsid w:val="000B4B84"/>
    <w:rsid w:val="00151E8A"/>
    <w:rsid w:val="001B2FF9"/>
    <w:rsid w:val="0028684A"/>
    <w:rsid w:val="002E4221"/>
    <w:rsid w:val="0033279B"/>
    <w:rsid w:val="004F6AD1"/>
    <w:rsid w:val="005E081C"/>
    <w:rsid w:val="00642A9C"/>
    <w:rsid w:val="0072373F"/>
    <w:rsid w:val="007E0453"/>
    <w:rsid w:val="007F20A6"/>
    <w:rsid w:val="00807F62"/>
    <w:rsid w:val="008617F0"/>
    <w:rsid w:val="008D524E"/>
    <w:rsid w:val="00937D83"/>
    <w:rsid w:val="00983746"/>
    <w:rsid w:val="009D7C63"/>
    <w:rsid w:val="00AE61A6"/>
    <w:rsid w:val="00B17479"/>
    <w:rsid w:val="00B33D47"/>
    <w:rsid w:val="00B6537A"/>
    <w:rsid w:val="00C235C6"/>
    <w:rsid w:val="00C37021"/>
    <w:rsid w:val="00C75237"/>
    <w:rsid w:val="00C7645B"/>
    <w:rsid w:val="00CA102C"/>
    <w:rsid w:val="00D4204E"/>
    <w:rsid w:val="00D45957"/>
    <w:rsid w:val="00D834D6"/>
    <w:rsid w:val="00DB28BE"/>
    <w:rsid w:val="00DE3533"/>
    <w:rsid w:val="00DF0E65"/>
    <w:rsid w:val="00E3101A"/>
    <w:rsid w:val="00E44F1A"/>
    <w:rsid w:val="00EE4309"/>
    <w:rsid w:val="00EE4581"/>
    <w:rsid w:val="00F1232C"/>
    <w:rsid w:val="00F8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A2D341"/>
  <w15:chartTrackingRefBased/>
  <w15:docId w15:val="{C3FC28A6-B801-44B3-85F7-11886567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2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2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2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2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2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2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2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2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2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2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2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2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2FF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2FF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B2FF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2FF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2FF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2FF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B2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B2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B2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B2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B2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B2FF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B2FF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B2FF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B2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B2FF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B2FF9"/>
    <w:rPr>
      <w:b/>
      <w:bCs/>
      <w:smallCaps/>
      <w:color w:val="0F4761" w:themeColor="accent1" w:themeShade="BF"/>
      <w:spacing w:val="5"/>
    </w:rPr>
  </w:style>
  <w:style w:type="paragraph" w:styleId="Revisin">
    <w:name w:val="Revision"/>
    <w:hidden/>
    <w:uiPriority w:val="99"/>
    <w:semiHidden/>
    <w:rsid w:val="00DB28B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8374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PRIETO CHINCHILLA</dc:creator>
  <cp:keywords/>
  <dc:description/>
  <cp:lastModifiedBy>Sergio Sánchez García</cp:lastModifiedBy>
  <cp:revision>20</cp:revision>
  <dcterms:created xsi:type="dcterms:W3CDTF">2024-07-15T09:17:00Z</dcterms:created>
  <dcterms:modified xsi:type="dcterms:W3CDTF">2025-01-09T11:09:00Z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6015bfc909e75ab5c593f83a25d7e12bfc16d211f01e8a5e3487e73694f05b28</vt:lpwstr>
  </property>
</Properties>
</file>