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438D" w14:textId="6B0197ED" w:rsidR="00203584" w:rsidRPr="00203584" w:rsidRDefault="00203584" w:rsidP="00203584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03584">
        <w:rPr>
          <w:rFonts w:ascii="Times New Roman" w:hAnsi="Times New Roman" w:cs="Times New Roman"/>
          <w:sz w:val="24"/>
          <w:szCs w:val="24"/>
          <w:lang w:val="en-CA"/>
        </w:rPr>
        <w:t>Table S1. Average brood cell production, cluster size (interframe spaces), and adult bee mortality (number of dead bees counted over four-week treatment period) for all treatment groups pre- and post-treatment.</w:t>
      </w:r>
    </w:p>
    <w:tbl>
      <w:tblPr>
        <w:tblpPr w:leftFromText="180" w:rightFromText="180" w:vertAnchor="text" w:horzAnchor="margin" w:tblpXSpec="center" w:tblpYSpec="bottom"/>
        <w:tblW w:w="8763" w:type="dxa"/>
        <w:tblLook w:val="04A0" w:firstRow="1" w:lastRow="0" w:firstColumn="1" w:lastColumn="0" w:noHBand="0" w:noVBand="1"/>
      </w:tblPr>
      <w:tblGrid>
        <w:gridCol w:w="1418"/>
        <w:gridCol w:w="142"/>
        <w:gridCol w:w="1640"/>
        <w:gridCol w:w="1643"/>
        <w:gridCol w:w="1536"/>
        <w:gridCol w:w="2384"/>
      </w:tblGrid>
      <w:tr w:rsidR="00203584" w:rsidRPr="00203584" w14:paraId="18907FC9" w14:textId="77777777" w:rsidTr="00203584">
        <w:trPr>
          <w:trHeight w:val="345"/>
        </w:trPr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343AD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Weekly OA dose (g)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81A51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606E" w14:textId="77777777" w:rsidR="00203584" w:rsidRPr="00203584" w:rsidRDefault="00203584" w:rsidP="0020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Brood cells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2EFB" w14:textId="32BAB806" w:rsidR="00203584" w:rsidRPr="00203584" w:rsidRDefault="00203584" w:rsidP="0020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Cluster size</w:t>
            </w:r>
          </w:p>
        </w:tc>
        <w:tc>
          <w:tcPr>
            <w:tcW w:w="2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36EA" w14:textId="403294F2" w:rsidR="00203584" w:rsidRPr="00203584" w:rsidRDefault="00203584" w:rsidP="0020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Adult bee mortality</w:t>
            </w:r>
          </w:p>
        </w:tc>
      </w:tr>
      <w:tr w:rsidR="00203584" w:rsidRPr="00203584" w14:paraId="590EE2BF" w14:textId="77777777" w:rsidTr="00203584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EE26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0 g OA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77C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Pre-treatment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74E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11409 ± 1997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8B36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 xml:space="preserve">6.5 ± 0.2 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239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166 ± 23</w:t>
            </w: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  <w:t>a</w:t>
            </w:r>
          </w:p>
        </w:tc>
      </w:tr>
      <w:tr w:rsidR="00203584" w:rsidRPr="00203584" w14:paraId="7CC52AAF" w14:textId="77777777" w:rsidTr="00203584">
        <w:trPr>
          <w:trHeight w:val="315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DA283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F5C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Post-treatment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91B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11254 ± 2444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518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9.3 ± 0.3</w:t>
            </w:r>
          </w:p>
        </w:tc>
        <w:tc>
          <w:tcPr>
            <w:tcW w:w="2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17652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</w:tr>
      <w:tr w:rsidR="00203584" w:rsidRPr="00203584" w14:paraId="587A6FE3" w14:textId="77777777" w:rsidTr="0020358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885E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5 g OA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3D51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Pre-treatment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04A0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10803 ± 1927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A70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6.6 ± 0.3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135C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253 ± 33</w:t>
            </w: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  <w:t>ab</w:t>
            </w:r>
          </w:p>
        </w:tc>
      </w:tr>
      <w:tr w:rsidR="00203584" w:rsidRPr="00203584" w14:paraId="5FB4129F" w14:textId="77777777" w:rsidTr="00203584">
        <w:trPr>
          <w:trHeight w:val="315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32B88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F8F8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Post-treatment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FF9C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9359 ± 3369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262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8.1 ± 0.4</w:t>
            </w:r>
          </w:p>
        </w:tc>
        <w:tc>
          <w:tcPr>
            <w:tcW w:w="2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B93DC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</w:tr>
      <w:tr w:rsidR="00203584" w:rsidRPr="00203584" w14:paraId="09DE5E90" w14:textId="77777777" w:rsidTr="0020358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4457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10 g OA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AA1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Pre-treatment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833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11593 ± 2848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427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6.5 ± 0.2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8E05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244 ± 32</w:t>
            </w: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  <w:t>ab</w:t>
            </w:r>
          </w:p>
        </w:tc>
      </w:tr>
      <w:tr w:rsidR="00203584" w:rsidRPr="00203584" w14:paraId="0CAA5340" w14:textId="77777777" w:rsidTr="00203584">
        <w:trPr>
          <w:trHeight w:val="315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E80D2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CF35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Post-treatment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F2B4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10149 ± 2857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40C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8.7 ± 0.3</w:t>
            </w:r>
          </w:p>
        </w:tc>
        <w:tc>
          <w:tcPr>
            <w:tcW w:w="2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DE656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</w:tr>
      <w:tr w:rsidR="00203584" w:rsidRPr="00203584" w14:paraId="71CCDE89" w14:textId="77777777" w:rsidTr="0020358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488833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20 g OA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771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Pre-treatment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142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bookmarkStart w:id="0" w:name="_Hlk164847037"/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10848 ± 1970</w:t>
            </w:r>
            <w:bookmarkEnd w:id="0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80CE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6.8 ± 0.2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43408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314 ± 26</w:t>
            </w:r>
            <w:r w:rsidRPr="00203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CA" w:eastAsia="en-CA"/>
                <w14:ligatures w14:val="none"/>
              </w:rPr>
              <w:t>b</w:t>
            </w:r>
          </w:p>
        </w:tc>
      </w:tr>
      <w:tr w:rsidR="00203584" w:rsidRPr="00203584" w14:paraId="459E0C9B" w14:textId="77777777" w:rsidTr="00203584">
        <w:trPr>
          <w:trHeight w:val="330"/>
        </w:trPr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82207C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127C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Post-treatment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E5ED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bookmarkStart w:id="1" w:name="_Hlk164847060"/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8239 ± 2180</w:t>
            </w:r>
            <w:bookmarkEnd w:id="1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AEDC" w14:textId="77777777" w:rsidR="00203584" w:rsidRPr="00203584" w:rsidRDefault="00203584" w:rsidP="003D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203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en-CA"/>
                <w14:ligatures w14:val="none"/>
              </w:rPr>
              <w:t>8 ± 0.8</w:t>
            </w:r>
          </w:p>
        </w:tc>
        <w:tc>
          <w:tcPr>
            <w:tcW w:w="23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FE7D8" w14:textId="77777777" w:rsidR="00203584" w:rsidRPr="00203584" w:rsidRDefault="00203584" w:rsidP="003D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</w:tr>
    </w:tbl>
    <w:p w14:paraId="5B56720F" w14:textId="77777777" w:rsidR="00203584" w:rsidRPr="00203584" w:rsidRDefault="00203584" w:rsidP="00203584">
      <w:pPr>
        <w:jc w:val="both"/>
        <w:rPr>
          <w:rFonts w:ascii="Times New Roman" w:hAnsi="Times New Roman" w:cs="Times New Roman"/>
          <w:lang w:val="en-CA"/>
        </w:rPr>
      </w:pPr>
      <w:r w:rsidRPr="00203584">
        <w:rPr>
          <w:rFonts w:ascii="Times New Roman" w:hAnsi="Times New Roman" w:cs="Times New Roman"/>
          <w:lang w:val="en-CA"/>
        </w:rPr>
        <w:t>The data are mean ± SE (n=7, 6, 8 and 7, for 0, 5, 10 and 20g OA, respectively). For adult bee mortality, means with different letters are statistically different at α=0.05 (one-way ANOVA)</w:t>
      </w:r>
    </w:p>
    <w:p w14:paraId="09EC42A2" w14:textId="77777777" w:rsidR="00451E8A" w:rsidRDefault="00451E8A">
      <w:pPr>
        <w:rPr>
          <w:rFonts w:ascii="Times New Roman" w:hAnsi="Times New Roman" w:cs="Times New Roman"/>
          <w:lang w:val="en-CA"/>
        </w:rPr>
      </w:pPr>
    </w:p>
    <w:p w14:paraId="2C25CCA4" w14:textId="790F7678" w:rsidR="003855BD" w:rsidRDefault="003855BD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Table S2. Average sperm viability and total sperm count of </w:t>
      </w:r>
      <w:proofErr w:type="gramStart"/>
      <w:r w:rsidRPr="003855BD">
        <w:rPr>
          <w:rFonts w:ascii="Times New Roman" w:hAnsi="Times New Roman" w:cs="Times New Roman"/>
          <w:lang w:val="en-CA"/>
        </w:rPr>
        <w:t>newly-mated</w:t>
      </w:r>
      <w:proofErr w:type="gramEnd"/>
      <w:r w:rsidRPr="003855BD">
        <w:rPr>
          <w:rFonts w:ascii="Times New Roman" w:hAnsi="Times New Roman" w:cs="Times New Roman"/>
          <w:lang w:val="en-CA"/>
        </w:rPr>
        <w:t xml:space="preserve"> queens raised in control and OA-treated colonies</w:t>
      </w:r>
      <w:r>
        <w:rPr>
          <w:rFonts w:ascii="Times New Roman" w:hAnsi="Times New Roman" w:cs="Times New Roman"/>
          <w:lang w:val="en-CA"/>
        </w:rPr>
        <w:t>, for all treatment groups.</w:t>
      </w:r>
    </w:p>
    <w:tbl>
      <w:tblPr>
        <w:tblW w:w="7938" w:type="dxa"/>
        <w:tblInd w:w="567" w:type="dxa"/>
        <w:tblLook w:val="04A0" w:firstRow="1" w:lastRow="0" w:firstColumn="1" w:lastColumn="0" w:noHBand="0" w:noVBand="1"/>
      </w:tblPr>
      <w:tblGrid>
        <w:gridCol w:w="3402"/>
        <w:gridCol w:w="284"/>
        <w:gridCol w:w="1984"/>
        <w:gridCol w:w="2268"/>
      </w:tblGrid>
      <w:tr w:rsidR="003855BD" w:rsidRPr="003855BD" w14:paraId="3593C076" w14:textId="77777777" w:rsidTr="00A70BB9">
        <w:trPr>
          <w:trHeight w:val="345"/>
        </w:trPr>
        <w:tc>
          <w:tcPr>
            <w:tcW w:w="340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98724" w14:textId="2283745F" w:rsidR="003855BD" w:rsidRPr="003855BD" w:rsidRDefault="00A70BB9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 xml:space="preserve">Queens raised in colonies </w:t>
            </w:r>
            <w:r w:rsidR="001A2A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exposed 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 xml:space="preserve"> OA</w:t>
            </w:r>
            <w:r w:rsidR="003855BD" w:rsidRPr="003855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 xml:space="preserve"> (g)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43B3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Sperm viability (%)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F8C8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Total sperm count</w:t>
            </w:r>
          </w:p>
        </w:tc>
      </w:tr>
      <w:tr w:rsidR="003855BD" w:rsidRPr="003855BD" w14:paraId="5257F1C3" w14:textId="77777777" w:rsidTr="00A70BB9">
        <w:trPr>
          <w:trHeight w:val="33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445D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0 g OA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60ED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65.3 ± 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4654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399012 ± 76677</w:t>
            </w:r>
          </w:p>
        </w:tc>
      </w:tr>
      <w:tr w:rsidR="003855BD" w:rsidRPr="003855BD" w14:paraId="70B9F8F7" w14:textId="77777777" w:rsidTr="00A70BB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963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5 g OA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32C0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64.8 ± 13.4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A3AD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372450 ± 25685</w:t>
            </w:r>
          </w:p>
        </w:tc>
      </w:tr>
      <w:tr w:rsidR="003855BD" w:rsidRPr="003855BD" w14:paraId="57EFA507" w14:textId="77777777" w:rsidTr="00A70BB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02C2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10 g OA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9D06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58.5 ± 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D322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355275 ± 53220</w:t>
            </w:r>
          </w:p>
        </w:tc>
      </w:tr>
      <w:tr w:rsidR="003855BD" w:rsidRPr="003855BD" w14:paraId="3F780301" w14:textId="77777777" w:rsidTr="00A70BB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EA0B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20 g 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5C13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bookmarkStart w:id="2" w:name="RANGE!C10"/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57.2 ± 15.4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0198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3855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459942 ± 33845</w:t>
            </w:r>
          </w:p>
        </w:tc>
      </w:tr>
      <w:tr w:rsidR="003855BD" w:rsidRPr="003855BD" w14:paraId="5FC65286" w14:textId="77777777" w:rsidTr="00A70BB9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CD4B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96AE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B6248" w14:textId="77777777" w:rsidR="003855BD" w:rsidRPr="003855BD" w:rsidRDefault="003855BD" w:rsidP="003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</w:p>
        </w:tc>
      </w:tr>
    </w:tbl>
    <w:p w14:paraId="47EDE4EB" w14:textId="701EBE45" w:rsidR="003855BD" w:rsidRDefault="003855BD">
      <w:pPr>
        <w:rPr>
          <w:rFonts w:ascii="Times New Roman" w:hAnsi="Times New Roman" w:cs="Times New Roman"/>
          <w:lang w:val="en-CA"/>
        </w:rPr>
      </w:pPr>
      <w:r w:rsidRPr="00203584">
        <w:rPr>
          <w:rFonts w:ascii="Times New Roman" w:hAnsi="Times New Roman" w:cs="Times New Roman"/>
          <w:lang w:val="en-CA"/>
        </w:rPr>
        <w:t>The data are mean ± SE (n=</w:t>
      </w:r>
      <w:r>
        <w:rPr>
          <w:rFonts w:ascii="Times New Roman" w:hAnsi="Times New Roman" w:cs="Times New Roman"/>
          <w:lang w:val="en-CA"/>
        </w:rPr>
        <w:t>6</w:t>
      </w:r>
      <w:r w:rsidRPr="00203584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5</w:t>
      </w:r>
      <w:r w:rsidRPr="00203584">
        <w:rPr>
          <w:rFonts w:ascii="Times New Roman" w:hAnsi="Times New Roman" w:cs="Times New Roman"/>
          <w:lang w:val="en-CA"/>
        </w:rPr>
        <w:t xml:space="preserve">, 8 and </w:t>
      </w:r>
      <w:r>
        <w:rPr>
          <w:rFonts w:ascii="Times New Roman" w:hAnsi="Times New Roman" w:cs="Times New Roman"/>
          <w:lang w:val="en-CA"/>
        </w:rPr>
        <w:t>5</w:t>
      </w:r>
      <w:r w:rsidRPr="00203584">
        <w:rPr>
          <w:rFonts w:ascii="Times New Roman" w:hAnsi="Times New Roman" w:cs="Times New Roman"/>
          <w:lang w:val="en-CA"/>
        </w:rPr>
        <w:t>, for 0, 5, 10 and 20g OA, respectively).</w:t>
      </w:r>
    </w:p>
    <w:p w14:paraId="1AE5E1C5" w14:textId="77777777" w:rsidR="00AF5EFB" w:rsidRDefault="00AF5EFB">
      <w:pPr>
        <w:rPr>
          <w:rFonts w:ascii="Times New Roman" w:hAnsi="Times New Roman" w:cs="Times New Roman"/>
          <w:lang w:val="en-CA"/>
        </w:rPr>
      </w:pPr>
    </w:p>
    <w:p w14:paraId="35E25A85" w14:textId="151CFF11" w:rsidR="00AF5EFB" w:rsidRDefault="00AF5EFB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Table S</w:t>
      </w:r>
      <w:r w:rsidR="00762F3E">
        <w:rPr>
          <w:rFonts w:ascii="Times New Roman" w:hAnsi="Times New Roman" w:cs="Times New Roman"/>
          <w:lang w:val="en-CA"/>
        </w:rPr>
        <w:t>3</w:t>
      </w:r>
      <w:r>
        <w:rPr>
          <w:rFonts w:ascii="Times New Roman" w:hAnsi="Times New Roman" w:cs="Times New Roman"/>
          <w:lang w:val="en-CA"/>
        </w:rPr>
        <w:t>. Average brood cells and inter-frame spaces produced after 40 days of experiment in nucleus for all treatment groups</w:t>
      </w:r>
      <w:r w:rsidR="00EC0EF1">
        <w:rPr>
          <w:rFonts w:ascii="Times New Roman" w:hAnsi="Times New Roman" w:cs="Times New Roman"/>
          <w:lang w:val="en-CA"/>
        </w:rPr>
        <w:t>, together with the sperm viability and the sperm total count of the queens that were expose to OA.</w:t>
      </w:r>
    </w:p>
    <w:tbl>
      <w:tblPr>
        <w:tblW w:w="11291" w:type="dxa"/>
        <w:tblInd w:w="-960" w:type="dxa"/>
        <w:tblLook w:val="04A0" w:firstRow="1" w:lastRow="0" w:firstColumn="1" w:lastColumn="0" w:noHBand="0" w:noVBand="1"/>
      </w:tblPr>
      <w:tblGrid>
        <w:gridCol w:w="2219"/>
        <w:gridCol w:w="1842"/>
        <w:gridCol w:w="2410"/>
        <w:gridCol w:w="2552"/>
        <w:gridCol w:w="2268"/>
      </w:tblGrid>
      <w:tr w:rsidR="00AF5EFB" w:rsidRPr="00AF5EFB" w14:paraId="7E8D38F0" w14:textId="77777777" w:rsidTr="00AF5EFB">
        <w:trPr>
          <w:trHeight w:val="345"/>
        </w:trPr>
        <w:tc>
          <w:tcPr>
            <w:tcW w:w="221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52C1A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proofErr w:type="spellStart"/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Nucs</w:t>
            </w:r>
            <w:proofErr w:type="spellEnd"/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 xml:space="preserve"> with queen exposed to OA dose (g)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8D22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Brood cells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00DB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Inter-frame spaces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B18A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Sperm Viability (%)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EF32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Sperm Total count</w:t>
            </w:r>
          </w:p>
        </w:tc>
      </w:tr>
      <w:tr w:rsidR="00AF5EFB" w:rsidRPr="00AF5EFB" w14:paraId="1A2CC280" w14:textId="77777777" w:rsidTr="00AF5EFB">
        <w:trPr>
          <w:trHeight w:val="33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3F0F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0 g OA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DD45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4035 ± 584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A18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3.5 ± 0.3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63D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76.8 ± 3.5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4519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2187840 ± 368200</w:t>
            </w:r>
          </w:p>
        </w:tc>
      </w:tr>
      <w:tr w:rsidR="00AF5EFB" w:rsidRPr="00AF5EFB" w14:paraId="0E7192F5" w14:textId="77777777" w:rsidTr="00AF5EF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69FD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5 g OA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DF50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3728 ± 184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AFB8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3.2 ± 0.3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ED66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75.75 ± 5.5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DCE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2835025 ± 668681</w:t>
            </w:r>
          </w:p>
        </w:tc>
      </w:tr>
      <w:tr w:rsidR="00AF5EFB" w:rsidRPr="00AF5EFB" w14:paraId="5D7C0698" w14:textId="77777777" w:rsidTr="00EC0EF1">
        <w:trPr>
          <w:trHeight w:val="315"/>
        </w:trPr>
        <w:tc>
          <w:tcPr>
            <w:tcW w:w="2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808B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10 g OA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2F88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4391 ± 256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68D9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3.7 ± 0.4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0ACC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63.2 ± 8.9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1643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2151720 ± 752993</w:t>
            </w:r>
          </w:p>
        </w:tc>
      </w:tr>
      <w:tr w:rsidR="00AF5EFB" w:rsidRPr="00AF5EFB" w14:paraId="10628CB7" w14:textId="77777777" w:rsidTr="00EC0EF1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D19A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20 g 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FFBA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4804 ± 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42EF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4 ± 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A5CA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77.75 ± 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FD7D" w14:textId="77777777" w:rsidR="00AF5EFB" w:rsidRPr="00AF5EFB" w:rsidRDefault="00AF5EFB" w:rsidP="00AF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</w:pPr>
            <w:r w:rsidRPr="00AF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CA" w:eastAsia="en-CA"/>
                <w14:ligatures w14:val="none"/>
              </w:rPr>
              <w:t>1901500 ± 643940</w:t>
            </w:r>
          </w:p>
        </w:tc>
      </w:tr>
    </w:tbl>
    <w:p w14:paraId="71E61C22" w14:textId="1F3B2E85" w:rsidR="00AF5EFB" w:rsidRPr="00203584" w:rsidRDefault="00EC0EF1">
      <w:pPr>
        <w:rPr>
          <w:rFonts w:ascii="Times New Roman" w:hAnsi="Times New Roman" w:cs="Times New Roman"/>
          <w:lang w:val="en-CA"/>
        </w:rPr>
      </w:pPr>
      <w:r w:rsidRPr="00203584">
        <w:rPr>
          <w:rFonts w:ascii="Times New Roman" w:hAnsi="Times New Roman" w:cs="Times New Roman"/>
          <w:lang w:val="en-CA"/>
        </w:rPr>
        <w:t>The data are mean ± SE (n=</w:t>
      </w:r>
      <w:r>
        <w:rPr>
          <w:rFonts w:ascii="Times New Roman" w:hAnsi="Times New Roman" w:cs="Times New Roman"/>
          <w:lang w:val="en-CA"/>
        </w:rPr>
        <w:t>5</w:t>
      </w:r>
      <w:r w:rsidRPr="00203584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4</w:t>
      </w:r>
      <w:r w:rsidRPr="00203584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5</w:t>
      </w:r>
      <w:r w:rsidRPr="00203584">
        <w:rPr>
          <w:rFonts w:ascii="Times New Roman" w:hAnsi="Times New Roman" w:cs="Times New Roman"/>
          <w:lang w:val="en-CA"/>
        </w:rPr>
        <w:t xml:space="preserve"> and </w:t>
      </w:r>
      <w:r>
        <w:rPr>
          <w:rFonts w:ascii="Times New Roman" w:hAnsi="Times New Roman" w:cs="Times New Roman"/>
          <w:lang w:val="en-CA"/>
        </w:rPr>
        <w:t>4</w:t>
      </w:r>
      <w:r w:rsidRPr="00203584">
        <w:rPr>
          <w:rFonts w:ascii="Times New Roman" w:hAnsi="Times New Roman" w:cs="Times New Roman"/>
          <w:lang w:val="en-CA"/>
        </w:rPr>
        <w:t>, for 0, 5, 10 and 20g OA, respectively).</w:t>
      </w:r>
    </w:p>
    <w:sectPr w:rsidR="00AF5EFB" w:rsidRPr="00203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84"/>
    <w:rsid w:val="001A2A8B"/>
    <w:rsid w:val="00203584"/>
    <w:rsid w:val="002A27F4"/>
    <w:rsid w:val="003855BD"/>
    <w:rsid w:val="00451E8A"/>
    <w:rsid w:val="004E135B"/>
    <w:rsid w:val="00577AE2"/>
    <w:rsid w:val="00762F3E"/>
    <w:rsid w:val="00A70BB9"/>
    <w:rsid w:val="00A9100F"/>
    <w:rsid w:val="00AF5EFB"/>
    <w:rsid w:val="00C90EAA"/>
    <w:rsid w:val="00D13E27"/>
    <w:rsid w:val="00E028BD"/>
    <w:rsid w:val="00E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4C1E"/>
  <w15:chartTrackingRefBased/>
  <w15:docId w15:val="{E2F5A7E8-40D0-4DBE-BF86-7999A61C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84"/>
    <w:rPr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84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84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84"/>
    <w:rPr>
      <w:rFonts w:eastAsiaTheme="majorEastAsia" w:cstheme="majorBidi"/>
      <w:color w:val="0F4761" w:themeColor="accent1" w:themeShade="BF"/>
      <w:lang w:val="es-A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84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84"/>
    <w:rPr>
      <w:rFonts w:eastAsiaTheme="majorEastAsia" w:cstheme="majorBidi"/>
      <w:color w:val="595959" w:themeColor="text1" w:themeTint="A6"/>
      <w:lang w:val="es-A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84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84"/>
    <w:rPr>
      <w:rFonts w:eastAsiaTheme="majorEastAsia" w:cstheme="majorBidi"/>
      <w:color w:val="272727" w:themeColor="text1" w:themeTint="D8"/>
      <w:lang w:val="es-AR"/>
    </w:rPr>
  </w:style>
  <w:style w:type="paragraph" w:styleId="Title">
    <w:name w:val="Title"/>
    <w:basedOn w:val="Normal"/>
    <w:next w:val="Normal"/>
    <w:link w:val="TitleChar"/>
    <w:uiPriority w:val="10"/>
    <w:qFormat/>
    <w:rsid w:val="00203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84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84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Quote">
    <w:name w:val="Quote"/>
    <w:basedOn w:val="Normal"/>
    <w:next w:val="Normal"/>
    <w:link w:val="QuoteChar"/>
    <w:uiPriority w:val="29"/>
    <w:qFormat/>
    <w:rsid w:val="0020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84"/>
    <w:rPr>
      <w:i/>
      <w:iCs/>
      <w:color w:val="404040" w:themeColor="text1" w:themeTint="BF"/>
      <w:lang w:val="es-AR"/>
    </w:rPr>
  </w:style>
  <w:style w:type="paragraph" w:styleId="ListParagraph">
    <w:name w:val="List Paragraph"/>
    <w:basedOn w:val="Normal"/>
    <w:uiPriority w:val="34"/>
    <w:qFormat/>
    <w:rsid w:val="00203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84"/>
    <w:rPr>
      <w:i/>
      <w:iCs/>
      <w:color w:val="0F4761" w:themeColor="accent1" w:themeShade="BF"/>
      <w:lang w:val="es-AR"/>
    </w:rPr>
  </w:style>
  <w:style w:type="character" w:styleId="IntenseReference">
    <w:name w:val="Intense Reference"/>
    <w:basedOn w:val="DefaultParagraphFont"/>
    <w:uiPriority w:val="32"/>
    <w:qFormat/>
    <w:rsid w:val="0020358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0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584"/>
    <w:pPr>
      <w:spacing w:line="240" w:lineRule="auto"/>
    </w:pPr>
    <w:rPr>
      <w:rFonts w:ascii="Times New Roman" w:hAnsi="Times New Roman" w:cs="Times New Roman"/>
      <w:kern w:val="0"/>
      <w:sz w:val="20"/>
      <w:szCs w:val="20"/>
      <w:lang w:val="en-C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584"/>
    <w:rPr>
      <w:rFonts w:ascii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Tellarini Prieto, Emilio</dc:creator>
  <cp:keywords/>
  <dc:description/>
  <cp:lastModifiedBy>Tim West</cp:lastModifiedBy>
  <cp:revision>4</cp:revision>
  <dcterms:created xsi:type="dcterms:W3CDTF">2024-06-25T23:57:00Z</dcterms:created>
  <dcterms:modified xsi:type="dcterms:W3CDTF">2024-07-09T15:23:00Z</dcterms:modified>
</cp:coreProperties>
</file>