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5CF62A0B" w:rsidR="00654E8F" w:rsidRDefault="00654E8F" w:rsidP="0001436A">
      <w:pPr>
        <w:pStyle w:val="SupplementaryMaterial"/>
      </w:pPr>
      <w:r w:rsidRPr="001549D3">
        <w:t>Supplementary Material</w:t>
      </w:r>
    </w:p>
    <w:p w14:paraId="705DA3D2" w14:textId="77777777" w:rsidR="00571BDC" w:rsidRPr="00571BDC" w:rsidRDefault="00571BDC" w:rsidP="00571BDC">
      <w:pPr>
        <w:suppressLineNumbers/>
        <w:spacing w:before="240" w:after="360"/>
        <w:jc w:val="center"/>
        <w:rPr>
          <w:rFonts w:cs="Times New Roman"/>
          <w:b/>
          <w:sz w:val="32"/>
          <w:szCs w:val="32"/>
        </w:rPr>
      </w:pPr>
      <w:bookmarkStart w:id="0" w:name="_GoBack"/>
      <w:r w:rsidRPr="00571BDC">
        <w:rPr>
          <w:rFonts w:cs="Times New Roman"/>
          <w:b/>
          <w:sz w:val="32"/>
          <w:szCs w:val="32"/>
        </w:rPr>
        <w:t>Cu-alginate hydrogels in microfluidic systems</w:t>
      </w:r>
      <w:bookmarkEnd w:id="0"/>
      <w:r w:rsidRPr="00571BDC">
        <w:rPr>
          <w:rFonts w:cs="Times New Roman"/>
          <w:b/>
          <w:sz w:val="32"/>
          <w:szCs w:val="32"/>
        </w:rPr>
        <w:t xml:space="preserve">: a sustainable catalytic approach for click chemistry </w:t>
      </w:r>
    </w:p>
    <w:p w14:paraId="5362B58F" w14:textId="77777777" w:rsidR="00571BDC" w:rsidRPr="00571BDC" w:rsidRDefault="00571BDC" w:rsidP="00571BDC">
      <w:pPr>
        <w:spacing w:before="240"/>
        <w:rPr>
          <w:rFonts w:cs="Times New Roman"/>
          <w:b/>
          <w:szCs w:val="24"/>
        </w:rPr>
      </w:pPr>
      <w:r w:rsidRPr="00571BDC">
        <w:rPr>
          <w:rFonts w:cs="Times New Roman"/>
          <w:b/>
          <w:szCs w:val="24"/>
        </w:rPr>
        <w:t>Arijana Ramšak</w:t>
      </w:r>
      <w:r w:rsidRPr="00571BDC">
        <w:rPr>
          <w:rFonts w:cs="Times New Roman"/>
          <w:b/>
          <w:szCs w:val="24"/>
          <w:vertAlign w:val="superscript"/>
        </w:rPr>
        <w:t>1</w:t>
      </w:r>
      <w:r w:rsidRPr="00571BDC">
        <w:rPr>
          <w:rFonts w:cs="Times New Roman"/>
          <w:b/>
          <w:szCs w:val="24"/>
        </w:rPr>
        <w:t>, Martin Gazvoda</w:t>
      </w:r>
      <w:r w:rsidRPr="00571BDC">
        <w:rPr>
          <w:rFonts w:cs="Times New Roman"/>
          <w:b/>
          <w:szCs w:val="24"/>
          <w:vertAlign w:val="superscript"/>
        </w:rPr>
        <w:t>1</w:t>
      </w:r>
      <w:r w:rsidRPr="00571BDC">
        <w:rPr>
          <w:rFonts w:cs="Times New Roman"/>
          <w:b/>
          <w:szCs w:val="24"/>
        </w:rPr>
        <w:t xml:space="preserve">, Igor Plazl </w:t>
      </w:r>
      <w:r w:rsidRPr="00571BDC">
        <w:rPr>
          <w:rFonts w:cs="Times New Roman"/>
          <w:b/>
          <w:szCs w:val="24"/>
          <w:vertAlign w:val="superscript"/>
        </w:rPr>
        <w:t>1</w:t>
      </w:r>
      <w:r w:rsidRPr="00571BDC">
        <w:rPr>
          <w:rFonts w:cs="Times New Roman"/>
          <w:b/>
          <w:szCs w:val="24"/>
        </w:rPr>
        <w:t>, Rok Ambrožič</w:t>
      </w:r>
      <w:r w:rsidRPr="00571BDC">
        <w:rPr>
          <w:rFonts w:cs="Times New Roman"/>
          <w:b/>
          <w:szCs w:val="24"/>
          <w:vertAlign w:val="superscript"/>
        </w:rPr>
        <w:t>1*</w:t>
      </w:r>
    </w:p>
    <w:p w14:paraId="6AB7BD69" w14:textId="073FBD0E" w:rsidR="00571BDC" w:rsidRDefault="00571BDC" w:rsidP="00571BDC">
      <w:pPr>
        <w:spacing w:before="240" w:after="0"/>
        <w:jc w:val="both"/>
        <w:rPr>
          <w:rFonts w:cs="Times New Roman"/>
          <w:szCs w:val="24"/>
        </w:rPr>
      </w:pPr>
      <w:r w:rsidRPr="00571BDC">
        <w:rPr>
          <w:rFonts w:cs="Times New Roman"/>
          <w:szCs w:val="24"/>
          <w:vertAlign w:val="superscript"/>
        </w:rPr>
        <w:t>1</w:t>
      </w:r>
      <w:r w:rsidRPr="00571BDC">
        <w:rPr>
          <w:rFonts w:cs="Times New Roman"/>
          <w:szCs w:val="24"/>
        </w:rPr>
        <w:t xml:space="preserve">University of Ljubljana, Faculty of Chemistry and Chemical Technology, </w:t>
      </w:r>
      <w:proofErr w:type="spellStart"/>
      <w:r w:rsidRPr="00571BDC">
        <w:rPr>
          <w:rFonts w:cs="Times New Roman"/>
          <w:szCs w:val="24"/>
        </w:rPr>
        <w:t>Večna</w:t>
      </w:r>
      <w:proofErr w:type="spellEnd"/>
      <w:r w:rsidRPr="00571BDC">
        <w:rPr>
          <w:rFonts w:cs="Times New Roman"/>
          <w:szCs w:val="24"/>
        </w:rPr>
        <w:t xml:space="preserve"> pot 113, 1000 Ljubljana, Slovenia</w:t>
      </w:r>
    </w:p>
    <w:p w14:paraId="3344818D" w14:textId="7E88D017" w:rsidR="00ED3EB5" w:rsidRPr="00571BDC" w:rsidRDefault="00ED3EB5" w:rsidP="00ED3EB5">
      <w:pPr>
        <w:spacing w:before="240" w:after="0"/>
        <w:rPr>
          <w:rFonts w:cs="Times New Roman"/>
          <w:b/>
          <w:szCs w:val="24"/>
        </w:rPr>
      </w:pPr>
      <w:r w:rsidRPr="00ED3EB5">
        <w:rPr>
          <w:rFonts w:cs="Times New Roman"/>
          <w:b/>
          <w:szCs w:val="24"/>
        </w:rPr>
        <w:t>*Correspondence:</w:t>
      </w:r>
      <w:r>
        <w:rPr>
          <w:rFonts w:cs="Times New Roman"/>
          <w:b/>
          <w:szCs w:val="24"/>
        </w:rPr>
        <w:t xml:space="preserve"> </w:t>
      </w:r>
      <w:hyperlink r:id="rId12" w:history="1">
        <w:r w:rsidRPr="00ED3EB5">
          <w:rPr>
            <w:rFonts w:cs="Times New Roman"/>
            <w:color w:val="0000FF"/>
            <w:szCs w:val="24"/>
            <w:u w:val="single"/>
          </w:rPr>
          <w:t>rok.ambrozic@fkkt.uni-lj.si</w:t>
        </w:r>
      </w:hyperlink>
      <w:r w:rsidRPr="00ED3EB5">
        <w:rPr>
          <w:rFonts w:cs="Times New Roman"/>
          <w:szCs w:val="24"/>
        </w:rPr>
        <w:t xml:space="preserve"> </w:t>
      </w:r>
    </w:p>
    <w:p w14:paraId="29026311" w14:textId="5ACC203A" w:rsidR="00EA3D3C" w:rsidRPr="00994A3D" w:rsidRDefault="00571BDC" w:rsidP="0001436A">
      <w:pPr>
        <w:pStyle w:val="Naslov1"/>
      </w:pPr>
      <w:r w:rsidRPr="00571BDC">
        <w:t>Development of CFD model</w:t>
      </w:r>
    </w:p>
    <w:p w14:paraId="08451C38" w14:textId="2CE59EAB" w:rsidR="00994A3D" w:rsidRDefault="00571BDC" w:rsidP="00571BDC">
      <w:pPr>
        <w:jc w:val="both"/>
        <w:rPr>
          <w:rFonts w:cs="Times New Roman"/>
          <w:szCs w:val="24"/>
        </w:rPr>
      </w:pPr>
      <w:r w:rsidRPr="00571BDC">
        <w:rPr>
          <w:rFonts w:cs="Times New Roman"/>
          <w:szCs w:val="24"/>
        </w:rPr>
        <w:t xml:space="preserve">The first step in the development of the CFD model was the geometry of the microfluidic device with appropriate meshing (Fig. A1). The mesh quality was assessed on the basis of mesh statistics: The average skewness was below 0.33, the number of nodes was 31588 and the number of elements was 65400. We also tested </w:t>
      </w:r>
      <w:proofErr w:type="gramStart"/>
      <w:r w:rsidRPr="00571BDC">
        <w:rPr>
          <w:rFonts w:cs="Times New Roman"/>
          <w:szCs w:val="24"/>
        </w:rPr>
        <w:t>more dense</w:t>
      </w:r>
      <w:proofErr w:type="gramEnd"/>
      <w:r w:rsidRPr="00571BDC">
        <w:rPr>
          <w:rFonts w:cs="Times New Roman"/>
          <w:szCs w:val="24"/>
        </w:rPr>
        <w:t xml:space="preserve"> meshes to assess their impact on CFD prediction. However, as no further improvement in concentration distribution was observed at higher computation times, the original mesh was preserved.</w:t>
      </w:r>
      <w:r>
        <w:rPr>
          <w:rFonts w:cs="Times New Roman"/>
          <w:szCs w:val="24"/>
        </w:rPr>
        <w:t xml:space="preserve"> </w:t>
      </w:r>
    </w:p>
    <w:p w14:paraId="10DBAF9E" w14:textId="4468C06A" w:rsidR="0075099F" w:rsidRPr="0075099F" w:rsidRDefault="0075099F" w:rsidP="0075099F">
      <w:pPr>
        <w:spacing w:before="100" w:beforeAutospacing="1" w:after="100" w:afterAutospacing="1"/>
        <w:rPr>
          <w:rFonts w:eastAsia="Times New Roman" w:cs="Times New Roman"/>
          <w:szCs w:val="24"/>
          <w:lang w:val="sl-SI" w:eastAsia="sl-SI"/>
        </w:rPr>
      </w:pPr>
      <w:r w:rsidRPr="0075099F">
        <w:rPr>
          <w:rFonts w:eastAsia="Times New Roman" w:cs="Times New Roman"/>
          <w:noProof/>
          <w:szCs w:val="24"/>
          <w:lang w:val="sl-SI" w:eastAsia="sl-SI"/>
        </w:rPr>
        <w:drawing>
          <wp:inline distT="0" distB="0" distL="0" distR="0" wp14:anchorId="764280C9" wp14:editId="4C03AF4B">
            <wp:extent cx="5760000" cy="3240000"/>
            <wp:effectExtent l="0" t="0" r="0" b="0"/>
            <wp:docPr id="3" name="Slika 3" descr="C:\Users\rambrozic\AppData\Local\Packages\Microsoft.Windows.Photos_8wekyb3d8bbwe\TempState\ShareServiceTempFolder\Predstavitev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mbrozic\AppData\Local\Packages\Microsoft.Windows.Photos_8wekyb3d8bbwe\TempState\ShareServiceTempFolder\Predstavitev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240000"/>
                    </a:xfrm>
                    <a:prstGeom prst="rect">
                      <a:avLst/>
                    </a:prstGeom>
                    <a:noFill/>
                    <a:ln>
                      <a:noFill/>
                    </a:ln>
                  </pic:spPr>
                </pic:pic>
              </a:graphicData>
            </a:graphic>
          </wp:inline>
        </w:drawing>
      </w:r>
    </w:p>
    <w:p w14:paraId="0B1BD60F" w14:textId="2F43AD2C" w:rsidR="0075099F" w:rsidRPr="0075099F" w:rsidRDefault="0075099F" w:rsidP="0075099F">
      <w:pPr>
        <w:spacing w:after="0" w:line="276" w:lineRule="auto"/>
        <w:jc w:val="both"/>
        <w:rPr>
          <w:rFonts w:ascii="Arial" w:eastAsia="Calibri" w:hAnsi="Arial" w:cs="Arial"/>
          <w:bCs/>
          <w:szCs w:val="20"/>
        </w:rPr>
      </w:pPr>
      <w:r w:rsidRPr="0075099F">
        <w:rPr>
          <w:rFonts w:eastAsia="Calibri" w:cs="Times New Roman"/>
          <w:b/>
          <w:szCs w:val="20"/>
        </w:rPr>
        <w:t>Fig</w:t>
      </w:r>
      <w:r>
        <w:rPr>
          <w:rFonts w:eastAsia="Calibri" w:cs="Times New Roman"/>
          <w:b/>
          <w:szCs w:val="20"/>
        </w:rPr>
        <w:t>ure</w:t>
      </w:r>
      <w:r w:rsidRPr="0075099F">
        <w:rPr>
          <w:rFonts w:eastAsia="Calibri" w:cs="Times New Roman"/>
          <w:b/>
          <w:szCs w:val="20"/>
        </w:rPr>
        <w:t xml:space="preserve"> A1 </w:t>
      </w:r>
      <w:proofErr w:type="gramStart"/>
      <w:r w:rsidRPr="0075099F">
        <w:rPr>
          <w:rFonts w:eastAsia="Calibri" w:cs="Times New Roman"/>
          <w:bCs/>
          <w:szCs w:val="20"/>
        </w:rPr>
        <w:t>The</w:t>
      </w:r>
      <w:proofErr w:type="gramEnd"/>
      <w:r w:rsidRPr="0075099F">
        <w:rPr>
          <w:rFonts w:eastAsia="Calibri" w:cs="Times New Roman"/>
          <w:bCs/>
          <w:szCs w:val="20"/>
        </w:rPr>
        <w:t xml:space="preserve"> mesh of geometry used for CFD simulation. The geometry and meshing process was performed within Ansys software. The inset represents the mesh quality in y-direction</w:t>
      </w:r>
      <w:r w:rsidRPr="0075099F">
        <w:rPr>
          <w:rFonts w:ascii="Arial" w:eastAsia="Calibri" w:hAnsi="Arial" w:cs="Arial"/>
          <w:bCs/>
          <w:szCs w:val="20"/>
        </w:rPr>
        <w:t xml:space="preserve">. </w:t>
      </w:r>
    </w:p>
    <w:p w14:paraId="423A4E74" w14:textId="77777777" w:rsidR="0075099F" w:rsidRPr="0075099F" w:rsidRDefault="0075099F" w:rsidP="0075099F">
      <w:pPr>
        <w:jc w:val="both"/>
        <w:rPr>
          <w:rFonts w:cs="Times New Roman"/>
          <w:szCs w:val="24"/>
          <w:lang w:val="sl-SI"/>
        </w:rPr>
      </w:pPr>
    </w:p>
    <w:p w14:paraId="2993A536" w14:textId="6B030288" w:rsidR="00571BDC" w:rsidRPr="00571BDC" w:rsidRDefault="00571BDC" w:rsidP="00571BDC">
      <w:pPr>
        <w:jc w:val="both"/>
        <w:rPr>
          <w:szCs w:val="24"/>
        </w:rPr>
      </w:pPr>
      <w:r w:rsidRPr="00571BDC">
        <w:rPr>
          <w:szCs w:val="24"/>
        </w:rPr>
        <w:lastRenderedPageBreak/>
        <w:t>The development of a CFD model for electrodeposition and dissolution of alginate hydrogel involves the equations governing fluid mechanics by conservation of mass and conservation of momentum. The conservation of mass for an incompressible fluid is:</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66"/>
      </w:tblGrid>
      <w:tr w:rsidR="00571BDC" w:rsidRPr="00571BDC" w14:paraId="4C37063C" w14:textId="77777777" w:rsidTr="00567C4D">
        <w:tc>
          <w:tcPr>
            <w:tcW w:w="7196" w:type="dxa"/>
          </w:tcPr>
          <w:p w14:paraId="2035DB44" w14:textId="1E96EA2C" w:rsidR="00571BDC" w:rsidRPr="00571BDC" w:rsidRDefault="00571BDC" w:rsidP="00571BDC">
            <w:pPr>
              <w:jc w:val="both"/>
              <w:rPr>
                <w:b/>
                <w:szCs w:val="24"/>
              </w:rPr>
            </w:pPr>
            <m:oMathPara>
              <m:oMathParaPr>
                <m:jc m:val="left"/>
              </m:oMathParaPr>
              <m:oMath>
                <m:r>
                  <m:rPr>
                    <m:sty m:val="b"/>
                  </m:rPr>
                  <w:rPr>
                    <w:rFonts w:ascii="Cambria Math" w:hAnsi="Cambria Math"/>
                    <w:szCs w:val="24"/>
                  </w:rPr>
                  <m:t>∇</m:t>
                </m:r>
                <m:r>
                  <m:rPr>
                    <m:sty m:val="bi"/>
                  </m:rPr>
                  <w:rPr>
                    <w:rFonts w:ascii="Cambria Math" w:hAnsi="Cambria Math"/>
                    <w:szCs w:val="24"/>
                  </w:rPr>
                  <m:t>∙u=0</m:t>
                </m:r>
              </m:oMath>
            </m:oMathPara>
          </w:p>
        </w:tc>
        <w:tc>
          <w:tcPr>
            <w:tcW w:w="1866" w:type="dxa"/>
          </w:tcPr>
          <w:p w14:paraId="4D298097" w14:textId="77777777" w:rsidR="00571BDC" w:rsidRPr="00571BDC" w:rsidRDefault="00571BDC" w:rsidP="00571BDC">
            <w:pPr>
              <w:jc w:val="right"/>
              <w:rPr>
                <w:szCs w:val="24"/>
              </w:rPr>
            </w:pPr>
            <w:r w:rsidRPr="00571BDC">
              <w:rPr>
                <w:szCs w:val="24"/>
              </w:rPr>
              <w:t>(A1)</w:t>
            </w:r>
          </w:p>
        </w:tc>
      </w:tr>
    </w:tbl>
    <w:p w14:paraId="3BB97061" w14:textId="6D8505E0" w:rsidR="00571BDC" w:rsidRPr="00571BDC" w:rsidRDefault="00571BDC" w:rsidP="00571BDC">
      <w:pPr>
        <w:jc w:val="both"/>
        <w:rPr>
          <w:szCs w:val="24"/>
        </w:rPr>
      </w:pPr>
      <w:r w:rsidRPr="00571BDC">
        <w:rPr>
          <w:szCs w:val="24"/>
        </w:rPr>
        <w:t xml:space="preserve">while conservation of momentum can be expressed by the </w:t>
      </w:r>
      <w:proofErr w:type="spellStart"/>
      <w:r w:rsidRPr="00571BDC">
        <w:rPr>
          <w:szCs w:val="24"/>
        </w:rPr>
        <w:t>Navier</w:t>
      </w:r>
      <w:proofErr w:type="spellEnd"/>
      <w:r w:rsidRPr="00571BDC">
        <w:rPr>
          <w:szCs w:val="24"/>
        </w:rPr>
        <w:t>-Stokes equations:</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66"/>
      </w:tblGrid>
      <w:tr w:rsidR="00571BDC" w:rsidRPr="00571BDC" w14:paraId="6D240B9D" w14:textId="77777777" w:rsidTr="00567C4D">
        <w:tc>
          <w:tcPr>
            <w:tcW w:w="7196" w:type="dxa"/>
          </w:tcPr>
          <w:p w14:paraId="541906B7" w14:textId="178BBFD9" w:rsidR="00571BDC" w:rsidRPr="00571BDC" w:rsidRDefault="007661E1" w:rsidP="00571BDC">
            <w:pPr>
              <w:jc w:val="both"/>
              <w:rPr>
                <w:b/>
                <w:szCs w:val="24"/>
              </w:rPr>
            </w:pPr>
            <m:oMathPara>
              <m:oMathParaPr>
                <m:jc m:val="left"/>
              </m:oMathParaPr>
              <m:oMath>
                <m:f>
                  <m:fPr>
                    <m:ctrlPr>
                      <w:rPr>
                        <w:rFonts w:ascii="Cambria Math" w:hAnsi="Cambria Math"/>
                        <w:b/>
                        <w:i/>
                        <w:szCs w:val="24"/>
                      </w:rPr>
                    </m:ctrlPr>
                  </m:fPr>
                  <m:num>
                    <m:r>
                      <m:rPr>
                        <m:sty m:val="bi"/>
                      </m:rPr>
                      <w:rPr>
                        <w:rFonts w:ascii="Cambria Math" w:hAnsi="Cambria Math"/>
                        <w:szCs w:val="24"/>
                      </w:rPr>
                      <m:t>∂u</m:t>
                    </m:r>
                  </m:num>
                  <m:den>
                    <m:r>
                      <m:rPr>
                        <m:sty m:val="bi"/>
                      </m:rPr>
                      <w:rPr>
                        <w:rFonts w:ascii="Cambria Math" w:hAnsi="Cambria Math"/>
                        <w:szCs w:val="24"/>
                      </w:rPr>
                      <m:t>∂t</m:t>
                    </m:r>
                  </m:den>
                </m:f>
                <m:r>
                  <m:rPr>
                    <m:sty m:val="bi"/>
                  </m:rPr>
                  <w:rPr>
                    <w:rFonts w:ascii="Cambria Math" w:hAnsi="Cambria Math"/>
                    <w:szCs w:val="24"/>
                  </w:rPr>
                  <m:t>=</m:t>
                </m:r>
                <m:r>
                  <m:rPr>
                    <m:sty m:val="b"/>
                  </m:rPr>
                  <w:rPr>
                    <w:rFonts w:ascii="Cambria Math" w:hAnsi="Cambria Math"/>
                    <w:szCs w:val="24"/>
                  </w:rPr>
                  <m:t>∇</m:t>
                </m:r>
                <m:r>
                  <m:rPr>
                    <m:sty m:val="bi"/>
                  </m:rPr>
                  <w:rPr>
                    <w:rFonts w:ascii="Cambria Math" w:hAnsi="Cambria Math"/>
                    <w:szCs w:val="24"/>
                  </w:rPr>
                  <m:t>∙</m:t>
                </m:r>
                <m:d>
                  <m:dPr>
                    <m:ctrlPr>
                      <w:rPr>
                        <w:rFonts w:ascii="Cambria Math" w:hAnsi="Cambria Math"/>
                        <w:b/>
                        <w:i/>
                        <w:szCs w:val="24"/>
                      </w:rPr>
                    </m:ctrlPr>
                  </m:dPr>
                  <m:e>
                    <m:r>
                      <m:rPr>
                        <m:sty m:val="bi"/>
                      </m:rPr>
                      <w:rPr>
                        <w:rFonts w:ascii="Cambria Math" w:hAnsi="Cambria Math"/>
                        <w:szCs w:val="24"/>
                      </w:rPr>
                      <m:t>u⊗u</m:t>
                    </m:r>
                  </m:e>
                </m:d>
                <m:r>
                  <m:rPr>
                    <m:sty m:val="bi"/>
                  </m:rPr>
                  <w:rPr>
                    <w:rFonts w:ascii="Cambria Math" w:hAnsi="Cambria Math"/>
                    <w:szCs w:val="24"/>
                  </w:rPr>
                  <m:t>-</m:t>
                </m:r>
                <m:r>
                  <m:rPr>
                    <m:sty m:val="b"/>
                  </m:rPr>
                  <w:rPr>
                    <w:rFonts w:ascii="Cambria Math" w:hAnsi="Cambria Math"/>
                    <w:szCs w:val="24"/>
                  </w:rPr>
                  <m:t>∇</m:t>
                </m:r>
                <m:d>
                  <m:dPr>
                    <m:ctrlPr>
                      <w:rPr>
                        <w:rFonts w:ascii="Cambria Math" w:hAnsi="Cambria Math"/>
                        <w:b/>
                        <w:i/>
                        <w:szCs w:val="24"/>
                      </w:rPr>
                    </m:ctrlPr>
                  </m:dPr>
                  <m:e>
                    <m:r>
                      <m:rPr>
                        <m:sty m:val="bi"/>
                      </m:rPr>
                      <w:rPr>
                        <w:rFonts w:ascii="Cambria Math" w:hAnsi="Cambria Math"/>
                        <w:szCs w:val="24"/>
                      </w:rPr>
                      <m:t>ν</m:t>
                    </m:r>
                    <m:r>
                      <m:rPr>
                        <m:sty m:val="b"/>
                      </m:rPr>
                      <w:rPr>
                        <w:rFonts w:ascii="Cambria Math" w:hAnsi="Cambria Math"/>
                        <w:szCs w:val="24"/>
                      </w:rPr>
                      <m:t>∇</m:t>
                    </m:r>
                    <m:r>
                      <m:rPr>
                        <m:sty m:val="bi"/>
                      </m:rPr>
                      <w:rPr>
                        <w:rFonts w:ascii="Cambria Math" w:hAnsi="Cambria Math"/>
                        <w:szCs w:val="24"/>
                      </w:rPr>
                      <m:t>u</m:t>
                    </m:r>
                  </m:e>
                </m:d>
                <m:r>
                  <m:rPr>
                    <m:sty m:val="bi"/>
                  </m:rPr>
                  <w:rPr>
                    <w:rFonts w:ascii="Cambria Math" w:hAnsi="Cambria Math"/>
                    <w:szCs w:val="24"/>
                  </w:rPr>
                  <m:t>=</m:t>
                </m:r>
                <m:f>
                  <m:fPr>
                    <m:ctrlPr>
                      <w:rPr>
                        <w:rFonts w:ascii="Cambria Math" w:hAnsi="Cambria Math"/>
                        <w:b/>
                        <w:i/>
                        <w:szCs w:val="24"/>
                      </w:rPr>
                    </m:ctrlPr>
                  </m:fPr>
                  <m:num>
                    <m:r>
                      <m:rPr>
                        <m:sty m:val="bi"/>
                      </m:rPr>
                      <w:rPr>
                        <w:rFonts w:ascii="Cambria Math" w:hAnsi="Cambria Math"/>
                        <w:szCs w:val="24"/>
                      </w:rPr>
                      <m:t>1</m:t>
                    </m:r>
                  </m:num>
                  <m:den>
                    <m:r>
                      <m:rPr>
                        <m:sty m:val="bi"/>
                      </m:rPr>
                      <w:rPr>
                        <w:rFonts w:ascii="Cambria Math" w:hAnsi="Cambria Math"/>
                        <w:szCs w:val="24"/>
                      </w:rPr>
                      <m:t>ρ</m:t>
                    </m:r>
                  </m:den>
                </m:f>
                <m:r>
                  <m:rPr>
                    <m:sty m:val="b"/>
                  </m:rPr>
                  <w:rPr>
                    <w:rFonts w:ascii="Cambria Math" w:hAnsi="Cambria Math"/>
                    <w:szCs w:val="24"/>
                  </w:rPr>
                  <m:t>∇</m:t>
                </m:r>
                <m:r>
                  <m:rPr>
                    <m:sty m:val="bi"/>
                  </m:rPr>
                  <w:rPr>
                    <w:rFonts w:ascii="Cambria Math" w:hAnsi="Cambria Math"/>
                    <w:szCs w:val="24"/>
                  </w:rPr>
                  <m:t>p+F</m:t>
                </m:r>
              </m:oMath>
            </m:oMathPara>
          </w:p>
        </w:tc>
        <w:tc>
          <w:tcPr>
            <w:tcW w:w="1866" w:type="dxa"/>
          </w:tcPr>
          <w:p w14:paraId="5F236D46" w14:textId="77777777" w:rsidR="00571BDC" w:rsidRPr="00571BDC" w:rsidRDefault="00571BDC" w:rsidP="00571BDC">
            <w:pPr>
              <w:jc w:val="right"/>
              <w:rPr>
                <w:szCs w:val="24"/>
              </w:rPr>
            </w:pPr>
            <w:r w:rsidRPr="00571BDC">
              <w:rPr>
                <w:szCs w:val="24"/>
              </w:rPr>
              <w:t>(A2)</w:t>
            </w:r>
          </w:p>
        </w:tc>
      </w:tr>
    </w:tbl>
    <w:p w14:paraId="664F1E37" w14:textId="77777777" w:rsidR="00571BDC" w:rsidRPr="00571BDC" w:rsidRDefault="00571BDC" w:rsidP="00571BDC">
      <w:pPr>
        <w:jc w:val="both"/>
        <w:rPr>
          <w:szCs w:val="24"/>
        </w:rPr>
      </w:pPr>
      <w:r w:rsidRPr="00571BDC">
        <w:rPr>
          <w:szCs w:val="24"/>
        </w:rPr>
        <w:t xml:space="preserve">where </w:t>
      </w:r>
      <m:oMath>
        <m:r>
          <w:rPr>
            <w:rFonts w:ascii="Cambria Math" w:hAnsi="Cambria Math"/>
            <w:szCs w:val="24"/>
          </w:rPr>
          <m:t>u</m:t>
        </m:r>
      </m:oMath>
      <w:r w:rsidRPr="00571BDC">
        <w:rPr>
          <w:szCs w:val="24"/>
        </w:rPr>
        <w:t xml:space="preserve"> is the fluid velocity, </w:t>
      </w:r>
      <m:oMath>
        <m:r>
          <w:rPr>
            <w:rFonts w:ascii="Cambria Math" w:hAnsi="Cambria Math"/>
            <w:szCs w:val="24"/>
          </w:rPr>
          <m:t>ν</m:t>
        </m:r>
      </m:oMath>
      <w:r w:rsidRPr="00571BDC">
        <w:rPr>
          <w:szCs w:val="24"/>
        </w:rPr>
        <w:t xml:space="preserve"> is the kinematic viscosity, </w:t>
      </w:r>
      <m:oMath>
        <m:r>
          <w:rPr>
            <w:rFonts w:ascii="Cambria Math" w:hAnsi="Cambria Math"/>
            <w:szCs w:val="24"/>
          </w:rPr>
          <m:t>ρ</m:t>
        </m:r>
      </m:oMath>
      <w:r w:rsidRPr="00571BDC">
        <w:rPr>
          <w:szCs w:val="24"/>
        </w:rPr>
        <w:t xml:space="preserve"> is the fluid density, </w:t>
      </w:r>
      <m:oMath>
        <m:r>
          <w:rPr>
            <w:rFonts w:ascii="Cambria Math" w:hAnsi="Cambria Math"/>
            <w:szCs w:val="24"/>
          </w:rPr>
          <m:t>p</m:t>
        </m:r>
      </m:oMath>
      <w:r w:rsidRPr="00571BDC">
        <w:rPr>
          <w:szCs w:val="24"/>
        </w:rPr>
        <w:t xml:space="preserve"> is the fluid pressure, and </w:t>
      </w:r>
      <m:oMath>
        <m:r>
          <w:rPr>
            <w:rFonts w:ascii="Cambria Math" w:hAnsi="Cambria Math"/>
            <w:szCs w:val="24"/>
          </w:rPr>
          <m:t>F</m:t>
        </m:r>
      </m:oMath>
      <w:r w:rsidRPr="00571BDC">
        <w:rPr>
          <w:szCs w:val="24"/>
        </w:rPr>
        <w:t xml:space="preserve"> is any body force acting on the fluid. The solution of the </w:t>
      </w:r>
      <w:proofErr w:type="spellStart"/>
      <w:r w:rsidRPr="00571BDC">
        <w:rPr>
          <w:szCs w:val="24"/>
        </w:rPr>
        <w:t>Navier</w:t>
      </w:r>
      <w:proofErr w:type="spellEnd"/>
      <w:r w:rsidRPr="00571BDC">
        <w:rPr>
          <w:szCs w:val="24"/>
        </w:rPr>
        <w:t xml:space="preserve">-Stokes equations was obtained using a built-in function of Ansys FLUENT. </w:t>
      </w:r>
    </w:p>
    <w:p w14:paraId="3510B59B" w14:textId="233F66ED" w:rsidR="00571BDC" w:rsidRPr="00571BDC" w:rsidRDefault="00571BDC" w:rsidP="00571BDC">
      <w:pPr>
        <w:jc w:val="both"/>
        <w:rPr>
          <w:szCs w:val="24"/>
        </w:rPr>
      </w:pPr>
      <w:r w:rsidRPr="00571BDC">
        <w:rPr>
          <w:szCs w:val="24"/>
        </w:rPr>
        <w:t>The mass transport of charge carriers in aqueous systems can be described by the Nernst-Planck equations:</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66"/>
      </w:tblGrid>
      <w:tr w:rsidR="00571BDC" w:rsidRPr="00571BDC" w14:paraId="6247FDE7" w14:textId="77777777" w:rsidTr="00567C4D">
        <w:tc>
          <w:tcPr>
            <w:tcW w:w="7196" w:type="dxa"/>
          </w:tcPr>
          <w:p w14:paraId="5D13C5F0" w14:textId="6180A912" w:rsidR="00571BDC" w:rsidRPr="00571BDC" w:rsidRDefault="007661E1" w:rsidP="00571BDC">
            <w:pPr>
              <w:jc w:val="both"/>
              <w:rPr>
                <w:b/>
                <w:szCs w:val="24"/>
              </w:rPr>
            </w:pPr>
            <m:oMathPara>
              <m:oMathParaPr>
                <m:jc m:val="left"/>
              </m:oMathParaPr>
              <m:oMath>
                <m:f>
                  <m:fPr>
                    <m:ctrlPr>
                      <w:rPr>
                        <w:rFonts w:ascii="Cambria Math" w:hAnsi="Cambria Math"/>
                        <w:b/>
                        <w:i/>
                        <w:szCs w:val="24"/>
                      </w:rPr>
                    </m:ctrlPr>
                  </m:fPr>
                  <m:num>
                    <m:r>
                      <m:rPr>
                        <m:sty m:val="bi"/>
                      </m:rPr>
                      <w:rPr>
                        <w:rFonts w:ascii="Cambria Math" w:hAnsi="Cambria Math"/>
                        <w:szCs w:val="24"/>
                      </w:rPr>
                      <m:t>∂C</m:t>
                    </m:r>
                  </m:num>
                  <m:den>
                    <m:r>
                      <m:rPr>
                        <m:sty m:val="bi"/>
                      </m:rPr>
                      <w:rPr>
                        <w:rFonts w:ascii="Cambria Math" w:hAnsi="Cambria Math"/>
                        <w:szCs w:val="24"/>
                      </w:rPr>
                      <m:t>∂t</m:t>
                    </m:r>
                  </m:den>
                </m:f>
                <m:r>
                  <m:rPr>
                    <m:sty m:val="bi"/>
                  </m:rPr>
                  <w:rPr>
                    <w:rFonts w:ascii="Cambria Math" w:hAnsi="Cambria Math"/>
                    <w:szCs w:val="24"/>
                  </w:rPr>
                  <m:t>=-</m:t>
                </m:r>
                <m:r>
                  <m:rPr>
                    <m:sty m:val="b"/>
                  </m:rPr>
                  <w:rPr>
                    <w:rFonts w:ascii="Cambria Math" w:hAnsi="Cambria Math"/>
                    <w:szCs w:val="24"/>
                  </w:rPr>
                  <m:t>∇</m:t>
                </m:r>
                <m:r>
                  <m:rPr>
                    <m:sty m:val="bi"/>
                  </m:rPr>
                  <w:rPr>
                    <w:rFonts w:ascii="Cambria Math" w:hAnsi="Cambria Math"/>
                    <w:szCs w:val="24"/>
                  </w:rPr>
                  <m:t>∙</m:t>
                </m:r>
                <m:d>
                  <m:dPr>
                    <m:begChr m:val="["/>
                    <m:endChr m:val="]"/>
                    <m:ctrlPr>
                      <w:rPr>
                        <w:rFonts w:ascii="Cambria Math" w:hAnsi="Cambria Math"/>
                        <w:b/>
                        <w:i/>
                        <w:szCs w:val="24"/>
                      </w:rPr>
                    </m:ctrlPr>
                  </m:dPr>
                  <m:e>
                    <m:r>
                      <m:rPr>
                        <m:sty m:val="bi"/>
                      </m:rPr>
                      <w:rPr>
                        <w:rFonts w:ascii="Cambria Math" w:hAnsi="Cambria Math"/>
                        <w:szCs w:val="24"/>
                      </w:rPr>
                      <m:t>-D</m:t>
                    </m:r>
                    <m:r>
                      <m:rPr>
                        <m:sty m:val="b"/>
                      </m:rPr>
                      <w:rPr>
                        <w:rFonts w:ascii="Cambria Math" w:hAnsi="Cambria Math"/>
                        <w:szCs w:val="24"/>
                      </w:rPr>
                      <m:t>∇</m:t>
                    </m:r>
                    <m:r>
                      <m:rPr>
                        <m:sty m:val="bi"/>
                      </m:rPr>
                      <w:rPr>
                        <w:rFonts w:ascii="Cambria Math" w:hAnsi="Cambria Math"/>
                        <w:szCs w:val="24"/>
                      </w:rPr>
                      <m:t>C-</m:t>
                    </m:r>
                    <m:d>
                      <m:dPr>
                        <m:ctrlPr>
                          <w:rPr>
                            <w:rFonts w:ascii="Cambria Math" w:hAnsi="Cambria Math"/>
                            <w:b/>
                            <w:i/>
                            <w:szCs w:val="24"/>
                          </w:rPr>
                        </m:ctrlPr>
                      </m:dPr>
                      <m:e>
                        <m:f>
                          <m:fPr>
                            <m:ctrlPr>
                              <w:rPr>
                                <w:rFonts w:ascii="Cambria Math" w:hAnsi="Cambria Math"/>
                                <w:b/>
                                <w:i/>
                                <w:szCs w:val="24"/>
                              </w:rPr>
                            </m:ctrlPr>
                          </m:fPr>
                          <m:num>
                            <m:r>
                              <m:rPr>
                                <m:sty m:val="bi"/>
                              </m:rPr>
                              <w:rPr>
                                <w:rFonts w:ascii="Cambria Math" w:hAnsi="Cambria Math"/>
                                <w:szCs w:val="24"/>
                              </w:rPr>
                              <m:t>FnD</m:t>
                            </m:r>
                          </m:num>
                          <m:den>
                            <m:r>
                              <m:rPr>
                                <m:sty m:val="bi"/>
                              </m:rPr>
                              <w:rPr>
                                <w:rFonts w:ascii="Cambria Math" w:hAnsi="Cambria Math"/>
                                <w:szCs w:val="24"/>
                              </w:rPr>
                              <m:t>RT</m:t>
                            </m:r>
                          </m:den>
                        </m:f>
                        <m:r>
                          <m:rPr>
                            <m:sty m:val="bi"/>
                          </m:rPr>
                          <w:rPr>
                            <w:rFonts w:ascii="Cambria Math" w:hAnsi="Cambria Math"/>
                            <w:szCs w:val="24"/>
                          </w:rPr>
                          <m:t>C</m:t>
                        </m:r>
                      </m:e>
                    </m:d>
                    <m:r>
                      <m:rPr>
                        <m:sty m:val="b"/>
                      </m:rPr>
                      <w:rPr>
                        <w:rFonts w:ascii="Cambria Math" w:hAnsi="Cambria Math"/>
                        <w:szCs w:val="24"/>
                      </w:rPr>
                      <m:t>∇</m:t>
                    </m:r>
                    <m:r>
                      <m:rPr>
                        <m:sty m:val="bi"/>
                      </m:rPr>
                      <w:rPr>
                        <w:rFonts w:ascii="Cambria Math" w:hAnsi="Cambria Math"/>
                        <w:szCs w:val="24"/>
                      </w:rPr>
                      <m:t>φ-Cu</m:t>
                    </m:r>
                  </m:e>
                </m:d>
              </m:oMath>
            </m:oMathPara>
          </w:p>
        </w:tc>
        <w:tc>
          <w:tcPr>
            <w:tcW w:w="1866" w:type="dxa"/>
          </w:tcPr>
          <w:p w14:paraId="5A9D5EBA" w14:textId="77777777" w:rsidR="00571BDC" w:rsidRPr="00571BDC" w:rsidRDefault="00571BDC" w:rsidP="00571BDC">
            <w:pPr>
              <w:jc w:val="right"/>
              <w:rPr>
                <w:szCs w:val="24"/>
              </w:rPr>
            </w:pPr>
            <w:r w:rsidRPr="00571BDC">
              <w:rPr>
                <w:szCs w:val="24"/>
              </w:rPr>
              <w:t>(A3)</w:t>
            </w:r>
          </w:p>
        </w:tc>
      </w:tr>
    </w:tbl>
    <w:p w14:paraId="1E7CD4D1" w14:textId="77777777" w:rsidR="00571BDC" w:rsidRPr="00571BDC" w:rsidRDefault="00571BDC" w:rsidP="00571BDC">
      <w:pPr>
        <w:jc w:val="both"/>
        <w:rPr>
          <w:szCs w:val="24"/>
        </w:rPr>
      </w:pPr>
      <w:r w:rsidRPr="00571BDC">
        <w:rPr>
          <w:szCs w:val="24"/>
        </w:rPr>
        <w:t xml:space="preserve">where </w:t>
      </w:r>
      <m:oMath>
        <m:r>
          <w:rPr>
            <w:rFonts w:ascii="Cambria Math" w:hAnsi="Cambria Math"/>
            <w:szCs w:val="24"/>
          </w:rPr>
          <m:t>C</m:t>
        </m:r>
      </m:oMath>
      <w:r w:rsidRPr="00571BDC">
        <w:rPr>
          <w:szCs w:val="24"/>
        </w:rPr>
        <w:t xml:space="preserve"> is the mass fraction of Fe ion concentration, </w:t>
      </w:r>
      <m:oMath>
        <m:r>
          <w:rPr>
            <w:rFonts w:ascii="Cambria Math" w:hAnsi="Cambria Math"/>
            <w:szCs w:val="24"/>
          </w:rPr>
          <m:t>D</m:t>
        </m:r>
      </m:oMath>
      <w:r w:rsidRPr="00571BDC">
        <w:rPr>
          <w:szCs w:val="24"/>
        </w:rPr>
        <w:t xml:space="preserve"> is the diffusivity of Cu ions, </w:t>
      </w:r>
      <m:oMath>
        <m:r>
          <w:rPr>
            <w:rFonts w:ascii="Cambria Math" w:hAnsi="Cambria Math"/>
            <w:szCs w:val="24"/>
          </w:rPr>
          <m:t>F</m:t>
        </m:r>
      </m:oMath>
      <w:r w:rsidRPr="00571BDC">
        <w:rPr>
          <w:szCs w:val="24"/>
        </w:rPr>
        <w:t xml:space="preserve"> is Faraday’s constant, </w:t>
      </w:r>
      <m:oMath>
        <m:r>
          <w:rPr>
            <w:rFonts w:ascii="Cambria Math" w:hAnsi="Cambria Math"/>
            <w:szCs w:val="24"/>
          </w:rPr>
          <m:t>n</m:t>
        </m:r>
      </m:oMath>
      <w:r w:rsidRPr="00571BDC">
        <w:rPr>
          <w:szCs w:val="24"/>
        </w:rPr>
        <w:t xml:space="preserve"> is the valence for Cu ions, </w:t>
      </w:r>
      <m:oMath>
        <m:r>
          <w:rPr>
            <w:rFonts w:ascii="Cambria Math" w:hAnsi="Cambria Math"/>
            <w:szCs w:val="24"/>
          </w:rPr>
          <m:t>R</m:t>
        </m:r>
      </m:oMath>
      <w:r w:rsidRPr="00571BDC">
        <w:rPr>
          <w:szCs w:val="24"/>
        </w:rPr>
        <w:t xml:space="preserve"> is the gas constant, </w:t>
      </w:r>
      <m:oMath>
        <m:r>
          <w:rPr>
            <w:rFonts w:ascii="Cambria Math" w:hAnsi="Cambria Math"/>
            <w:szCs w:val="24"/>
          </w:rPr>
          <m:t>T</m:t>
        </m:r>
      </m:oMath>
      <w:r w:rsidRPr="00571BDC">
        <w:rPr>
          <w:szCs w:val="24"/>
        </w:rPr>
        <w:t xml:space="preserve"> is temperature, and </w:t>
      </w:r>
      <m:oMath>
        <m:r>
          <w:rPr>
            <w:rFonts w:ascii="Cambria Math" w:hAnsi="Cambria Math"/>
            <w:szCs w:val="24"/>
          </w:rPr>
          <m:t>φ</m:t>
        </m:r>
      </m:oMath>
      <w:r w:rsidRPr="00571BDC">
        <w:rPr>
          <w:szCs w:val="24"/>
        </w:rPr>
        <w:t xml:space="preserve"> is the electric potential of the electrolyte. The first term on the right side of equation (A3) represents diffusion, the middle term is the migration of ion concentration (this is a coupling term between the electric potential and ion concentration), and the last term is convection due to fluid motion. Since a constant fluid velocity was used with a constant inlet concentration of alginate and we can assume uniform current density on the electrode surface resulting in constant rate of redox reaction, the system converges to steady state. As a result, all unknown variables can be estimated by fitting the simulation to experimentally determined concentration profiles. </w:t>
      </w:r>
    </w:p>
    <w:p w14:paraId="4B3B599A" w14:textId="525C5203" w:rsidR="00571BDC" w:rsidRPr="00571BDC" w:rsidRDefault="00571BDC" w:rsidP="00571BDC">
      <w:pPr>
        <w:jc w:val="both"/>
        <w:rPr>
          <w:szCs w:val="24"/>
        </w:rPr>
      </w:pPr>
      <w:r w:rsidRPr="00571BDC">
        <w:rPr>
          <w:szCs w:val="24"/>
        </w:rPr>
        <w:t>The equations presented so far consider only the electrolyte and not the electrodynamics arising from the growth of the hydrogel layer. The conductivity of the anode and cathode is very high compared to that of the electrolyte, and it is assumed that the electric potential in the electrode is constant and equal to the source voltage. Under these assumptions, the electrodes are treated as boundaries in the simulations. The potential of the electrolyte floats and adapts to satisfy the equilibrium of the current, so that an equal amount of current leaving the cathode also enters the anode, and electroneutrality of electrolyte. Volume electroneutrality was assumed for the solution of the electrolyte potential (</w:t>
      </w:r>
      <m:oMath>
        <m:sSub>
          <m:sSubPr>
            <m:ctrlPr>
              <w:rPr>
                <w:rFonts w:ascii="Cambria Math" w:hAnsi="Cambria Math"/>
                <w:i/>
                <w:szCs w:val="24"/>
              </w:rPr>
            </m:ctrlPr>
          </m:sSubPr>
          <m:e>
            <m:r>
              <w:rPr>
                <w:rFonts w:ascii="Cambria Math" w:hAnsi="Cambria Math"/>
                <w:szCs w:val="24"/>
              </w:rPr>
              <m:t>φ</m:t>
            </m:r>
          </m:e>
          <m:sub>
            <m:r>
              <w:rPr>
                <w:rFonts w:ascii="Cambria Math" w:hAnsi="Cambria Math"/>
                <w:szCs w:val="24"/>
              </w:rPr>
              <m:t>e</m:t>
            </m:r>
          </m:sub>
        </m:sSub>
      </m:oMath>
      <w:r w:rsidRPr="00571BDC">
        <w:rPr>
          <w:szCs w:val="24"/>
        </w:rPr>
        <w:t>):</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66"/>
      </w:tblGrid>
      <w:tr w:rsidR="00571BDC" w:rsidRPr="00571BDC" w14:paraId="7332D3B8" w14:textId="77777777" w:rsidTr="00567C4D">
        <w:tc>
          <w:tcPr>
            <w:tcW w:w="7196" w:type="dxa"/>
          </w:tcPr>
          <w:p w14:paraId="3EE94422" w14:textId="4C9A2BE9" w:rsidR="00571BDC" w:rsidRPr="00571BDC" w:rsidRDefault="007661E1" w:rsidP="00571BDC">
            <w:pPr>
              <w:jc w:val="both"/>
              <w:rPr>
                <w:b/>
                <w:szCs w:val="24"/>
              </w:rPr>
            </w:pPr>
            <m:oMathPara>
              <m:oMathParaPr>
                <m:jc m:val="left"/>
              </m:oMathParaPr>
              <m:oMath>
                <m:sSub>
                  <m:sSubPr>
                    <m:ctrlPr>
                      <w:rPr>
                        <w:rFonts w:ascii="Cambria Math" w:hAnsi="Cambria Math"/>
                        <w:b/>
                        <w:i/>
                        <w:szCs w:val="24"/>
                      </w:rPr>
                    </m:ctrlPr>
                  </m:sSubPr>
                  <m:e>
                    <m:r>
                      <m:rPr>
                        <m:sty m:val="bi"/>
                      </m:rPr>
                      <w:rPr>
                        <w:rFonts w:ascii="Cambria Math" w:hAnsi="Cambria Math"/>
                        <w:szCs w:val="24"/>
                      </w:rPr>
                      <m:t>i</m:t>
                    </m:r>
                  </m:e>
                  <m:sub>
                    <m:r>
                      <m:rPr>
                        <m:sty m:val="bi"/>
                      </m:rPr>
                      <w:rPr>
                        <w:rFonts w:ascii="Cambria Math" w:hAnsi="Cambria Math"/>
                        <w:szCs w:val="24"/>
                      </w:rPr>
                      <m:t>e</m:t>
                    </m:r>
                  </m:sub>
                </m:sSub>
                <m:r>
                  <m:rPr>
                    <m:sty m:val="bi"/>
                  </m:rPr>
                  <w:rPr>
                    <w:rFonts w:ascii="Cambria Math" w:hAnsi="Cambria Math"/>
                    <w:szCs w:val="24"/>
                  </w:rPr>
                  <m:t>=σ∙</m:t>
                </m:r>
                <m:sSub>
                  <m:sSubPr>
                    <m:ctrlPr>
                      <w:rPr>
                        <w:rFonts w:ascii="Cambria Math" w:hAnsi="Cambria Math"/>
                        <w:b/>
                        <w:i/>
                        <w:szCs w:val="24"/>
                      </w:rPr>
                    </m:ctrlPr>
                  </m:sSubPr>
                  <m:e>
                    <m:r>
                      <m:rPr>
                        <m:sty m:val="bi"/>
                      </m:rPr>
                      <w:rPr>
                        <w:rFonts w:ascii="Cambria Math" w:hAnsi="Cambria Math"/>
                        <w:szCs w:val="24"/>
                      </w:rPr>
                      <m:t>φ</m:t>
                    </m:r>
                  </m:e>
                  <m:sub>
                    <m:r>
                      <m:rPr>
                        <m:sty m:val="bi"/>
                      </m:rPr>
                      <w:rPr>
                        <w:rFonts w:ascii="Cambria Math" w:hAnsi="Cambria Math"/>
                        <w:szCs w:val="24"/>
                      </w:rPr>
                      <m:t>e</m:t>
                    </m:r>
                  </m:sub>
                </m:sSub>
              </m:oMath>
            </m:oMathPara>
          </w:p>
        </w:tc>
        <w:tc>
          <w:tcPr>
            <w:tcW w:w="1866" w:type="dxa"/>
          </w:tcPr>
          <w:p w14:paraId="15E7A85E" w14:textId="77777777" w:rsidR="00571BDC" w:rsidRPr="00571BDC" w:rsidRDefault="00571BDC" w:rsidP="00571BDC">
            <w:pPr>
              <w:jc w:val="right"/>
              <w:rPr>
                <w:szCs w:val="24"/>
              </w:rPr>
            </w:pPr>
            <w:r w:rsidRPr="00571BDC">
              <w:rPr>
                <w:szCs w:val="24"/>
              </w:rPr>
              <w:t>(A4)</w:t>
            </w:r>
          </w:p>
        </w:tc>
      </w:tr>
    </w:tbl>
    <w:p w14:paraId="6D2ED937" w14:textId="3AC3149B" w:rsidR="00571BDC" w:rsidRPr="00571BDC" w:rsidRDefault="00571BDC" w:rsidP="00571BDC">
      <w:pPr>
        <w:jc w:val="both"/>
        <w:rPr>
          <w:szCs w:val="24"/>
        </w:rPr>
      </w:pPr>
      <w:r w:rsidRPr="00571BDC">
        <w:rPr>
          <w:szCs w:val="24"/>
        </w:rPr>
        <w:t xml:space="preserve">where </w:t>
      </w: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e</m:t>
            </m:r>
          </m:sub>
        </m:sSub>
      </m:oMath>
      <w:r w:rsidRPr="00571BDC">
        <w:rPr>
          <w:szCs w:val="24"/>
        </w:rPr>
        <w:t xml:space="preserve"> is the local current density and </w:t>
      </w:r>
      <m:oMath>
        <m:r>
          <w:rPr>
            <w:rFonts w:ascii="Cambria Math" w:hAnsi="Cambria Math"/>
            <w:szCs w:val="24"/>
          </w:rPr>
          <m:t>σ</m:t>
        </m:r>
      </m:oMath>
      <w:r w:rsidRPr="00571BDC">
        <w:rPr>
          <w:szCs w:val="24"/>
        </w:rPr>
        <w:t xml:space="preserve"> is the electrolyte conductivity, which is assumed to be a </w:t>
      </w:r>
      <w:proofErr w:type="gramStart"/>
      <w:r w:rsidRPr="00571BDC">
        <w:rPr>
          <w:szCs w:val="24"/>
        </w:rPr>
        <w:t>constant.</w:t>
      </w:r>
      <w:proofErr w:type="gramEnd"/>
      <w:r w:rsidRPr="00571BDC">
        <w:rPr>
          <w:szCs w:val="24"/>
        </w:rPr>
        <w:t xml:space="preserve"> The local current density was calculated using the Butler–Volmer equation and electrode current density (</w:t>
      </w:r>
      <m:oMath>
        <m:r>
          <w:rPr>
            <w:rFonts w:ascii="Cambria Math" w:hAnsi="Cambria Math"/>
            <w:szCs w:val="24"/>
          </w:rPr>
          <m:t>i)</m:t>
        </m:r>
      </m:oMath>
      <w:r w:rsidRPr="00571BDC">
        <w:rPr>
          <w:szCs w:val="24"/>
        </w:rPr>
        <w:t xml:space="preserve">, which is assumed to be constant.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66"/>
      </w:tblGrid>
      <w:tr w:rsidR="00571BDC" w:rsidRPr="00571BDC" w14:paraId="251443E1" w14:textId="77777777" w:rsidTr="00567C4D">
        <w:tc>
          <w:tcPr>
            <w:tcW w:w="7196" w:type="dxa"/>
          </w:tcPr>
          <w:p w14:paraId="3950144F" w14:textId="4F22EC12" w:rsidR="00571BDC" w:rsidRPr="00571BDC" w:rsidRDefault="00571BDC" w:rsidP="00571BDC">
            <w:pPr>
              <w:jc w:val="both"/>
              <w:rPr>
                <w:szCs w:val="24"/>
              </w:rPr>
            </w:pPr>
            <m:oMathPara>
              <m:oMathParaPr>
                <m:jc m:val="left"/>
              </m:oMathParaPr>
              <m:oMath>
                <m:r>
                  <w:rPr>
                    <w:rFonts w:ascii="Cambria Math" w:hAnsi="Cambria Math"/>
                    <w:szCs w:val="24"/>
                  </w:rPr>
                  <w:lastRenderedPageBreak/>
                  <m:t>i</m:t>
                </m:r>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i</m:t>
                    </m:r>
                  </m:e>
                  <m:sub>
                    <m:r>
                      <m:rPr>
                        <m:sty m:val="bi"/>
                      </m:rPr>
                      <w:rPr>
                        <w:rFonts w:ascii="Cambria Math" w:hAnsi="Cambria Math"/>
                        <w:szCs w:val="24"/>
                      </w:rPr>
                      <m:t>e</m:t>
                    </m:r>
                  </m:sub>
                </m:sSub>
                <m:d>
                  <m:dPr>
                    <m:ctrlPr>
                      <w:rPr>
                        <w:rFonts w:ascii="Cambria Math" w:hAnsi="Cambria Math"/>
                        <w:b/>
                        <w:i/>
                        <w:szCs w:val="24"/>
                      </w:rPr>
                    </m:ctrlPr>
                  </m:dPr>
                  <m:e>
                    <m:r>
                      <m:rPr>
                        <m:sty m:val="bi"/>
                      </m:rPr>
                      <w:rPr>
                        <w:rFonts w:ascii="Cambria Math" w:hAnsi="Cambria Math"/>
                        <w:szCs w:val="24"/>
                      </w:rPr>
                      <m:t>exp</m:t>
                    </m:r>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a</m:t>
                                </m:r>
                              </m:sub>
                            </m:sSub>
                            <m:r>
                              <m:rPr>
                                <m:sty m:val="bi"/>
                              </m:rPr>
                              <w:rPr>
                                <w:rFonts w:ascii="Cambria Math" w:hAnsi="Cambria Math"/>
                                <w:szCs w:val="24"/>
                              </w:rPr>
                              <m:t>zFη</m:t>
                            </m:r>
                          </m:num>
                          <m:den>
                            <m:r>
                              <m:rPr>
                                <m:sty m:val="bi"/>
                              </m:rPr>
                              <w:rPr>
                                <w:rFonts w:ascii="Cambria Math" w:hAnsi="Cambria Math"/>
                                <w:szCs w:val="24"/>
                              </w:rPr>
                              <m:t>RT</m:t>
                            </m:r>
                          </m:den>
                        </m:f>
                      </m:e>
                    </m:d>
                    <m:r>
                      <m:rPr>
                        <m:sty m:val="bi"/>
                      </m:rPr>
                      <w:rPr>
                        <w:rFonts w:ascii="Cambria Math" w:hAnsi="Cambria Math"/>
                        <w:szCs w:val="24"/>
                      </w:rPr>
                      <m:t>-exp</m:t>
                    </m:r>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c</m:t>
                                </m:r>
                              </m:sub>
                            </m:sSub>
                            <m:r>
                              <m:rPr>
                                <m:sty m:val="bi"/>
                              </m:rPr>
                              <w:rPr>
                                <w:rFonts w:ascii="Cambria Math" w:hAnsi="Cambria Math"/>
                                <w:szCs w:val="24"/>
                              </w:rPr>
                              <m:t>zFη</m:t>
                            </m:r>
                          </m:num>
                          <m:den>
                            <m:r>
                              <m:rPr>
                                <m:sty m:val="bi"/>
                              </m:rPr>
                              <w:rPr>
                                <w:rFonts w:ascii="Cambria Math" w:hAnsi="Cambria Math"/>
                                <w:szCs w:val="24"/>
                              </w:rPr>
                              <m:t>RT</m:t>
                            </m:r>
                          </m:den>
                        </m:f>
                      </m:e>
                    </m:d>
                  </m:e>
                </m:d>
              </m:oMath>
            </m:oMathPara>
          </w:p>
        </w:tc>
        <w:tc>
          <w:tcPr>
            <w:tcW w:w="1866" w:type="dxa"/>
          </w:tcPr>
          <w:p w14:paraId="5027E1F5" w14:textId="77777777" w:rsidR="00571BDC" w:rsidRPr="00571BDC" w:rsidRDefault="00571BDC" w:rsidP="00571BDC">
            <w:pPr>
              <w:jc w:val="right"/>
              <w:rPr>
                <w:szCs w:val="24"/>
              </w:rPr>
            </w:pPr>
            <w:r w:rsidRPr="00571BDC">
              <w:rPr>
                <w:szCs w:val="24"/>
              </w:rPr>
              <w:t>(A5)</w:t>
            </w:r>
          </w:p>
        </w:tc>
      </w:tr>
    </w:tbl>
    <w:p w14:paraId="7EC5D5D9" w14:textId="68FA5E24" w:rsidR="00571BDC" w:rsidRPr="00571BDC" w:rsidRDefault="00571BDC" w:rsidP="00571BDC">
      <w:pPr>
        <w:jc w:val="both"/>
        <w:rPr>
          <w:szCs w:val="24"/>
        </w:rPr>
      </w:pPr>
      <w:r w:rsidRPr="00571BDC">
        <w:rPr>
          <w:szCs w:val="24"/>
        </w:rPr>
        <w:t xml:space="preserve">where </w:t>
      </w: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a</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c</m:t>
            </m:r>
          </m:sub>
        </m:sSub>
        <m:r>
          <w:rPr>
            <w:rFonts w:ascii="Cambria Math" w:hAnsi="Cambria Math"/>
            <w:szCs w:val="24"/>
          </w:rPr>
          <m:t xml:space="preserve"> </m:t>
        </m:r>
      </m:oMath>
      <w:r w:rsidRPr="00571BDC">
        <w:rPr>
          <w:szCs w:val="24"/>
        </w:rPr>
        <w:t xml:space="preserve">are electrode charge transfer coefficients and </w:t>
      </w:r>
      <m:oMath>
        <m:r>
          <w:rPr>
            <w:rFonts w:ascii="Cambria Math" w:hAnsi="Cambria Math"/>
            <w:szCs w:val="24"/>
          </w:rPr>
          <m:t>η</m:t>
        </m:r>
      </m:oMath>
      <w:r w:rsidRPr="00571BDC">
        <w:rPr>
          <w:szCs w:val="24"/>
        </w:rPr>
        <w:t xml:space="preserve"> is the potential difference. The main electrode reaction on both the anode and cathode surfaces is the oxidation/reduction reaction of Cu:</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82"/>
      </w:tblGrid>
      <w:tr w:rsidR="00571BDC" w:rsidRPr="00571BDC" w14:paraId="1F0E1B73" w14:textId="77777777" w:rsidTr="00567C4D">
        <w:tc>
          <w:tcPr>
            <w:tcW w:w="8080" w:type="dxa"/>
          </w:tcPr>
          <w:p w14:paraId="06A9E00B" w14:textId="2C398F05" w:rsidR="00571BDC" w:rsidRPr="00571BDC" w:rsidRDefault="007661E1" w:rsidP="00571BDC">
            <w:pPr>
              <w:jc w:val="both"/>
              <w:rPr>
                <w:szCs w:val="24"/>
                <w:lang w:val="fr-FR"/>
              </w:rPr>
            </w:pPr>
            <m:oMath>
              <m:sSup>
                <m:sSupPr>
                  <m:ctrlPr>
                    <w:rPr>
                      <w:rFonts w:ascii="Cambria Math" w:hAnsi="Cambria Math"/>
                      <w:b/>
                      <w:i/>
                      <w:szCs w:val="24"/>
                    </w:rPr>
                  </m:ctrlPr>
                </m:sSupPr>
                <m:e>
                  <m:r>
                    <m:rPr>
                      <m:sty m:val="bi"/>
                    </m:rPr>
                    <w:rPr>
                      <w:rFonts w:ascii="Cambria Math" w:hAnsi="Cambria Math"/>
                      <w:szCs w:val="24"/>
                    </w:rPr>
                    <m:t>Cu</m:t>
                  </m:r>
                </m:e>
                <m:sup>
                  <m:r>
                    <m:rPr>
                      <m:sty m:val="bi"/>
                    </m:rPr>
                    <w:rPr>
                      <w:rFonts w:ascii="Cambria Math" w:hAnsi="Cambria Math"/>
                      <w:szCs w:val="24"/>
                      <w:lang w:val="fr-FR"/>
                    </w:rPr>
                    <m:t>0</m:t>
                  </m:r>
                </m:sup>
              </m:sSup>
              <m:r>
                <m:rPr>
                  <m:sty m:val="bi"/>
                </m:rPr>
                <w:rPr>
                  <w:rFonts w:ascii="Cambria Math" w:hAnsi="Cambria Math"/>
                  <w:szCs w:val="24"/>
                  <w:lang w:val="fr-FR"/>
                </w:rPr>
                <m:t>-</m:t>
              </m:r>
              <m:sSup>
                <m:sSupPr>
                  <m:ctrlPr>
                    <w:rPr>
                      <w:rFonts w:ascii="Cambria Math" w:hAnsi="Cambria Math"/>
                      <w:b/>
                      <w:i/>
                      <w:szCs w:val="24"/>
                    </w:rPr>
                  </m:ctrlPr>
                </m:sSupPr>
                <m:e>
                  <m:r>
                    <m:rPr>
                      <m:sty m:val="bi"/>
                    </m:rPr>
                    <w:rPr>
                      <w:rFonts w:ascii="Cambria Math" w:hAnsi="Cambria Math"/>
                      <w:szCs w:val="24"/>
                      <w:lang w:val="fr-FR"/>
                    </w:rPr>
                    <m:t>2</m:t>
                  </m:r>
                  <m:r>
                    <m:rPr>
                      <m:sty m:val="bi"/>
                    </m:rPr>
                    <w:rPr>
                      <w:rFonts w:ascii="Cambria Math" w:hAnsi="Cambria Math"/>
                      <w:szCs w:val="24"/>
                    </w:rPr>
                    <m:t>e</m:t>
                  </m:r>
                </m:e>
                <m:sup>
                  <m:r>
                    <m:rPr>
                      <m:sty m:val="bi"/>
                    </m:rPr>
                    <w:rPr>
                      <w:rFonts w:ascii="Cambria Math" w:hAnsi="Cambria Math"/>
                      <w:szCs w:val="24"/>
                      <w:lang w:val="fr-FR"/>
                    </w:rPr>
                    <m:t>-</m:t>
                  </m:r>
                </m:sup>
              </m:sSup>
              <m:r>
                <m:rPr>
                  <m:sty m:val="bi"/>
                </m:rPr>
                <w:rPr>
                  <w:rFonts w:ascii="Cambria Math" w:hAnsi="Cambria Math"/>
                  <w:szCs w:val="24"/>
                </w:rPr>
                <m:t>→</m:t>
              </m:r>
              <m:sSup>
                <m:sSupPr>
                  <m:ctrlPr>
                    <w:rPr>
                      <w:rFonts w:ascii="Cambria Math" w:hAnsi="Cambria Math"/>
                      <w:b/>
                      <w:i/>
                      <w:szCs w:val="24"/>
                    </w:rPr>
                  </m:ctrlPr>
                </m:sSupPr>
                <m:e>
                  <m:r>
                    <m:rPr>
                      <m:sty m:val="bi"/>
                    </m:rPr>
                    <w:rPr>
                      <w:rFonts w:ascii="Cambria Math" w:hAnsi="Cambria Math"/>
                      <w:szCs w:val="24"/>
                    </w:rPr>
                    <m:t>Cu</m:t>
                  </m:r>
                </m:e>
                <m:sup>
                  <m:r>
                    <m:rPr>
                      <m:sty m:val="bi"/>
                    </m:rPr>
                    <w:rPr>
                      <w:rFonts w:ascii="Cambria Math" w:hAnsi="Cambria Math"/>
                      <w:szCs w:val="24"/>
                      <w:lang w:val="fr-FR"/>
                    </w:rPr>
                    <m:t>2+</m:t>
                  </m:r>
                </m:sup>
              </m:sSup>
            </m:oMath>
            <w:r w:rsidR="00571BDC" w:rsidRPr="00571BDC">
              <w:rPr>
                <w:b/>
                <w:szCs w:val="24"/>
              </w:rPr>
              <w:t>–</w:t>
            </w:r>
            <w:r w:rsidR="00571BDC" w:rsidRPr="00571BDC">
              <w:rPr>
                <w:szCs w:val="24"/>
              </w:rPr>
              <w:t xml:space="preserve"> </w:t>
            </w:r>
            <w:r w:rsidR="00571BDC" w:rsidRPr="00571BDC">
              <w:rPr>
                <w:szCs w:val="24"/>
                <w:lang w:val="fr-FR"/>
              </w:rPr>
              <w:t xml:space="preserve">Cu </w:t>
            </w:r>
            <w:proofErr w:type="spellStart"/>
            <w:r w:rsidR="00571BDC" w:rsidRPr="00571BDC">
              <w:rPr>
                <w:szCs w:val="24"/>
                <w:lang w:val="fr-FR"/>
              </w:rPr>
              <w:t>oxidation</w:t>
            </w:r>
            <w:proofErr w:type="spellEnd"/>
            <w:r w:rsidR="00571BDC" w:rsidRPr="00571BDC">
              <w:rPr>
                <w:szCs w:val="24"/>
                <w:lang w:val="fr-FR"/>
              </w:rPr>
              <w:t xml:space="preserve"> on anode surface</w:t>
            </w:r>
          </w:p>
        </w:tc>
        <w:tc>
          <w:tcPr>
            <w:tcW w:w="982" w:type="dxa"/>
          </w:tcPr>
          <w:p w14:paraId="57C7978F" w14:textId="09C74D67" w:rsidR="00571BDC" w:rsidRPr="00571BDC" w:rsidRDefault="00571BDC" w:rsidP="00571BDC">
            <w:pPr>
              <w:jc w:val="right"/>
              <w:rPr>
                <w:szCs w:val="24"/>
              </w:rPr>
            </w:pPr>
            <w:r w:rsidRPr="00571BDC">
              <w:rPr>
                <w:szCs w:val="24"/>
              </w:rPr>
              <w:t>(A6)</w:t>
            </w:r>
          </w:p>
        </w:tc>
      </w:tr>
      <w:tr w:rsidR="00571BDC" w:rsidRPr="00571BDC" w14:paraId="5DE905BF" w14:textId="77777777" w:rsidTr="00567C4D">
        <w:tc>
          <w:tcPr>
            <w:tcW w:w="8080" w:type="dxa"/>
          </w:tcPr>
          <w:p w14:paraId="7B3FBDBA" w14:textId="38070590" w:rsidR="00571BDC" w:rsidRPr="00571BDC" w:rsidRDefault="007661E1" w:rsidP="00571BDC">
            <w:pPr>
              <w:jc w:val="both"/>
              <w:rPr>
                <w:szCs w:val="24"/>
              </w:rPr>
            </w:pPr>
            <m:oMath>
              <m:sSup>
                <m:sSupPr>
                  <m:ctrlPr>
                    <w:rPr>
                      <w:rFonts w:ascii="Cambria Math" w:hAnsi="Cambria Math"/>
                      <w:b/>
                      <w:i/>
                      <w:szCs w:val="24"/>
                    </w:rPr>
                  </m:ctrlPr>
                </m:sSupPr>
                <m:e>
                  <m:r>
                    <m:rPr>
                      <m:sty m:val="bi"/>
                    </m:rPr>
                    <w:rPr>
                      <w:rFonts w:ascii="Cambria Math" w:hAnsi="Cambria Math"/>
                      <w:szCs w:val="24"/>
                    </w:rPr>
                    <m:t>Cu</m:t>
                  </m:r>
                </m:e>
                <m:sup>
                  <m:r>
                    <m:rPr>
                      <m:sty m:val="bi"/>
                    </m:rPr>
                    <w:rPr>
                      <w:rFonts w:ascii="Cambria Math" w:hAnsi="Cambria Math"/>
                      <w:szCs w:val="24"/>
                    </w:rPr>
                    <m:t>2+</m:t>
                  </m:r>
                </m:sup>
              </m:sSup>
              <m:r>
                <m:rPr>
                  <m:sty m:val="bi"/>
                </m:rPr>
                <w:rPr>
                  <w:rFonts w:ascii="Cambria Math" w:hAnsi="Cambria Math"/>
                  <w:szCs w:val="24"/>
                </w:rPr>
                <m:t>+2</m:t>
              </m:r>
              <m:sSup>
                <m:sSupPr>
                  <m:ctrlPr>
                    <w:rPr>
                      <w:rFonts w:ascii="Cambria Math" w:hAnsi="Cambria Math"/>
                      <w:b/>
                      <w:i/>
                      <w:szCs w:val="24"/>
                    </w:rPr>
                  </m:ctrlPr>
                </m:sSupPr>
                <m:e>
                  <m:r>
                    <m:rPr>
                      <m:sty m:val="bi"/>
                    </m:rPr>
                    <w:rPr>
                      <w:rFonts w:ascii="Cambria Math" w:hAnsi="Cambria Math"/>
                      <w:szCs w:val="24"/>
                    </w:rPr>
                    <m:t>e</m:t>
                  </m:r>
                </m:e>
                <m:sup>
                  <m:r>
                    <m:rPr>
                      <m:sty m:val="bi"/>
                    </m:rPr>
                    <w:rPr>
                      <w:rFonts w:ascii="Cambria Math" w:hAnsi="Cambria Math"/>
                      <w:szCs w:val="24"/>
                    </w:rPr>
                    <m:t>-</m:t>
                  </m:r>
                </m:sup>
              </m:sSup>
              <m:r>
                <m:rPr>
                  <m:sty m:val="bi"/>
                </m:rPr>
                <w:rPr>
                  <w:rFonts w:ascii="Cambria Math" w:hAnsi="Cambria Math"/>
                  <w:szCs w:val="24"/>
                </w:rPr>
                <m:t>→</m:t>
              </m:r>
              <m:sSup>
                <m:sSupPr>
                  <m:ctrlPr>
                    <w:rPr>
                      <w:rFonts w:ascii="Cambria Math" w:hAnsi="Cambria Math"/>
                      <w:b/>
                      <w:i/>
                      <w:szCs w:val="24"/>
                    </w:rPr>
                  </m:ctrlPr>
                </m:sSupPr>
                <m:e>
                  <m:r>
                    <m:rPr>
                      <m:sty m:val="bi"/>
                    </m:rPr>
                    <w:rPr>
                      <w:rFonts w:ascii="Cambria Math" w:hAnsi="Cambria Math"/>
                      <w:szCs w:val="24"/>
                    </w:rPr>
                    <m:t>Cu</m:t>
                  </m:r>
                </m:e>
                <m:sup>
                  <m:r>
                    <m:rPr>
                      <m:sty m:val="bi"/>
                    </m:rPr>
                    <w:rPr>
                      <w:rFonts w:ascii="Cambria Math" w:hAnsi="Cambria Math"/>
                      <w:szCs w:val="24"/>
                    </w:rPr>
                    <m:t>0</m:t>
                  </m:r>
                </m:sup>
              </m:sSup>
            </m:oMath>
            <w:r w:rsidR="00571BDC" w:rsidRPr="00571BDC">
              <w:rPr>
                <w:szCs w:val="24"/>
                <w:lang w:val="fr-FR"/>
              </w:rPr>
              <w:t xml:space="preserve"> </w:t>
            </w:r>
            <w:r w:rsidR="00571BDC" w:rsidRPr="00571BDC">
              <w:rPr>
                <w:szCs w:val="24"/>
              </w:rPr>
              <w:t xml:space="preserve">– </w:t>
            </w:r>
            <w:r w:rsidR="00571BDC" w:rsidRPr="00571BDC">
              <w:rPr>
                <w:szCs w:val="24"/>
                <w:lang w:val="fr-FR"/>
              </w:rPr>
              <w:t xml:space="preserve">Cu </w:t>
            </w:r>
            <w:proofErr w:type="spellStart"/>
            <w:r w:rsidR="00571BDC" w:rsidRPr="00571BDC">
              <w:rPr>
                <w:szCs w:val="24"/>
                <w:lang w:val="fr-FR"/>
              </w:rPr>
              <w:t>reduction</w:t>
            </w:r>
            <w:proofErr w:type="spellEnd"/>
            <w:r w:rsidR="00571BDC" w:rsidRPr="00571BDC">
              <w:rPr>
                <w:szCs w:val="24"/>
                <w:lang w:val="fr-FR"/>
              </w:rPr>
              <w:t xml:space="preserve"> on cathode surface</w:t>
            </w:r>
          </w:p>
        </w:tc>
        <w:tc>
          <w:tcPr>
            <w:tcW w:w="982" w:type="dxa"/>
          </w:tcPr>
          <w:p w14:paraId="575E7630" w14:textId="77777777" w:rsidR="00571BDC" w:rsidRPr="00571BDC" w:rsidRDefault="00571BDC" w:rsidP="00571BDC">
            <w:pPr>
              <w:jc w:val="right"/>
              <w:rPr>
                <w:szCs w:val="24"/>
              </w:rPr>
            </w:pPr>
            <w:r w:rsidRPr="00571BDC">
              <w:rPr>
                <w:szCs w:val="24"/>
              </w:rPr>
              <w:t>(A7)</w:t>
            </w:r>
          </w:p>
        </w:tc>
      </w:tr>
    </w:tbl>
    <w:p w14:paraId="20C54F0A" w14:textId="67FA7121" w:rsidR="00571BDC" w:rsidRPr="00571BDC" w:rsidRDefault="00571BDC" w:rsidP="00571BDC">
      <w:pPr>
        <w:jc w:val="both"/>
        <w:rPr>
          <w:szCs w:val="24"/>
        </w:rPr>
      </w:pPr>
      <w:r w:rsidRPr="00571BDC">
        <w:rPr>
          <w:szCs w:val="24"/>
        </w:rPr>
        <w:t>In addition, formed Cu</w:t>
      </w:r>
      <w:r w:rsidRPr="00571BDC">
        <w:rPr>
          <w:szCs w:val="24"/>
          <w:vertAlign w:val="superscript"/>
        </w:rPr>
        <w:t>2+</w:t>
      </w:r>
      <w:r w:rsidRPr="00571BDC">
        <w:rPr>
          <w:szCs w:val="24"/>
        </w:rPr>
        <w:t xml:space="preserve"> ions react with free alginate polymer chains (</w:t>
      </w:r>
      <m:oMath>
        <m:sSub>
          <m:sSubPr>
            <m:ctrlPr>
              <w:rPr>
                <w:rFonts w:ascii="Cambria Math" w:hAnsi="Cambria Math"/>
                <w:i/>
                <w:szCs w:val="24"/>
              </w:rPr>
            </m:ctrlPr>
          </m:sSubPr>
          <m:e>
            <m:r>
              <w:rPr>
                <w:rFonts w:ascii="Cambria Math" w:hAnsi="Cambria Math"/>
                <w:szCs w:val="24"/>
                <w:lang w:val="sl-SI"/>
              </w:rPr>
              <m:t>ALG</m:t>
            </m:r>
          </m:e>
          <m:sub>
            <m:d>
              <m:dPr>
                <m:ctrlPr>
                  <w:rPr>
                    <w:rFonts w:ascii="Cambria Math" w:hAnsi="Cambria Math"/>
                    <w:i/>
                    <w:szCs w:val="24"/>
                  </w:rPr>
                </m:ctrlPr>
              </m:dPr>
              <m:e>
                <m:r>
                  <w:rPr>
                    <w:rFonts w:ascii="Cambria Math" w:hAnsi="Cambria Math"/>
                    <w:szCs w:val="24"/>
                    <w:lang w:val="sl-SI"/>
                  </w:rPr>
                  <m:t>aq</m:t>
                </m:r>
              </m:e>
            </m:d>
          </m:sub>
        </m:sSub>
      </m:oMath>
      <w:r w:rsidRPr="00571BDC">
        <w:rPr>
          <w:szCs w:val="24"/>
        </w:rPr>
        <w:t>) to form hydrogel (</w:t>
      </w:r>
      <m:oMath>
        <m:sSup>
          <m:sSupPr>
            <m:ctrlPr>
              <w:rPr>
                <w:rFonts w:ascii="Cambria Math" w:hAnsi="Cambria Math"/>
                <w:i/>
                <w:szCs w:val="24"/>
              </w:rPr>
            </m:ctrlPr>
          </m:sSupPr>
          <m:e>
            <m:r>
              <w:rPr>
                <w:rFonts w:ascii="Cambria Math" w:hAnsi="Cambria Math"/>
                <w:szCs w:val="24"/>
                <w:lang w:val="sl-SI"/>
              </w:rPr>
              <m:t>Cu</m:t>
            </m:r>
          </m:e>
          <m:sup>
            <m:r>
              <w:rPr>
                <w:rFonts w:ascii="Cambria Math" w:hAnsi="Cambria Math"/>
                <w:szCs w:val="24"/>
                <w:lang w:val="sl-SI"/>
              </w:rPr>
              <m:t>2+</m:t>
            </m:r>
          </m:sup>
        </m:sSup>
        <m:r>
          <w:rPr>
            <w:rFonts w:ascii="Cambria Math" w:hAnsi="Cambria Math"/>
            <w:szCs w:val="24"/>
            <w:lang w:val="sl-SI"/>
          </w:rPr>
          <m:t>-</m:t>
        </m:r>
        <m:sSub>
          <m:sSubPr>
            <m:ctrlPr>
              <w:rPr>
                <w:rFonts w:ascii="Cambria Math" w:hAnsi="Cambria Math"/>
                <w:i/>
                <w:szCs w:val="24"/>
              </w:rPr>
            </m:ctrlPr>
          </m:sSubPr>
          <m:e>
            <m:r>
              <w:rPr>
                <w:rFonts w:ascii="Cambria Math" w:hAnsi="Cambria Math"/>
                <w:szCs w:val="24"/>
                <w:lang w:val="sl-SI"/>
              </w:rPr>
              <m:t>ALG</m:t>
            </m:r>
          </m:e>
          <m:sub>
            <m:r>
              <w:rPr>
                <w:rFonts w:ascii="Cambria Math" w:hAnsi="Cambria Math"/>
                <w:szCs w:val="24"/>
                <w:lang w:val="sl-SI"/>
              </w:rPr>
              <m:t>(s)</m:t>
            </m:r>
          </m:sub>
        </m:sSub>
      </m:oMath>
      <w:r w:rsidRPr="00571BDC">
        <w:rPr>
          <w:szCs w:val="24"/>
        </w:rPr>
        <w:t xml:space="preserve">) according to: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82"/>
      </w:tblGrid>
      <w:tr w:rsidR="00571BDC" w:rsidRPr="00571BDC" w14:paraId="5BCCE802" w14:textId="77777777" w:rsidTr="00567C4D">
        <w:tc>
          <w:tcPr>
            <w:tcW w:w="8080" w:type="dxa"/>
          </w:tcPr>
          <w:p w14:paraId="4C7602E1" w14:textId="2354EE57" w:rsidR="00571BDC" w:rsidRPr="00571BDC" w:rsidRDefault="007661E1" w:rsidP="00571BDC">
            <w:pPr>
              <w:jc w:val="both"/>
              <w:rPr>
                <w:szCs w:val="24"/>
              </w:rPr>
            </w:pPr>
            <m:oMath>
              <m:sSup>
                <m:sSupPr>
                  <m:ctrlPr>
                    <w:rPr>
                      <w:rFonts w:ascii="Cambria Math" w:hAnsi="Cambria Math"/>
                      <w:b/>
                      <w:i/>
                      <w:szCs w:val="24"/>
                    </w:rPr>
                  </m:ctrlPr>
                </m:sSupPr>
                <m:e>
                  <m:r>
                    <m:rPr>
                      <m:sty m:val="bi"/>
                    </m:rPr>
                    <w:rPr>
                      <w:rFonts w:ascii="Cambria Math" w:hAnsi="Cambria Math"/>
                      <w:szCs w:val="24"/>
                    </w:rPr>
                    <m:t>Cu</m:t>
                  </m:r>
                </m:e>
                <m:sup>
                  <m:r>
                    <m:rPr>
                      <m:sty m:val="bi"/>
                    </m:rPr>
                    <w:rPr>
                      <w:rFonts w:ascii="Cambria Math" w:hAnsi="Cambria Math"/>
                      <w:szCs w:val="24"/>
                    </w:rPr>
                    <m:t>2+</m:t>
                  </m:r>
                </m:sup>
              </m:sSup>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ALG</m:t>
                  </m:r>
                </m:e>
                <m:sub>
                  <m:d>
                    <m:dPr>
                      <m:ctrlPr>
                        <w:rPr>
                          <w:rFonts w:ascii="Cambria Math" w:hAnsi="Cambria Math"/>
                          <w:b/>
                          <w:i/>
                          <w:szCs w:val="24"/>
                        </w:rPr>
                      </m:ctrlPr>
                    </m:dPr>
                    <m:e>
                      <m:r>
                        <m:rPr>
                          <m:sty m:val="bi"/>
                        </m:rPr>
                        <w:rPr>
                          <w:rFonts w:ascii="Cambria Math" w:hAnsi="Cambria Math"/>
                          <w:szCs w:val="24"/>
                        </w:rPr>
                        <m:t>aq</m:t>
                      </m:r>
                    </m:e>
                  </m:d>
                </m:sub>
              </m:sSub>
              <m:sSup>
                <m:sSupPr>
                  <m:ctrlPr>
                    <w:rPr>
                      <w:rFonts w:ascii="Cambria Math" w:hAnsi="Cambria Math"/>
                      <w:b/>
                      <w:i/>
                      <w:szCs w:val="24"/>
                    </w:rPr>
                  </m:ctrlPr>
                </m:sSupPr>
                <m:e>
                  <m:r>
                    <m:rPr>
                      <m:sty m:val="bi"/>
                    </m:rPr>
                    <w:rPr>
                      <w:rFonts w:ascii="Cambria Math" w:hAnsi="Cambria Math"/>
                      <w:szCs w:val="24"/>
                    </w:rPr>
                    <m:t>⇄Cu</m:t>
                  </m:r>
                </m:e>
                <m:sup>
                  <m:r>
                    <m:rPr>
                      <m:sty m:val="bi"/>
                    </m:rPr>
                    <w:rPr>
                      <w:rFonts w:ascii="Cambria Math" w:hAnsi="Cambria Math"/>
                      <w:szCs w:val="24"/>
                    </w:rPr>
                    <m:t>2+</m:t>
                  </m:r>
                </m:sup>
              </m:sSup>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ALG</m:t>
                  </m:r>
                </m:e>
                <m:sub>
                  <m:r>
                    <m:rPr>
                      <m:sty m:val="bi"/>
                    </m:rPr>
                    <w:rPr>
                      <w:rFonts w:ascii="Cambria Math" w:hAnsi="Cambria Math"/>
                      <w:szCs w:val="24"/>
                    </w:rPr>
                    <m:t>(s)</m:t>
                  </m:r>
                </m:sub>
              </m:sSub>
            </m:oMath>
            <w:r w:rsidR="00571BDC" w:rsidRPr="00571BDC">
              <w:rPr>
                <w:szCs w:val="24"/>
              </w:rPr>
              <w:t xml:space="preserve"> – hydrogel formation on anode surface</w:t>
            </w:r>
          </w:p>
        </w:tc>
        <w:tc>
          <w:tcPr>
            <w:tcW w:w="982" w:type="dxa"/>
          </w:tcPr>
          <w:p w14:paraId="0DCBBAE0" w14:textId="6F19B490" w:rsidR="00571BDC" w:rsidRPr="00571BDC" w:rsidRDefault="00571BDC" w:rsidP="00571BDC">
            <w:pPr>
              <w:jc w:val="right"/>
              <w:rPr>
                <w:szCs w:val="24"/>
              </w:rPr>
            </w:pPr>
            <w:r w:rsidRPr="00571BDC">
              <w:rPr>
                <w:szCs w:val="24"/>
              </w:rPr>
              <w:t>(A8)</w:t>
            </w:r>
          </w:p>
        </w:tc>
      </w:tr>
    </w:tbl>
    <w:p w14:paraId="57EAE900" w14:textId="0C4851CE" w:rsidR="00571BDC" w:rsidRPr="00571BDC" w:rsidRDefault="00571BDC" w:rsidP="00571BDC">
      <w:pPr>
        <w:jc w:val="both"/>
        <w:rPr>
          <w:szCs w:val="24"/>
        </w:rPr>
      </w:pPr>
      <w:r w:rsidRPr="00571BDC">
        <w:rPr>
          <w:szCs w:val="24"/>
        </w:rPr>
        <w:t>The reaction rate constants (k</w:t>
      </w:r>
      <w:r w:rsidRPr="00571BDC">
        <w:rPr>
          <w:szCs w:val="24"/>
          <w:vertAlign w:val="subscript"/>
        </w:rPr>
        <w:t>o</w:t>
      </w:r>
      <w:r w:rsidRPr="00571BDC">
        <w:rPr>
          <w:szCs w:val="24"/>
        </w:rPr>
        <w:t xml:space="preserve"> </w:t>
      </w:r>
      <w:proofErr w:type="spellStart"/>
      <w:r w:rsidRPr="00571BDC">
        <w:rPr>
          <w:szCs w:val="24"/>
        </w:rPr>
        <w:t>k</w:t>
      </w:r>
      <w:r w:rsidRPr="00571BDC">
        <w:rPr>
          <w:szCs w:val="24"/>
          <w:vertAlign w:val="subscript"/>
        </w:rPr>
        <w:t>r</w:t>
      </w:r>
      <w:proofErr w:type="spellEnd"/>
      <w:r w:rsidRPr="00571BDC">
        <w:rPr>
          <w:szCs w:val="24"/>
        </w:rPr>
        <w:t xml:space="preserve">, </w:t>
      </w:r>
      <w:proofErr w:type="spellStart"/>
      <w:r w:rsidRPr="00571BDC">
        <w:rPr>
          <w:szCs w:val="24"/>
        </w:rPr>
        <w:t>k</w:t>
      </w:r>
      <w:r w:rsidRPr="00571BDC">
        <w:rPr>
          <w:szCs w:val="24"/>
          <w:vertAlign w:val="subscript"/>
        </w:rPr>
        <w:t>h</w:t>
      </w:r>
      <w:proofErr w:type="spellEnd"/>
      <w:r w:rsidRPr="00571BDC">
        <w:rPr>
          <w:szCs w:val="24"/>
        </w:rPr>
        <w:t xml:space="preserve">, </w:t>
      </w:r>
      <w:proofErr w:type="spellStart"/>
      <w:r w:rsidRPr="00571BDC">
        <w:rPr>
          <w:szCs w:val="24"/>
        </w:rPr>
        <w:t>k</w:t>
      </w:r>
      <w:r w:rsidRPr="00571BDC">
        <w:rPr>
          <w:szCs w:val="24"/>
          <w:vertAlign w:val="subscript"/>
        </w:rPr>
        <w:t>h</w:t>
      </w:r>
      <w:proofErr w:type="spellEnd"/>
      <w:r w:rsidRPr="00571BDC">
        <w:rPr>
          <w:szCs w:val="24"/>
        </w:rPr>
        <w:t>’) were correlated with the local current density, which was calculated according to Eq. (A5). The latter was then incorporated in CFD model as user defined function (UDF) via source term. The rate</w:t>
      </w:r>
      <w:r>
        <w:rPr>
          <w:szCs w:val="24"/>
        </w:rPr>
        <w:t>s</w:t>
      </w:r>
      <w:r w:rsidRPr="00571BDC">
        <w:rPr>
          <w:szCs w:val="24"/>
        </w:rPr>
        <w:t xml:space="preserve"> of redox reactions are significantly higher than is the rate of hydrogel formation, which become rate-defined step and can be express as follows: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5"/>
      </w:tblGrid>
      <w:tr w:rsidR="00571BDC" w:rsidRPr="00571BDC" w14:paraId="023706E9" w14:textId="77777777" w:rsidTr="00571BDC">
        <w:tc>
          <w:tcPr>
            <w:tcW w:w="7797" w:type="dxa"/>
          </w:tcPr>
          <w:p w14:paraId="69F97C4A" w14:textId="1EDB9B9A" w:rsidR="00571BDC" w:rsidRPr="00571BDC" w:rsidRDefault="007661E1" w:rsidP="00571BDC">
            <w:pPr>
              <w:jc w:val="both"/>
              <w:rPr>
                <w:b/>
                <w:szCs w:val="24"/>
              </w:rPr>
            </w:pPr>
            <m:oMathPara>
              <m:oMathParaPr>
                <m:jc m:val="left"/>
              </m:oMathParaPr>
              <m:oMath>
                <m:f>
                  <m:fPr>
                    <m:ctrlPr>
                      <w:rPr>
                        <w:rFonts w:ascii="Cambria Math" w:hAnsi="Cambria Math"/>
                        <w:b/>
                        <w:i/>
                        <w:kern w:val="2"/>
                        <w:szCs w:val="24"/>
                        <w:lang w:val="en-GB"/>
                      </w:rPr>
                    </m:ctrlPr>
                  </m:fPr>
                  <m:num>
                    <m:r>
                      <m:rPr>
                        <m:sty m:val="bi"/>
                      </m:rPr>
                      <w:rPr>
                        <w:rFonts w:ascii="Cambria Math" w:hAnsi="Cambria Math"/>
                        <w:kern w:val="2"/>
                        <w:szCs w:val="24"/>
                        <w:lang w:val="en-GB"/>
                      </w:rPr>
                      <m:t>d[</m:t>
                    </m:r>
                    <m:sSup>
                      <m:sSupPr>
                        <m:ctrlPr>
                          <w:rPr>
                            <w:rFonts w:ascii="Cambria Math" w:hAnsi="Cambria Math"/>
                            <w:b/>
                            <w:i/>
                            <w:szCs w:val="24"/>
                          </w:rPr>
                        </m:ctrlPr>
                      </m:sSupPr>
                      <m:e>
                        <m:r>
                          <m:rPr>
                            <m:sty m:val="bi"/>
                          </m:rPr>
                          <w:rPr>
                            <w:rFonts w:ascii="Cambria Math" w:hAnsi="Cambria Math"/>
                            <w:szCs w:val="24"/>
                          </w:rPr>
                          <m:t>Cu</m:t>
                        </m:r>
                      </m:e>
                      <m:sup>
                        <m:r>
                          <m:rPr>
                            <m:sty m:val="bi"/>
                          </m:rPr>
                          <w:rPr>
                            <w:rFonts w:ascii="Cambria Math" w:hAnsi="Cambria Math"/>
                            <w:szCs w:val="24"/>
                          </w:rPr>
                          <m:t>2+</m:t>
                        </m:r>
                      </m:sup>
                    </m:sSup>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ALG</m:t>
                        </m:r>
                      </m:e>
                      <m:sub>
                        <m:r>
                          <m:rPr>
                            <m:sty m:val="bi"/>
                          </m:rPr>
                          <w:rPr>
                            <w:rFonts w:ascii="Cambria Math" w:hAnsi="Cambria Math"/>
                            <w:szCs w:val="24"/>
                          </w:rPr>
                          <m:t>(s)</m:t>
                        </m:r>
                      </m:sub>
                    </m:sSub>
                    <m:r>
                      <m:rPr>
                        <m:sty m:val="bi"/>
                      </m:rPr>
                      <w:rPr>
                        <w:rFonts w:ascii="Cambria Math" w:hAnsi="Cambria Math"/>
                        <w:kern w:val="2"/>
                        <w:szCs w:val="24"/>
                        <w:lang w:val="en-GB"/>
                      </w:rPr>
                      <m:t>]</m:t>
                    </m:r>
                  </m:num>
                  <m:den>
                    <m:r>
                      <m:rPr>
                        <m:sty m:val="bi"/>
                      </m:rPr>
                      <w:rPr>
                        <w:rFonts w:ascii="Cambria Math" w:hAnsi="Cambria Math"/>
                        <w:kern w:val="2"/>
                        <w:szCs w:val="24"/>
                        <w:lang w:val="en-GB"/>
                      </w:rPr>
                      <m:t>dt</m:t>
                    </m:r>
                  </m:den>
                </m:f>
                <m:r>
                  <m:rPr>
                    <m:sty m:val="bi"/>
                  </m:rPr>
                  <w:rPr>
                    <w:rFonts w:ascii="Cambria Math" w:hAnsi="Cambria Math"/>
                    <w:kern w:val="2"/>
                    <w:szCs w:val="24"/>
                    <w:lang w:val="en-GB"/>
                  </w:rPr>
                  <m:t>=</m:t>
                </m:r>
                <m:sSub>
                  <m:sSubPr>
                    <m:ctrlPr>
                      <w:rPr>
                        <w:rFonts w:ascii="Cambria Math" w:hAnsi="Cambria Math"/>
                        <w:b/>
                        <w:i/>
                        <w:kern w:val="2"/>
                        <w:szCs w:val="24"/>
                        <w:lang w:val="en-GB"/>
                      </w:rPr>
                    </m:ctrlPr>
                  </m:sSubPr>
                  <m:e>
                    <m:r>
                      <m:rPr>
                        <m:sty m:val="bi"/>
                      </m:rPr>
                      <w:rPr>
                        <w:rFonts w:ascii="Cambria Math" w:hAnsi="Cambria Math"/>
                        <w:kern w:val="2"/>
                        <w:szCs w:val="24"/>
                        <w:lang w:val="en-GB"/>
                      </w:rPr>
                      <m:t>k</m:t>
                    </m:r>
                  </m:e>
                  <m:sub>
                    <m:r>
                      <m:rPr>
                        <m:sty m:val="bi"/>
                      </m:rPr>
                      <w:rPr>
                        <w:rFonts w:ascii="Cambria Math" w:hAnsi="Cambria Math"/>
                        <w:kern w:val="2"/>
                        <w:szCs w:val="24"/>
                        <w:lang w:val="en-GB"/>
                      </w:rPr>
                      <m:t>h</m:t>
                    </m:r>
                  </m:sub>
                </m:sSub>
                <m:d>
                  <m:dPr>
                    <m:ctrlPr>
                      <w:rPr>
                        <w:rFonts w:ascii="Cambria Math" w:hAnsi="Cambria Math"/>
                        <w:b/>
                        <w:i/>
                        <w:kern w:val="2"/>
                        <w:szCs w:val="24"/>
                        <w:lang w:val="en-GB"/>
                      </w:rPr>
                    </m:ctrlPr>
                  </m:dPr>
                  <m:e>
                    <m:r>
                      <m:rPr>
                        <m:sty m:val="bi"/>
                      </m:rPr>
                      <w:rPr>
                        <w:rFonts w:ascii="Cambria Math" w:hAnsi="Cambria Math"/>
                        <w:kern w:val="2"/>
                        <w:szCs w:val="24"/>
                        <w:lang w:val="en-GB"/>
                      </w:rPr>
                      <m:t>i</m:t>
                    </m:r>
                  </m:e>
                </m:d>
                <m:r>
                  <m:rPr>
                    <m:sty m:val="bi"/>
                  </m:rPr>
                  <w:rPr>
                    <w:rFonts w:ascii="Cambria Math" w:hAnsi="Cambria Math"/>
                    <w:kern w:val="2"/>
                    <w:szCs w:val="24"/>
                    <w:lang w:val="en-GB"/>
                  </w:rPr>
                  <m:t>∙[</m:t>
                </m:r>
                <m:sSup>
                  <m:sSupPr>
                    <m:ctrlPr>
                      <w:rPr>
                        <w:rFonts w:ascii="Cambria Math" w:hAnsi="Cambria Math"/>
                        <w:b/>
                        <w:i/>
                        <w:kern w:val="2"/>
                        <w:szCs w:val="24"/>
                        <w:lang w:val="en-GB"/>
                      </w:rPr>
                    </m:ctrlPr>
                  </m:sSupPr>
                  <m:e>
                    <m:r>
                      <m:rPr>
                        <m:sty m:val="bi"/>
                      </m:rPr>
                      <w:rPr>
                        <w:rFonts w:ascii="Cambria Math" w:hAnsi="Cambria Math"/>
                        <w:kern w:val="2"/>
                        <w:szCs w:val="24"/>
                        <w:lang w:val="en-GB"/>
                      </w:rPr>
                      <m:t>Cu</m:t>
                    </m:r>
                  </m:e>
                  <m:sup>
                    <m:r>
                      <m:rPr>
                        <m:sty m:val="bi"/>
                      </m:rPr>
                      <w:rPr>
                        <w:rFonts w:ascii="Cambria Math" w:hAnsi="Cambria Math"/>
                        <w:kern w:val="2"/>
                        <w:szCs w:val="24"/>
                        <w:lang w:val="en-GB"/>
                      </w:rPr>
                      <m:t>2+</m:t>
                    </m:r>
                  </m:sup>
                </m:sSup>
                <m:r>
                  <m:rPr>
                    <m:sty m:val="bi"/>
                  </m:rPr>
                  <w:rPr>
                    <w:rFonts w:ascii="Cambria Math" w:hAnsi="Cambria Math"/>
                    <w:kern w:val="2"/>
                    <w:szCs w:val="24"/>
                    <w:lang w:val="en-GB"/>
                  </w:rPr>
                  <m:t>]∙</m:t>
                </m:r>
                <m:sSub>
                  <m:sSubPr>
                    <m:ctrlPr>
                      <w:rPr>
                        <w:rFonts w:ascii="Cambria Math" w:hAnsi="Cambria Math"/>
                        <w:b/>
                        <w:i/>
                        <w:kern w:val="2"/>
                        <w:szCs w:val="24"/>
                        <w:lang w:val="en-GB"/>
                      </w:rPr>
                    </m:ctrlPr>
                  </m:sSubPr>
                  <m:e>
                    <m:r>
                      <m:rPr>
                        <m:sty m:val="bi"/>
                      </m:rPr>
                      <w:rPr>
                        <w:rFonts w:ascii="Cambria Math" w:hAnsi="Cambria Math"/>
                        <w:kern w:val="2"/>
                        <w:szCs w:val="24"/>
                        <w:lang w:val="en-GB"/>
                      </w:rPr>
                      <m:t>[ALG</m:t>
                    </m:r>
                  </m:e>
                  <m:sub>
                    <m:d>
                      <m:dPr>
                        <m:ctrlPr>
                          <w:rPr>
                            <w:rFonts w:ascii="Cambria Math" w:hAnsi="Cambria Math"/>
                            <w:b/>
                            <w:i/>
                            <w:kern w:val="2"/>
                            <w:szCs w:val="24"/>
                            <w:lang w:val="en-GB"/>
                          </w:rPr>
                        </m:ctrlPr>
                      </m:dPr>
                      <m:e>
                        <m:r>
                          <m:rPr>
                            <m:sty m:val="bi"/>
                          </m:rPr>
                          <w:rPr>
                            <w:rFonts w:ascii="Cambria Math" w:hAnsi="Cambria Math"/>
                            <w:kern w:val="2"/>
                            <w:szCs w:val="24"/>
                            <w:lang w:val="en-GB"/>
                          </w:rPr>
                          <m:t>aq</m:t>
                        </m:r>
                      </m:e>
                    </m:d>
                  </m:sub>
                </m:sSub>
                <m:r>
                  <m:rPr>
                    <m:sty m:val="bi"/>
                  </m:rPr>
                  <w:rPr>
                    <w:rFonts w:ascii="Cambria Math" w:hAnsi="Cambria Math"/>
                    <w:kern w:val="2"/>
                    <w:szCs w:val="24"/>
                    <w:lang w:val="en-GB"/>
                  </w:rPr>
                  <m:t>]-</m:t>
                </m:r>
                <m:sSubSup>
                  <m:sSubSupPr>
                    <m:ctrlPr>
                      <w:rPr>
                        <w:rFonts w:ascii="Cambria Math" w:hAnsi="Cambria Math"/>
                        <w:b/>
                        <w:i/>
                        <w:kern w:val="2"/>
                        <w:szCs w:val="24"/>
                        <w:lang w:val="en-GB"/>
                      </w:rPr>
                    </m:ctrlPr>
                  </m:sSubSupPr>
                  <m:e>
                    <m:r>
                      <m:rPr>
                        <m:sty m:val="bi"/>
                      </m:rPr>
                      <w:rPr>
                        <w:rFonts w:ascii="Cambria Math" w:hAnsi="Cambria Math"/>
                        <w:kern w:val="2"/>
                        <w:szCs w:val="24"/>
                        <w:lang w:val="en-GB"/>
                      </w:rPr>
                      <m:t>k</m:t>
                    </m:r>
                  </m:e>
                  <m:sub>
                    <m:r>
                      <m:rPr>
                        <m:sty m:val="bi"/>
                      </m:rPr>
                      <w:rPr>
                        <w:rFonts w:ascii="Cambria Math" w:hAnsi="Cambria Math"/>
                        <w:kern w:val="2"/>
                        <w:szCs w:val="24"/>
                        <w:lang w:val="en-GB"/>
                      </w:rPr>
                      <m:t>h</m:t>
                    </m:r>
                  </m:sub>
                  <m:sup>
                    <m:r>
                      <m:rPr>
                        <m:sty m:val="bi"/>
                      </m:rPr>
                      <w:rPr>
                        <w:rFonts w:ascii="Cambria Math" w:hAnsi="Cambria Math"/>
                        <w:kern w:val="2"/>
                        <w:szCs w:val="24"/>
                        <w:lang w:val="en-GB"/>
                      </w:rPr>
                      <m:t>'</m:t>
                    </m:r>
                  </m:sup>
                </m:sSubSup>
                <m:r>
                  <m:rPr>
                    <m:sty m:val="bi"/>
                  </m:rPr>
                  <w:rPr>
                    <w:rFonts w:ascii="Cambria Math" w:hAnsi="Cambria Math"/>
                    <w:kern w:val="2"/>
                    <w:szCs w:val="24"/>
                    <w:lang w:val="en-GB"/>
                  </w:rPr>
                  <m:t>(i)∙</m:t>
                </m:r>
                <m:sSup>
                  <m:sSupPr>
                    <m:ctrlPr>
                      <w:rPr>
                        <w:rFonts w:ascii="Cambria Math" w:hAnsi="Cambria Math"/>
                        <w:b/>
                        <w:i/>
                        <w:szCs w:val="24"/>
                      </w:rPr>
                    </m:ctrlPr>
                  </m:sSupPr>
                  <m:e>
                    <m:r>
                      <m:rPr>
                        <m:sty m:val="bi"/>
                      </m:rPr>
                      <w:rPr>
                        <w:rFonts w:ascii="Cambria Math" w:hAnsi="Cambria Math"/>
                        <w:szCs w:val="24"/>
                      </w:rPr>
                      <m:t>[Cu</m:t>
                    </m:r>
                  </m:e>
                  <m:sup>
                    <m:r>
                      <m:rPr>
                        <m:sty m:val="bi"/>
                      </m:rPr>
                      <w:rPr>
                        <w:rFonts w:ascii="Cambria Math" w:hAnsi="Cambria Math"/>
                        <w:szCs w:val="24"/>
                      </w:rPr>
                      <m:t>2+</m:t>
                    </m:r>
                  </m:sup>
                </m:sSup>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ALG</m:t>
                    </m:r>
                  </m:e>
                  <m:sub>
                    <m:r>
                      <m:rPr>
                        <m:sty m:val="bi"/>
                      </m:rPr>
                      <w:rPr>
                        <w:rFonts w:ascii="Cambria Math" w:hAnsi="Cambria Math"/>
                        <w:szCs w:val="24"/>
                      </w:rPr>
                      <m:t>(s)</m:t>
                    </m:r>
                  </m:sub>
                </m:sSub>
                <m:r>
                  <m:rPr>
                    <m:sty m:val="bi"/>
                  </m:rPr>
                  <w:rPr>
                    <w:rFonts w:ascii="Cambria Math" w:hAnsi="Cambria Math"/>
                    <w:kern w:val="2"/>
                    <w:szCs w:val="24"/>
                    <w:lang w:val="en-GB"/>
                  </w:rPr>
                  <m:t>]</m:t>
                </m:r>
              </m:oMath>
            </m:oMathPara>
          </w:p>
        </w:tc>
        <w:tc>
          <w:tcPr>
            <w:tcW w:w="1275" w:type="dxa"/>
          </w:tcPr>
          <w:p w14:paraId="6D6CCE66" w14:textId="4830DD3E" w:rsidR="00571BDC" w:rsidRPr="00571BDC" w:rsidRDefault="00571BDC" w:rsidP="00571BDC">
            <w:pPr>
              <w:jc w:val="right"/>
              <w:rPr>
                <w:szCs w:val="24"/>
              </w:rPr>
            </w:pPr>
            <w:r w:rsidRPr="00571BDC">
              <w:rPr>
                <w:szCs w:val="24"/>
              </w:rPr>
              <w:t>(A8)</w:t>
            </w:r>
          </w:p>
        </w:tc>
      </w:tr>
    </w:tbl>
    <w:p w14:paraId="09F01A97" w14:textId="4796CA8A" w:rsidR="00571BDC" w:rsidRDefault="00571BDC" w:rsidP="00571BDC">
      <w:pPr>
        <w:jc w:val="both"/>
      </w:pPr>
      <w:r w:rsidRPr="00571BDC">
        <w:rPr>
          <w:szCs w:val="24"/>
        </w:rPr>
        <w:t>Considering all the above data, the deposition rate and/or hydrogel growth rate at the anode interfaces can be calculated</w:t>
      </w:r>
      <w:r w:rsidRPr="00571BDC">
        <w:t xml:space="preserve">. </w:t>
      </w:r>
    </w:p>
    <w:p w14:paraId="7EE4DC55" w14:textId="69FF1AEC" w:rsidR="0075099F" w:rsidRDefault="0075099F" w:rsidP="00571BDC">
      <w:pPr>
        <w:jc w:val="both"/>
      </w:pPr>
    </w:p>
    <w:p w14:paraId="7AB8C572" w14:textId="1D7B8DF8" w:rsidR="00717DF5" w:rsidRDefault="00717DF5" w:rsidP="00571BDC">
      <w:pPr>
        <w:jc w:val="both"/>
      </w:pPr>
    </w:p>
    <w:p w14:paraId="280217C5" w14:textId="7356AEA4" w:rsidR="00717DF5" w:rsidRDefault="00717DF5" w:rsidP="00571BDC">
      <w:pPr>
        <w:jc w:val="both"/>
      </w:pPr>
    </w:p>
    <w:p w14:paraId="5F76ADC1" w14:textId="66F4BFC5" w:rsidR="00717DF5" w:rsidRDefault="00717DF5" w:rsidP="00571BDC">
      <w:pPr>
        <w:jc w:val="both"/>
      </w:pPr>
    </w:p>
    <w:p w14:paraId="566DCFAB" w14:textId="4DC4AA90" w:rsidR="00717DF5" w:rsidRDefault="00717DF5" w:rsidP="00571BDC">
      <w:pPr>
        <w:jc w:val="both"/>
      </w:pPr>
    </w:p>
    <w:p w14:paraId="0CD02F2E" w14:textId="29AEBB86" w:rsidR="00717DF5" w:rsidRDefault="00717DF5" w:rsidP="00571BDC">
      <w:pPr>
        <w:jc w:val="both"/>
      </w:pPr>
    </w:p>
    <w:p w14:paraId="2F5CC5EB" w14:textId="152191BB" w:rsidR="00717DF5" w:rsidRDefault="00717DF5" w:rsidP="00571BDC">
      <w:pPr>
        <w:jc w:val="both"/>
      </w:pPr>
    </w:p>
    <w:p w14:paraId="43E05FBE" w14:textId="11C5C754" w:rsidR="00717DF5" w:rsidRDefault="00717DF5" w:rsidP="00571BDC">
      <w:pPr>
        <w:jc w:val="both"/>
      </w:pPr>
    </w:p>
    <w:p w14:paraId="6B7CAA0B" w14:textId="2894619B" w:rsidR="00717DF5" w:rsidRDefault="00717DF5" w:rsidP="00571BDC">
      <w:pPr>
        <w:jc w:val="both"/>
      </w:pPr>
    </w:p>
    <w:p w14:paraId="5F7149A7" w14:textId="77777777" w:rsidR="00717DF5" w:rsidRPr="00571BDC" w:rsidRDefault="00717DF5" w:rsidP="00571BDC">
      <w:pPr>
        <w:jc w:val="both"/>
      </w:pPr>
    </w:p>
    <w:p w14:paraId="5E584EE8" w14:textId="77777777" w:rsidR="00994A3D" w:rsidRPr="00994A3D" w:rsidRDefault="00654E8F" w:rsidP="0001436A">
      <w:pPr>
        <w:pStyle w:val="Naslov1"/>
      </w:pPr>
      <w:r w:rsidRPr="00994A3D">
        <w:lastRenderedPageBreak/>
        <w:t>Supplementary Figures and Tables</w:t>
      </w:r>
    </w:p>
    <w:p w14:paraId="07970E94" w14:textId="77777777" w:rsidR="00994A3D" w:rsidRPr="001549D3" w:rsidRDefault="00994A3D" w:rsidP="0001436A">
      <w:pPr>
        <w:pStyle w:val="Naslov2"/>
      </w:pPr>
      <w:r w:rsidRPr="0001436A">
        <w:t>Supplementary</w:t>
      </w:r>
      <w:r w:rsidRPr="001549D3">
        <w:t xml:space="preserve"> Figures</w:t>
      </w:r>
    </w:p>
    <w:p w14:paraId="423FB14B" w14:textId="77777777" w:rsidR="00E31718" w:rsidRPr="002534AA" w:rsidRDefault="00E31718" w:rsidP="00E31718">
      <w:pPr>
        <w:rPr>
          <w:rFonts w:asciiTheme="minorBidi" w:hAnsiTheme="minorBidi"/>
        </w:rPr>
      </w:pPr>
      <w:r>
        <w:rPr>
          <w:rFonts w:ascii="Arial" w:hAnsi="Arial" w:cs="Arial"/>
          <w:b/>
          <w:noProof/>
          <w:lang w:val="en-GB"/>
        </w:rPr>
        <w:drawing>
          <wp:inline distT="0" distB="0" distL="0" distR="0" wp14:anchorId="4A734310" wp14:editId="442B2E2A">
            <wp:extent cx="4320000" cy="3245146"/>
            <wp:effectExtent l="0" t="0" r="444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8.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3245146"/>
                    </a:xfrm>
                    <a:prstGeom prst="rect">
                      <a:avLst/>
                    </a:prstGeom>
                  </pic:spPr>
                </pic:pic>
              </a:graphicData>
            </a:graphic>
          </wp:inline>
        </w:drawing>
      </w:r>
    </w:p>
    <w:p w14:paraId="20815540" w14:textId="077853F8" w:rsidR="00E31718" w:rsidRPr="00E31718" w:rsidRDefault="00E31718" w:rsidP="0075099F">
      <w:pPr>
        <w:jc w:val="both"/>
        <w:rPr>
          <w:rFonts w:asciiTheme="minorBidi" w:hAnsiTheme="minorBidi"/>
          <w:sz w:val="32"/>
        </w:rPr>
      </w:pPr>
      <w:r w:rsidRPr="0075099F">
        <w:rPr>
          <w:rFonts w:asciiTheme="minorBidi" w:hAnsiTheme="minorBidi"/>
          <w:b/>
          <w:bCs/>
          <w:szCs w:val="20"/>
        </w:rPr>
        <w:t>Figure S1</w:t>
      </w:r>
      <w:r w:rsidR="009768D7" w:rsidRPr="0075099F">
        <w:rPr>
          <w:rFonts w:asciiTheme="minorBidi" w:hAnsiTheme="minorBidi"/>
          <w:b/>
          <w:bCs/>
          <w:szCs w:val="20"/>
        </w:rPr>
        <w:t xml:space="preserve"> </w:t>
      </w:r>
      <w:r w:rsidR="0075099F" w:rsidRPr="0075099F">
        <w:rPr>
          <w:rFonts w:asciiTheme="minorBidi" w:hAnsiTheme="minorBidi"/>
          <w:bCs/>
          <w:szCs w:val="20"/>
        </w:rPr>
        <w:t>Calibration curve for the determination of the Cu concentration by the AAS method, prepared from a copper standard solution (</w:t>
      </w:r>
      <w:proofErr w:type="gramStart"/>
      <w:r w:rsidR="0075099F" w:rsidRPr="0075099F">
        <w:rPr>
          <w:rFonts w:asciiTheme="minorBidi" w:hAnsiTheme="minorBidi"/>
          <w:bCs/>
          <w:szCs w:val="20"/>
        </w:rPr>
        <w:t>Cu(</w:t>
      </w:r>
      <w:proofErr w:type="gramEnd"/>
      <w:r w:rsidR="0075099F" w:rsidRPr="0075099F">
        <w:rPr>
          <w:rFonts w:asciiTheme="minorBidi" w:hAnsiTheme="minorBidi"/>
          <w:bCs/>
          <w:szCs w:val="20"/>
        </w:rPr>
        <w:t>NO</w:t>
      </w:r>
      <w:r w:rsidR="0075099F" w:rsidRPr="0075099F">
        <w:rPr>
          <w:rFonts w:asciiTheme="minorBidi" w:hAnsiTheme="minorBidi"/>
          <w:bCs/>
          <w:szCs w:val="20"/>
          <w:vertAlign w:val="subscript"/>
        </w:rPr>
        <w:t>3</w:t>
      </w:r>
      <w:r w:rsidR="0075099F" w:rsidRPr="0075099F">
        <w:rPr>
          <w:rFonts w:asciiTheme="minorBidi" w:hAnsiTheme="minorBidi"/>
          <w:bCs/>
          <w:szCs w:val="20"/>
        </w:rPr>
        <w:t>)</w:t>
      </w:r>
      <w:r w:rsidR="0075099F" w:rsidRPr="0075099F">
        <w:rPr>
          <w:rFonts w:asciiTheme="minorBidi" w:hAnsiTheme="minorBidi"/>
          <w:bCs/>
          <w:szCs w:val="20"/>
          <w:vertAlign w:val="subscript"/>
        </w:rPr>
        <w:t>2</w:t>
      </w:r>
      <w:r w:rsidR="0075099F" w:rsidRPr="0075099F">
        <w:rPr>
          <w:rFonts w:asciiTheme="minorBidi" w:hAnsiTheme="minorBidi"/>
          <w:bCs/>
          <w:szCs w:val="20"/>
        </w:rPr>
        <w:t xml:space="preserve"> in HNO</w:t>
      </w:r>
      <w:r w:rsidR="0075099F" w:rsidRPr="0075099F">
        <w:rPr>
          <w:rFonts w:asciiTheme="minorBidi" w:hAnsiTheme="minorBidi"/>
          <w:bCs/>
          <w:szCs w:val="20"/>
          <w:vertAlign w:val="subscript"/>
        </w:rPr>
        <w:t>3</w:t>
      </w:r>
      <w:r w:rsidR="0075099F" w:rsidRPr="0075099F">
        <w:rPr>
          <w:rFonts w:asciiTheme="minorBidi" w:hAnsiTheme="minorBidi"/>
          <w:bCs/>
          <w:szCs w:val="20"/>
        </w:rPr>
        <w:t xml:space="preserve"> 0.5 mol/L) in various concentrations.</w:t>
      </w:r>
    </w:p>
    <w:p w14:paraId="1CB04B46" w14:textId="77777777" w:rsidR="00E31718" w:rsidRPr="002534AA" w:rsidRDefault="00E31718" w:rsidP="00E31718">
      <w:pPr>
        <w:rPr>
          <w:rFonts w:asciiTheme="minorBidi" w:hAnsiTheme="minorBidi"/>
          <w:lang w:val="en-GB"/>
        </w:rPr>
      </w:pPr>
    </w:p>
    <w:p w14:paraId="324479CC" w14:textId="77777777" w:rsidR="00E31718" w:rsidRPr="002534AA" w:rsidRDefault="00E31718" w:rsidP="00E31718">
      <w:pPr>
        <w:rPr>
          <w:rFonts w:asciiTheme="minorBidi" w:hAnsiTheme="minorBidi"/>
        </w:rPr>
      </w:pPr>
      <w:r w:rsidRPr="002534AA">
        <w:rPr>
          <w:rFonts w:asciiTheme="minorBidi" w:hAnsiTheme="minorBidi"/>
          <w:noProof/>
        </w:rPr>
        <w:lastRenderedPageBreak/>
        <w:drawing>
          <wp:inline distT="0" distB="0" distL="0" distR="0" wp14:anchorId="3EB8228E" wp14:editId="39126A44">
            <wp:extent cx="5731510" cy="4241165"/>
            <wp:effectExtent l="0" t="0" r="2540" b="6985"/>
            <wp:docPr id="2017273257" name="Picture 1" descr="A graph with 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73257" name="Picture 1" descr="A graph with red lines and numbers&#10;&#10;Description automatically generated"/>
                    <pic:cNvPicPr/>
                  </pic:nvPicPr>
                  <pic:blipFill>
                    <a:blip r:embed="rId15"/>
                    <a:stretch>
                      <a:fillRect/>
                    </a:stretch>
                  </pic:blipFill>
                  <pic:spPr>
                    <a:xfrm>
                      <a:off x="0" y="0"/>
                      <a:ext cx="5731510" cy="4241165"/>
                    </a:xfrm>
                    <a:prstGeom prst="rect">
                      <a:avLst/>
                    </a:prstGeom>
                  </pic:spPr>
                </pic:pic>
              </a:graphicData>
            </a:graphic>
          </wp:inline>
        </w:drawing>
      </w:r>
    </w:p>
    <w:p w14:paraId="080157E3" w14:textId="0D4A36E0" w:rsidR="00E31718" w:rsidRPr="00E31718" w:rsidRDefault="00E31718" w:rsidP="00E31718">
      <w:pPr>
        <w:jc w:val="both"/>
        <w:rPr>
          <w:rFonts w:asciiTheme="minorBidi" w:hAnsiTheme="minorBidi"/>
          <w:szCs w:val="20"/>
          <w:lang w:val="en-GB"/>
        </w:rPr>
      </w:pPr>
      <w:r w:rsidRPr="00E31718">
        <w:rPr>
          <w:rFonts w:asciiTheme="minorBidi" w:hAnsiTheme="minorBidi"/>
          <w:b/>
          <w:bCs/>
          <w:szCs w:val="20"/>
        </w:rPr>
        <w:t>Fig</w:t>
      </w:r>
      <w:r>
        <w:rPr>
          <w:rFonts w:asciiTheme="minorBidi" w:hAnsiTheme="minorBidi"/>
          <w:b/>
          <w:bCs/>
          <w:szCs w:val="20"/>
        </w:rPr>
        <w:t>ure</w:t>
      </w:r>
      <w:r w:rsidRPr="00E31718">
        <w:rPr>
          <w:rFonts w:asciiTheme="minorBidi" w:hAnsiTheme="minorBidi"/>
          <w:b/>
          <w:bCs/>
          <w:szCs w:val="20"/>
        </w:rPr>
        <w:t xml:space="preserve"> S2</w:t>
      </w:r>
      <w:r w:rsidRPr="00E31718">
        <w:rPr>
          <w:rFonts w:asciiTheme="minorBidi" w:hAnsiTheme="minorBidi"/>
          <w:szCs w:val="20"/>
        </w:rPr>
        <w:t xml:space="preserve"> </w:t>
      </w:r>
      <w:r w:rsidRPr="00E31718">
        <w:rPr>
          <w:rFonts w:asciiTheme="minorBidi" w:hAnsiTheme="minorBidi"/>
          <w:szCs w:val="20"/>
          <w:vertAlign w:val="superscript"/>
        </w:rPr>
        <w:t>1</w:t>
      </w:r>
      <w:r w:rsidRPr="00E31718">
        <w:rPr>
          <w:rFonts w:asciiTheme="minorBidi" w:hAnsiTheme="minorBidi"/>
          <w:szCs w:val="20"/>
        </w:rPr>
        <w:t>H-NMR spectrum of the crude product mixture in the case of a 60-minute flow reaction in which 55% of the 1-benzyl-4-phenyl-1</w:t>
      </w:r>
      <w:r w:rsidRPr="00E31718">
        <w:rPr>
          <w:rFonts w:asciiTheme="minorBidi" w:hAnsiTheme="minorBidi"/>
          <w:i/>
          <w:szCs w:val="20"/>
        </w:rPr>
        <w:t>H</w:t>
      </w:r>
      <w:r w:rsidRPr="00E31718">
        <w:rPr>
          <w:rFonts w:asciiTheme="minorBidi" w:hAnsiTheme="minorBidi"/>
          <w:szCs w:val="20"/>
        </w:rPr>
        <w:t xml:space="preserve">-1,2,3-triazole product was formed. In addition to the integrated product resonances and the resonances of an internal standard 1,3,5-trimethoxybenzene, the spectrum also contains resonances of ethyl acetate, which was used for extraction, as well as of unreacted starting phenylacetylene and benzyl </w:t>
      </w:r>
      <w:proofErr w:type="spellStart"/>
      <w:r w:rsidRPr="00E31718">
        <w:rPr>
          <w:rFonts w:asciiTheme="minorBidi" w:hAnsiTheme="minorBidi"/>
          <w:szCs w:val="20"/>
        </w:rPr>
        <w:t>azide</w:t>
      </w:r>
      <w:proofErr w:type="spellEnd"/>
      <w:r w:rsidRPr="00E31718">
        <w:rPr>
          <w:rFonts w:asciiTheme="minorBidi" w:hAnsiTheme="minorBidi"/>
          <w:szCs w:val="20"/>
        </w:rPr>
        <w:t>.</w:t>
      </w:r>
      <w:r w:rsidRPr="00E31718">
        <w:rPr>
          <w:rFonts w:asciiTheme="minorBidi" w:hAnsiTheme="minorBidi"/>
          <w:szCs w:val="20"/>
          <w:lang w:val="en-GB"/>
        </w:rPr>
        <w:t xml:space="preserve"> </w:t>
      </w:r>
    </w:p>
    <w:p w14:paraId="36954B99" w14:textId="77777777" w:rsidR="00E31718" w:rsidRPr="002534AA" w:rsidRDefault="00E31718" w:rsidP="00E31718">
      <w:pPr>
        <w:rPr>
          <w:rFonts w:asciiTheme="minorBidi" w:hAnsiTheme="minorBidi"/>
          <w:lang w:val="en-GB"/>
        </w:rPr>
      </w:pPr>
    </w:p>
    <w:p w14:paraId="188205E6" w14:textId="77777777" w:rsidR="00E31718" w:rsidRPr="002534AA" w:rsidRDefault="00E31718" w:rsidP="00E31718">
      <w:pPr>
        <w:rPr>
          <w:rFonts w:asciiTheme="minorBidi" w:hAnsiTheme="minorBidi"/>
        </w:rPr>
      </w:pPr>
      <w:r w:rsidRPr="002534AA">
        <w:rPr>
          <w:rFonts w:asciiTheme="minorBidi" w:hAnsiTheme="minorBidi"/>
          <w:noProof/>
        </w:rPr>
        <w:lastRenderedPageBreak/>
        <w:drawing>
          <wp:inline distT="0" distB="0" distL="0" distR="0" wp14:anchorId="128393E3" wp14:editId="5CCD357E">
            <wp:extent cx="5731510" cy="4363085"/>
            <wp:effectExtent l="0" t="0" r="2540" b="0"/>
            <wp:docPr id="1755455620"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55620" name="Picture 1" descr="A screen shot of a graph&#10;&#10;Description automatically generated"/>
                    <pic:cNvPicPr/>
                  </pic:nvPicPr>
                  <pic:blipFill>
                    <a:blip r:embed="rId16"/>
                    <a:stretch>
                      <a:fillRect/>
                    </a:stretch>
                  </pic:blipFill>
                  <pic:spPr>
                    <a:xfrm>
                      <a:off x="0" y="0"/>
                      <a:ext cx="5731510" cy="4363085"/>
                    </a:xfrm>
                    <a:prstGeom prst="rect">
                      <a:avLst/>
                    </a:prstGeom>
                  </pic:spPr>
                </pic:pic>
              </a:graphicData>
            </a:graphic>
          </wp:inline>
        </w:drawing>
      </w:r>
    </w:p>
    <w:p w14:paraId="4F290FD0" w14:textId="09B262B1" w:rsidR="00E31718" w:rsidRPr="00E31718" w:rsidRDefault="00E31718" w:rsidP="00E31718">
      <w:pPr>
        <w:jc w:val="both"/>
        <w:rPr>
          <w:rFonts w:asciiTheme="minorBidi" w:hAnsiTheme="minorBidi"/>
          <w:szCs w:val="20"/>
          <w:lang w:val="en-GB"/>
        </w:rPr>
      </w:pPr>
      <w:bookmarkStart w:id="1" w:name="_Hlk166053441"/>
      <w:r w:rsidRPr="00E31718">
        <w:rPr>
          <w:rFonts w:asciiTheme="minorBidi" w:hAnsiTheme="minorBidi"/>
          <w:b/>
          <w:bCs/>
          <w:szCs w:val="20"/>
        </w:rPr>
        <w:t>Fig</w:t>
      </w:r>
      <w:r>
        <w:rPr>
          <w:rFonts w:asciiTheme="minorBidi" w:hAnsiTheme="minorBidi"/>
          <w:b/>
          <w:bCs/>
          <w:szCs w:val="20"/>
        </w:rPr>
        <w:t>ure</w:t>
      </w:r>
      <w:r w:rsidRPr="00E31718">
        <w:rPr>
          <w:rFonts w:asciiTheme="minorBidi" w:hAnsiTheme="minorBidi"/>
          <w:b/>
          <w:bCs/>
          <w:szCs w:val="20"/>
        </w:rPr>
        <w:t xml:space="preserve"> S3</w:t>
      </w:r>
      <w:r w:rsidRPr="00E31718">
        <w:rPr>
          <w:rFonts w:asciiTheme="minorBidi" w:hAnsiTheme="minorBidi"/>
          <w:szCs w:val="20"/>
        </w:rPr>
        <w:t xml:space="preserve"> </w:t>
      </w:r>
      <w:bookmarkEnd w:id="1"/>
      <w:r w:rsidRPr="00E31718">
        <w:rPr>
          <w:rFonts w:asciiTheme="minorBidi" w:hAnsiTheme="minorBidi"/>
          <w:szCs w:val="20"/>
          <w:vertAlign w:val="superscript"/>
        </w:rPr>
        <w:t>1</w:t>
      </w:r>
      <w:r w:rsidRPr="00E31718">
        <w:rPr>
          <w:rFonts w:asciiTheme="minorBidi" w:hAnsiTheme="minorBidi"/>
          <w:szCs w:val="20"/>
        </w:rPr>
        <w:t>H-NMR spectrum of the crude product mixture in the case of a 120-minute flow reaction in which 99% of the 1-benzyl-4-phenyl-1</w:t>
      </w:r>
      <w:r w:rsidRPr="00E31718">
        <w:rPr>
          <w:rFonts w:asciiTheme="minorBidi" w:hAnsiTheme="minorBidi"/>
          <w:i/>
          <w:szCs w:val="20"/>
        </w:rPr>
        <w:t>H</w:t>
      </w:r>
      <w:r w:rsidRPr="00E31718">
        <w:rPr>
          <w:rFonts w:asciiTheme="minorBidi" w:hAnsiTheme="minorBidi"/>
          <w:szCs w:val="20"/>
        </w:rPr>
        <w:t>-1,2,3-triazole product was formed. In addition to the integrated product resonances and the resonances of an internal standard 1,3,5-trimethoxybenzene, the spectrum also contains ethyl acetate, which was used for extraction.</w:t>
      </w:r>
      <w:r w:rsidRPr="00E31718">
        <w:rPr>
          <w:rFonts w:asciiTheme="minorBidi" w:hAnsiTheme="minorBidi"/>
          <w:szCs w:val="20"/>
          <w:lang w:val="en-GB"/>
        </w:rPr>
        <w:t xml:space="preserve"> </w:t>
      </w:r>
    </w:p>
    <w:p w14:paraId="75506E6F" w14:textId="77777777" w:rsidR="00E31718" w:rsidRPr="002534AA" w:rsidRDefault="00E31718" w:rsidP="00E31718">
      <w:pPr>
        <w:rPr>
          <w:rFonts w:asciiTheme="minorBidi" w:hAnsiTheme="minorBidi"/>
          <w:lang w:val="en-GB"/>
        </w:rPr>
      </w:pPr>
    </w:p>
    <w:p w14:paraId="29A98A4B" w14:textId="77777777" w:rsidR="00E31718" w:rsidRPr="002534AA" w:rsidRDefault="00E31718" w:rsidP="00E31718">
      <w:pPr>
        <w:rPr>
          <w:rFonts w:asciiTheme="minorBidi" w:hAnsiTheme="minorBidi"/>
          <w:lang w:val="en-GB"/>
        </w:rPr>
      </w:pPr>
      <w:r w:rsidRPr="002534AA">
        <w:rPr>
          <w:rFonts w:asciiTheme="minorBidi" w:hAnsiTheme="minorBidi"/>
          <w:noProof/>
          <w:lang w:val="en-GB"/>
        </w:rPr>
        <w:lastRenderedPageBreak/>
        <w:drawing>
          <wp:inline distT="0" distB="0" distL="0" distR="0" wp14:anchorId="478A0E4C" wp14:editId="16534630">
            <wp:extent cx="5731510" cy="4547870"/>
            <wp:effectExtent l="0" t="0" r="2540" b="5080"/>
            <wp:docPr id="352821055" name="Picture 1" descr="A graph with 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21055" name="Picture 1" descr="A graph with red lines and numbers&#10;&#10;Description automatically generated"/>
                    <pic:cNvPicPr/>
                  </pic:nvPicPr>
                  <pic:blipFill>
                    <a:blip r:embed="rId17"/>
                    <a:stretch>
                      <a:fillRect/>
                    </a:stretch>
                  </pic:blipFill>
                  <pic:spPr>
                    <a:xfrm>
                      <a:off x="0" y="0"/>
                      <a:ext cx="5731510" cy="4547870"/>
                    </a:xfrm>
                    <a:prstGeom prst="rect">
                      <a:avLst/>
                    </a:prstGeom>
                  </pic:spPr>
                </pic:pic>
              </a:graphicData>
            </a:graphic>
          </wp:inline>
        </w:drawing>
      </w:r>
    </w:p>
    <w:p w14:paraId="682B1D5C" w14:textId="172DB396" w:rsidR="00E31718" w:rsidRPr="00E31718" w:rsidRDefault="00E31718" w:rsidP="00E31718">
      <w:pPr>
        <w:jc w:val="both"/>
        <w:rPr>
          <w:rFonts w:asciiTheme="minorBidi" w:hAnsiTheme="minorBidi"/>
          <w:szCs w:val="20"/>
          <w:lang w:val="en-GB"/>
        </w:rPr>
      </w:pPr>
      <w:r w:rsidRPr="00E31718">
        <w:rPr>
          <w:rFonts w:asciiTheme="minorBidi" w:hAnsiTheme="minorBidi"/>
          <w:b/>
          <w:bCs/>
          <w:szCs w:val="20"/>
        </w:rPr>
        <w:t>Fig</w:t>
      </w:r>
      <w:r>
        <w:rPr>
          <w:rFonts w:asciiTheme="minorBidi" w:hAnsiTheme="minorBidi"/>
          <w:b/>
          <w:bCs/>
          <w:szCs w:val="20"/>
        </w:rPr>
        <w:t>ure</w:t>
      </w:r>
      <w:r w:rsidRPr="00E31718">
        <w:rPr>
          <w:rFonts w:asciiTheme="minorBidi" w:hAnsiTheme="minorBidi"/>
          <w:b/>
          <w:bCs/>
          <w:szCs w:val="20"/>
        </w:rPr>
        <w:t xml:space="preserve"> S4</w:t>
      </w:r>
      <w:r w:rsidRPr="00E31718">
        <w:rPr>
          <w:rFonts w:asciiTheme="minorBidi" w:hAnsiTheme="minorBidi"/>
          <w:szCs w:val="20"/>
        </w:rPr>
        <w:t xml:space="preserve"> </w:t>
      </w:r>
      <w:r w:rsidRPr="00E31718">
        <w:rPr>
          <w:rFonts w:asciiTheme="minorBidi" w:hAnsiTheme="minorBidi"/>
          <w:szCs w:val="20"/>
          <w:vertAlign w:val="superscript"/>
        </w:rPr>
        <w:t>1</w:t>
      </w:r>
      <w:r w:rsidRPr="00E31718">
        <w:rPr>
          <w:rFonts w:asciiTheme="minorBidi" w:hAnsiTheme="minorBidi"/>
          <w:szCs w:val="20"/>
        </w:rPr>
        <w:t>H-NMR spectrum of the crude product mixture in the case of a batch reaction in which 10% of the 1-benzyl-4-phenyl-1</w:t>
      </w:r>
      <w:r w:rsidRPr="00E31718">
        <w:rPr>
          <w:rFonts w:asciiTheme="minorBidi" w:hAnsiTheme="minorBidi"/>
          <w:i/>
          <w:szCs w:val="20"/>
        </w:rPr>
        <w:t>H</w:t>
      </w:r>
      <w:r w:rsidRPr="00E31718">
        <w:rPr>
          <w:rFonts w:asciiTheme="minorBidi" w:hAnsiTheme="minorBidi"/>
          <w:szCs w:val="20"/>
        </w:rPr>
        <w:t xml:space="preserve">-1,2,3-triazole product was formed. In addition to the integrated product resonances and the resonances of an internal standard 1,3,5-trimethoxybenzene, the spectrum also contains resonances of ethyl acetate, which was used for extraction, as well as of unreacted starting phenylacetylene and benzyl </w:t>
      </w:r>
      <w:proofErr w:type="spellStart"/>
      <w:r w:rsidRPr="00E31718">
        <w:rPr>
          <w:rFonts w:asciiTheme="minorBidi" w:hAnsiTheme="minorBidi"/>
          <w:szCs w:val="20"/>
        </w:rPr>
        <w:t>azide</w:t>
      </w:r>
      <w:proofErr w:type="spellEnd"/>
      <w:r w:rsidRPr="00E31718">
        <w:rPr>
          <w:rFonts w:asciiTheme="minorBidi" w:hAnsiTheme="minorBidi"/>
          <w:szCs w:val="20"/>
        </w:rPr>
        <w:t>.</w:t>
      </w:r>
      <w:r w:rsidRPr="00E31718">
        <w:rPr>
          <w:rFonts w:asciiTheme="minorBidi" w:hAnsiTheme="minorBidi"/>
          <w:szCs w:val="20"/>
          <w:lang w:val="en-GB"/>
        </w:rPr>
        <w:t xml:space="preserve"> </w:t>
      </w:r>
    </w:p>
    <w:p w14:paraId="59124283" w14:textId="77777777" w:rsidR="00E31718" w:rsidRPr="002534AA" w:rsidRDefault="00E31718" w:rsidP="00E31718">
      <w:pPr>
        <w:rPr>
          <w:rFonts w:asciiTheme="minorBidi" w:hAnsiTheme="minorBidi"/>
          <w:lang w:val="en-GB"/>
        </w:rPr>
      </w:pPr>
    </w:p>
    <w:p w14:paraId="2C8E919A" w14:textId="77777777" w:rsidR="00E31718" w:rsidRPr="002534AA" w:rsidRDefault="00E31718" w:rsidP="00E31718">
      <w:pPr>
        <w:rPr>
          <w:rFonts w:asciiTheme="minorBidi" w:hAnsiTheme="minorBidi"/>
        </w:rPr>
      </w:pPr>
    </w:p>
    <w:p w14:paraId="74749E01" w14:textId="77777777" w:rsidR="00E31718" w:rsidRPr="002534AA" w:rsidRDefault="00E31718" w:rsidP="00E31718">
      <w:pPr>
        <w:rPr>
          <w:rFonts w:asciiTheme="minorBidi" w:hAnsiTheme="minorBidi"/>
        </w:rPr>
      </w:pPr>
    </w:p>
    <w:p w14:paraId="38DE7D22" w14:textId="77777777" w:rsidR="00E31718" w:rsidRPr="002534AA" w:rsidRDefault="00E31718" w:rsidP="00E31718">
      <w:pPr>
        <w:rPr>
          <w:rFonts w:asciiTheme="minorBidi" w:hAnsiTheme="minorBidi"/>
        </w:rPr>
      </w:pPr>
    </w:p>
    <w:p w14:paraId="4916FCC9" w14:textId="77777777" w:rsidR="00994A3D" w:rsidRPr="001549D3" w:rsidRDefault="00994A3D" w:rsidP="00994A3D">
      <w:pPr>
        <w:keepNext/>
        <w:rPr>
          <w:rFonts w:cs="Times New Roman"/>
          <w:szCs w:val="24"/>
        </w:rPr>
      </w:pPr>
    </w:p>
    <w:p w14:paraId="58F1AED1" w14:textId="77777777" w:rsidR="00DE23E8" w:rsidRPr="001549D3" w:rsidRDefault="00DE23E8" w:rsidP="00654E8F">
      <w:pPr>
        <w:spacing w:before="240"/>
      </w:pPr>
    </w:p>
    <w:sectPr w:rsidR="00DE23E8" w:rsidRPr="001549D3" w:rsidSect="0093429D">
      <w:headerReference w:type="even" r:id="rId18"/>
      <w:footerReference w:type="even" r:id="rId19"/>
      <w:footerReference w:type="default" r:id="rId20"/>
      <w:headerReference w:type="first" r:id="rId2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1BCE" w14:textId="77777777" w:rsidR="007661E1" w:rsidRDefault="007661E1" w:rsidP="00117666">
      <w:pPr>
        <w:spacing w:after="0"/>
      </w:pPr>
      <w:r>
        <w:separator/>
      </w:r>
    </w:p>
  </w:endnote>
  <w:endnote w:type="continuationSeparator" w:id="0">
    <w:p w14:paraId="44B729CB" w14:textId="77777777" w:rsidR="007661E1" w:rsidRDefault="007661E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1C7B1" w14:textId="77777777" w:rsidR="007661E1" w:rsidRDefault="007661E1" w:rsidP="00117666">
      <w:pPr>
        <w:spacing w:after="0"/>
      </w:pPr>
      <w:r>
        <w:separator/>
      </w:r>
    </w:p>
  </w:footnote>
  <w:footnote w:type="continuationSeparator" w:id="0">
    <w:p w14:paraId="1D45FA8A" w14:textId="77777777" w:rsidR="007661E1" w:rsidRDefault="007661E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Naslov1"/>
      <w:lvlText w:val="%1"/>
      <w:lvlJc w:val="left"/>
      <w:pPr>
        <w:tabs>
          <w:tab w:val="num" w:pos="567"/>
        </w:tabs>
        <w:ind w:left="567" w:hanging="567"/>
      </w:pPr>
      <w:rPr>
        <w:rFonts w:hint="default"/>
      </w:rPr>
    </w:lvl>
    <w:lvl w:ilvl="1">
      <w:start w:val="1"/>
      <w:numFmt w:val="decimal"/>
      <w:pStyle w:val="Naslov2"/>
      <w:lvlText w:val="%1.%2"/>
      <w:lvlJc w:val="left"/>
      <w:pPr>
        <w:tabs>
          <w:tab w:val="num" w:pos="567"/>
        </w:tabs>
        <w:ind w:left="567" w:hanging="567"/>
      </w:pPr>
      <w:rPr>
        <w:rFonts w:hint="default"/>
      </w:rPr>
    </w:lvl>
    <w:lvl w:ilvl="2">
      <w:start w:val="1"/>
      <w:numFmt w:val="decimal"/>
      <w:pStyle w:val="Naslov3"/>
      <w:lvlText w:val="%1.%2.%3"/>
      <w:lvlJc w:val="left"/>
      <w:pPr>
        <w:tabs>
          <w:tab w:val="num" w:pos="567"/>
        </w:tabs>
        <w:ind w:left="567" w:hanging="567"/>
      </w:pPr>
      <w:rPr>
        <w:rFonts w:hint="default"/>
      </w:rPr>
    </w:lvl>
    <w:lvl w:ilvl="3">
      <w:start w:val="1"/>
      <w:numFmt w:val="decimal"/>
      <w:pStyle w:val="Naslov4"/>
      <w:lvlText w:val="%1.%2.%3.%4"/>
      <w:lvlJc w:val="left"/>
      <w:pPr>
        <w:tabs>
          <w:tab w:val="num" w:pos="567"/>
        </w:tabs>
        <w:ind w:left="567" w:hanging="567"/>
      </w:pPr>
      <w:rPr>
        <w:rFonts w:hint="default"/>
      </w:rPr>
    </w:lvl>
    <w:lvl w:ilvl="4">
      <w:start w:val="1"/>
      <w:numFmt w:val="decimal"/>
      <w:pStyle w:val="Naslov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Odstavekseznam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64274"/>
    <w:rsid w:val="003D2D47"/>
    <w:rsid w:val="003D2F2D"/>
    <w:rsid w:val="00401590"/>
    <w:rsid w:val="00447801"/>
    <w:rsid w:val="00452E9C"/>
    <w:rsid w:val="004735C8"/>
    <w:rsid w:val="004961FF"/>
    <w:rsid w:val="004B7375"/>
    <w:rsid w:val="00517A89"/>
    <w:rsid w:val="005250F2"/>
    <w:rsid w:val="00571BDC"/>
    <w:rsid w:val="00593EEA"/>
    <w:rsid w:val="005A5EEE"/>
    <w:rsid w:val="006375C7"/>
    <w:rsid w:val="00654E8F"/>
    <w:rsid w:val="00660D05"/>
    <w:rsid w:val="006820B1"/>
    <w:rsid w:val="006B7D14"/>
    <w:rsid w:val="00701727"/>
    <w:rsid w:val="0070566C"/>
    <w:rsid w:val="00714C50"/>
    <w:rsid w:val="00717DF5"/>
    <w:rsid w:val="00725A7D"/>
    <w:rsid w:val="007501BE"/>
    <w:rsid w:val="0075099F"/>
    <w:rsid w:val="007661E1"/>
    <w:rsid w:val="00790BB3"/>
    <w:rsid w:val="007C206C"/>
    <w:rsid w:val="00803D24"/>
    <w:rsid w:val="00817DD6"/>
    <w:rsid w:val="00885156"/>
    <w:rsid w:val="008B6900"/>
    <w:rsid w:val="009151AA"/>
    <w:rsid w:val="0093429D"/>
    <w:rsid w:val="00943573"/>
    <w:rsid w:val="00970F7D"/>
    <w:rsid w:val="009768D7"/>
    <w:rsid w:val="00994A3D"/>
    <w:rsid w:val="009C2B12"/>
    <w:rsid w:val="009C70F3"/>
    <w:rsid w:val="00A174D9"/>
    <w:rsid w:val="00A569CD"/>
    <w:rsid w:val="00AB5EE2"/>
    <w:rsid w:val="00AB6715"/>
    <w:rsid w:val="00B1671E"/>
    <w:rsid w:val="00B25EB8"/>
    <w:rsid w:val="00B26F87"/>
    <w:rsid w:val="00B354E1"/>
    <w:rsid w:val="00B37F4D"/>
    <w:rsid w:val="00C52A7B"/>
    <w:rsid w:val="00C56BAF"/>
    <w:rsid w:val="00C679AA"/>
    <w:rsid w:val="00C75972"/>
    <w:rsid w:val="00CC0A3A"/>
    <w:rsid w:val="00CD066B"/>
    <w:rsid w:val="00CE4FEE"/>
    <w:rsid w:val="00DB59C3"/>
    <w:rsid w:val="00DC259A"/>
    <w:rsid w:val="00DE23E8"/>
    <w:rsid w:val="00E31718"/>
    <w:rsid w:val="00E52377"/>
    <w:rsid w:val="00E64E17"/>
    <w:rsid w:val="00E866C9"/>
    <w:rsid w:val="00EA3D3C"/>
    <w:rsid w:val="00EB0474"/>
    <w:rsid w:val="00ED3E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B6715"/>
    <w:pPr>
      <w:spacing w:before="120" w:after="240" w:line="240" w:lineRule="auto"/>
    </w:pPr>
    <w:rPr>
      <w:rFonts w:ascii="Times New Roman" w:hAnsi="Times New Roman"/>
      <w:sz w:val="24"/>
    </w:rPr>
  </w:style>
  <w:style w:type="paragraph" w:styleId="Naslov1">
    <w:name w:val="heading 1"/>
    <w:basedOn w:val="Odstavekseznama"/>
    <w:next w:val="Navaden"/>
    <w:link w:val="Naslov1Znak"/>
    <w:uiPriority w:val="2"/>
    <w:qFormat/>
    <w:rsid w:val="00AB6715"/>
    <w:pPr>
      <w:numPr>
        <w:numId w:val="19"/>
      </w:numPr>
      <w:spacing w:before="240"/>
      <w:contextualSpacing w:val="0"/>
      <w:outlineLvl w:val="0"/>
    </w:pPr>
    <w:rPr>
      <w:b/>
    </w:rPr>
  </w:style>
  <w:style w:type="paragraph" w:styleId="Naslov2">
    <w:name w:val="heading 2"/>
    <w:basedOn w:val="Naslov1"/>
    <w:next w:val="Navaden"/>
    <w:link w:val="Naslov2Znak"/>
    <w:uiPriority w:val="2"/>
    <w:qFormat/>
    <w:rsid w:val="00AB6715"/>
    <w:pPr>
      <w:numPr>
        <w:ilvl w:val="1"/>
      </w:numPr>
      <w:spacing w:after="200"/>
      <w:outlineLvl w:val="1"/>
    </w:pPr>
  </w:style>
  <w:style w:type="paragraph" w:styleId="Naslov3">
    <w:name w:val="heading 3"/>
    <w:basedOn w:val="Navaden"/>
    <w:next w:val="Navaden"/>
    <w:link w:val="Naslov3Znak"/>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Naslov4">
    <w:name w:val="heading 4"/>
    <w:basedOn w:val="Naslov3"/>
    <w:next w:val="Navaden"/>
    <w:link w:val="Naslov4Znak"/>
    <w:uiPriority w:val="2"/>
    <w:qFormat/>
    <w:rsid w:val="00AB6715"/>
    <w:pPr>
      <w:numPr>
        <w:ilvl w:val="3"/>
      </w:numPr>
      <w:outlineLvl w:val="3"/>
    </w:pPr>
    <w:rPr>
      <w:iCs/>
    </w:rPr>
  </w:style>
  <w:style w:type="paragraph" w:styleId="Naslov5">
    <w:name w:val="heading 5"/>
    <w:basedOn w:val="Naslov4"/>
    <w:next w:val="Navaden"/>
    <w:link w:val="Naslov5Znak"/>
    <w:uiPriority w:val="2"/>
    <w:qFormat/>
    <w:rsid w:val="00AB6715"/>
    <w:pPr>
      <w:numPr>
        <w:ilvl w:val="4"/>
      </w:numPr>
      <w:outlineLvl w:val="4"/>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2"/>
    <w:rsid w:val="00AB6715"/>
    <w:rPr>
      <w:rFonts w:ascii="Times New Roman" w:eastAsia="Cambria" w:hAnsi="Times New Roman" w:cs="Times New Roman"/>
      <w:b/>
      <w:sz w:val="24"/>
      <w:szCs w:val="24"/>
    </w:rPr>
  </w:style>
  <w:style w:type="character" w:customStyle="1" w:styleId="Naslov2Znak">
    <w:name w:val="Naslov 2 Znak"/>
    <w:basedOn w:val="Privzetapisavaodstavka"/>
    <w:link w:val="Naslov2"/>
    <w:uiPriority w:val="2"/>
    <w:rsid w:val="00AB6715"/>
    <w:rPr>
      <w:rFonts w:ascii="Times New Roman" w:eastAsia="Cambria" w:hAnsi="Times New Roman" w:cs="Times New Roman"/>
      <w:b/>
      <w:sz w:val="24"/>
      <w:szCs w:val="24"/>
    </w:rPr>
  </w:style>
  <w:style w:type="paragraph" w:styleId="Podnaslov">
    <w:name w:val="Subtitle"/>
    <w:basedOn w:val="Navaden"/>
    <w:next w:val="Navaden"/>
    <w:link w:val="PodnaslovZnak"/>
    <w:uiPriority w:val="99"/>
    <w:unhideWhenUsed/>
    <w:qFormat/>
    <w:rsid w:val="00AB6715"/>
    <w:pPr>
      <w:spacing w:before="240"/>
    </w:pPr>
    <w:rPr>
      <w:rFonts w:cs="Times New Roman"/>
      <w:b/>
      <w:szCs w:val="24"/>
    </w:rPr>
  </w:style>
  <w:style w:type="character" w:customStyle="1" w:styleId="PodnaslovZnak">
    <w:name w:val="Podnaslov Znak"/>
    <w:basedOn w:val="Privzetapisavaodstavka"/>
    <w:link w:val="Podnaslov"/>
    <w:uiPriority w:val="99"/>
    <w:rsid w:val="00AB6715"/>
    <w:rPr>
      <w:rFonts w:ascii="Times New Roman" w:hAnsi="Times New Roman" w:cs="Times New Roman"/>
      <w:b/>
      <w:sz w:val="24"/>
      <w:szCs w:val="24"/>
    </w:rPr>
  </w:style>
  <w:style w:type="paragraph" w:customStyle="1" w:styleId="AuthorList">
    <w:name w:val="Author List"/>
    <w:aliases w:val="Keywords,Abstract"/>
    <w:basedOn w:val="Podnaslov"/>
    <w:next w:val="Navaden"/>
    <w:uiPriority w:val="1"/>
    <w:qFormat/>
    <w:rsid w:val="00AB6715"/>
  </w:style>
  <w:style w:type="paragraph" w:styleId="Besedilooblaka">
    <w:name w:val="Balloon Text"/>
    <w:basedOn w:val="Navaden"/>
    <w:link w:val="BesedilooblakaZnak"/>
    <w:uiPriority w:val="99"/>
    <w:semiHidden/>
    <w:unhideWhenUsed/>
    <w:rsid w:val="00AB6715"/>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B6715"/>
    <w:rPr>
      <w:rFonts w:ascii="Tahoma" w:hAnsi="Tahoma" w:cs="Tahoma"/>
      <w:sz w:val="16"/>
      <w:szCs w:val="16"/>
    </w:rPr>
  </w:style>
  <w:style w:type="character" w:styleId="Naslovknjige">
    <w:name w:val="Book Title"/>
    <w:basedOn w:val="Privzetapisavaodstavka"/>
    <w:uiPriority w:val="33"/>
    <w:qFormat/>
    <w:rsid w:val="00AB6715"/>
    <w:rPr>
      <w:rFonts w:ascii="Times New Roman" w:hAnsi="Times New Roman"/>
      <w:b/>
      <w:bCs/>
      <w:i/>
      <w:iCs/>
      <w:spacing w:val="5"/>
    </w:rPr>
  </w:style>
  <w:style w:type="paragraph" w:styleId="Napis">
    <w:name w:val="caption"/>
    <w:basedOn w:val="Navaden"/>
    <w:next w:val="Brezrazmikov"/>
    <w:uiPriority w:val="35"/>
    <w:unhideWhenUsed/>
    <w:qFormat/>
    <w:rsid w:val="00AB6715"/>
    <w:pPr>
      <w:keepNext/>
    </w:pPr>
    <w:rPr>
      <w:rFonts w:cs="Times New Roman"/>
      <w:b/>
      <w:bCs/>
      <w:szCs w:val="24"/>
    </w:rPr>
  </w:style>
  <w:style w:type="paragraph" w:styleId="Brezrazmikov">
    <w:name w:val="No Spacing"/>
    <w:uiPriority w:val="99"/>
    <w:unhideWhenUsed/>
    <w:qFormat/>
    <w:rsid w:val="00AB6715"/>
    <w:pPr>
      <w:spacing w:after="0" w:line="240" w:lineRule="auto"/>
    </w:pPr>
    <w:rPr>
      <w:rFonts w:ascii="Times New Roman" w:hAnsi="Times New Roman"/>
      <w:sz w:val="24"/>
    </w:rPr>
  </w:style>
  <w:style w:type="character" w:styleId="Pripombasklic">
    <w:name w:val="annotation reference"/>
    <w:basedOn w:val="Privzetapisavaodstavka"/>
    <w:uiPriority w:val="99"/>
    <w:semiHidden/>
    <w:unhideWhenUsed/>
    <w:rsid w:val="00AB6715"/>
    <w:rPr>
      <w:sz w:val="16"/>
      <w:szCs w:val="16"/>
    </w:rPr>
  </w:style>
  <w:style w:type="paragraph" w:styleId="Pripombabesedilo">
    <w:name w:val="annotation text"/>
    <w:basedOn w:val="Navaden"/>
    <w:link w:val="PripombabesediloZnak"/>
    <w:uiPriority w:val="99"/>
    <w:semiHidden/>
    <w:unhideWhenUsed/>
    <w:rsid w:val="00AB6715"/>
    <w:rPr>
      <w:sz w:val="20"/>
      <w:szCs w:val="20"/>
    </w:rPr>
  </w:style>
  <w:style w:type="character" w:customStyle="1" w:styleId="PripombabesediloZnak">
    <w:name w:val="Pripomba – besedilo Znak"/>
    <w:basedOn w:val="Privzetapisavaodstavka"/>
    <w:link w:val="Pripombabesedilo"/>
    <w:uiPriority w:val="99"/>
    <w:semiHidden/>
    <w:rsid w:val="00AB6715"/>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AB6715"/>
    <w:rPr>
      <w:b/>
      <w:bCs/>
    </w:rPr>
  </w:style>
  <w:style w:type="character" w:customStyle="1" w:styleId="ZadevapripombeZnak">
    <w:name w:val="Zadeva pripombe Znak"/>
    <w:basedOn w:val="PripombabesediloZnak"/>
    <w:link w:val="Zadevapripombe"/>
    <w:uiPriority w:val="99"/>
    <w:semiHidden/>
    <w:rsid w:val="00AB6715"/>
    <w:rPr>
      <w:rFonts w:ascii="Times New Roman" w:hAnsi="Times New Roman"/>
      <w:b/>
      <w:bCs/>
      <w:sz w:val="20"/>
      <w:szCs w:val="20"/>
    </w:rPr>
  </w:style>
  <w:style w:type="character" w:styleId="Poudarek">
    <w:name w:val="Emphasis"/>
    <w:basedOn w:val="Privzetapisavaodstavka"/>
    <w:uiPriority w:val="20"/>
    <w:qFormat/>
    <w:rsid w:val="00AB6715"/>
    <w:rPr>
      <w:rFonts w:ascii="Times New Roman" w:hAnsi="Times New Roman"/>
      <w:i/>
      <w:iCs/>
    </w:rPr>
  </w:style>
  <w:style w:type="character" w:styleId="Konnaopomba-sklic">
    <w:name w:val="endnote reference"/>
    <w:basedOn w:val="Privzetapisavaodstavka"/>
    <w:uiPriority w:val="99"/>
    <w:semiHidden/>
    <w:unhideWhenUsed/>
    <w:rsid w:val="00AB6715"/>
    <w:rPr>
      <w:vertAlign w:val="superscript"/>
    </w:rPr>
  </w:style>
  <w:style w:type="paragraph" w:styleId="Konnaopomba-besedilo">
    <w:name w:val="endnote text"/>
    <w:basedOn w:val="Navaden"/>
    <w:link w:val="Konnaopomba-besediloZnak"/>
    <w:uiPriority w:val="99"/>
    <w:semiHidden/>
    <w:unhideWhenUsed/>
    <w:rsid w:val="00AB6715"/>
    <w:pPr>
      <w:spacing w:after="0"/>
    </w:pPr>
    <w:rPr>
      <w:sz w:val="20"/>
      <w:szCs w:val="20"/>
    </w:rPr>
  </w:style>
  <w:style w:type="character" w:customStyle="1" w:styleId="Konnaopomba-besediloZnak">
    <w:name w:val="Končna opomba - besedilo Znak"/>
    <w:basedOn w:val="Privzetapisavaodstavka"/>
    <w:link w:val="Konnaopomba-besedilo"/>
    <w:uiPriority w:val="99"/>
    <w:semiHidden/>
    <w:rsid w:val="00AB6715"/>
    <w:rPr>
      <w:rFonts w:ascii="Times New Roman" w:hAnsi="Times New Roman"/>
      <w:sz w:val="20"/>
      <w:szCs w:val="20"/>
    </w:rPr>
  </w:style>
  <w:style w:type="character" w:styleId="SledenaHiperpovezava">
    <w:name w:val="FollowedHyperlink"/>
    <w:basedOn w:val="Privzetapisavaodstavka"/>
    <w:uiPriority w:val="99"/>
    <w:semiHidden/>
    <w:unhideWhenUsed/>
    <w:rsid w:val="00AB6715"/>
    <w:rPr>
      <w:color w:val="800080" w:themeColor="followedHyperlink"/>
      <w:u w:val="single"/>
    </w:rPr>
  </w:style>
  <w:style w:type="paragraph" w:styleId="Noga">
    <w:name w:val="footer"/>
    <w:basedOn w:val="Navaden"/>
    <w:link w:val="NogaZnak"/>
    <w:uiPriority w:val="99"/>
    <w:unhideWhenUsed/>
    <w:rsid w:val="00AB6715"/>
    <w:pPr>
      <w:tabs>
        <w:tab w:val="center" w:pos="4844"/>
        <w:tab w:val="right" w:pos="9689"/>
      </w:tabs>
      <w:spacing w:after="0"/>
    </w:pPr>
  </w:style>
  <w:style w:type="character" w:customStyle="1" w:styleId="NogaZnak">
    <w:name w:val="Noga Znak"/>
    <w:basedOn w:val="Privzetapisavaodstavka"/>
    <w:link w:val="Noga"/>
    <w:uiPriority w:val="99"/>
    <w:rsid w:val="00AB6715"/>
    <w:rPr>
      <w:rFonts w:ascii="Times New Roman" w:hAnsi="Times New Roman"/>
      <w:sz w:val="24"/>
    </w:rPr>
  </w:style>
  <w:style w:type="character" w:styleId="Sprotnaopomba-sklic">
    <w:name w:val="footnote reference"/>
    <w:basedOn w:val="Privzetapisavaodstavka"/>
    <w:uiPriority w:val="99"/>
    <w:semiHidden/>
    <w:unhideWhenUsed/>
    <w:rsid w:val="00AB6715"/>
    <w:rPr>
      <w:vertAlign w:val="superscript"/>
    </w:rPr>
  </w:style>
  <w:style w:type="paragraph" w:styleId="Sprotnaopomba-besedilo">
    <w:name w:val="footnote text"/>
    <w:basedOn w:val="Navaden"/>
    <w:link w:val="Sprotnaopomba-besediloZnak"/>
    <w:uiPriority w:val="99"/>
    <w:semiHidden/>
    <w:unhideWhenUsed/>
    <w:rsid w:val="00AB6715"/>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AB6715"/>
    <w:rPr>
      <w:rFonts w:ascii="Times New Roman" w:hAnsi="Times New Roman"/>
      <w:sz w:val="20"/>
      <w:szCs w:val="20"/>
    </w:rPr>
  </w:style>
  <w:style w:type="paragraph" w:styleId="Glava">
    <w:name w:val="header"/>
    <w:basedOn w:val="Navaden"/>
    <w:link w:val="GlavaZnak"/>
    <w:uiPriority w:val="99"/>
    <w:unhideWhenUsed/>
    <w:rsid w:val="00AB6715"/>
    <w:pPr>
      <w:tabs>
        <w:tab w:val="center" w:pos="4844"/>
        <w:tab w:val="right" w:pos="9689"/>
      </w:tabs>
    </w:pPr>
    <w:rPr>
      <w:b/>
    </w:rPr>
  </w:style>
  <w:style w:type="character" w:customStyle="1" w:styleId="GlavaZnak">
    <w:name w:val="Glava Znak"/>
    <w:basedOn w:val="Privzetapisavaodstavka"/>
    <w:link w:val="Glava"/>
    <w:uiPriority w:val="99"/>
    <w:rsid w:val="00AB6715"/>
    <w:rPr>
      <w:rFonts w:ascii="Times New Roman" w:hAnsi="Times New Roman"/>
      <w:b/>
      <w:sz w:val="24"/>
    </w:rPr>
  </w:style>
  <w:style w:type="paragraph" w:styleId="Odstavekseznama">
    <w:name w:val="List Paragraph"/>
    <w:basedOn w:val="Navaden"/>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povezava">
    <w:name w:val="Hyperlink"/>
    <w:basedOn w:val="Privzetapisavaodstavka"/>
    <w:uiPriority w:val="99"/>
    <w:unhideWhenUsed/>
    <w:rsid w:val="00AB6715"/>
    <w:rPr>
      <w:color w:val="0000FF"/>
      <w:u w:val="single"/>
    </w:rPr>
  </w:style>
  <w:style w:type="character" w:styleId="Intenzivenpoudarek">
    <w:name w:val="Intense Emphasis"/>
    <w:basedOn w:val="Privzetapisavaodstavka"/>
    <w:uiPriority w:val="21"/>
    <w:unhideWhenUsed/>
    <w:rsid w:val="00AB6715"/>
    <w:rPr>
      <w:rFonts w:ascii="Times New Roman" w:hAnsi="Times New Roman"/>
      <w:i/>
      <w:iCs/>
      <w:color w:val="auto"/>
    </w:rPr>
  </w:style>
  <w:style w:type="character" w:styleId="Intenzivensklic">
    <w:name w:val="Intense Reference"/>
    <w:basedOn w:val="Privzetapisavaodstavka"/>
    <w:uiPriority w:val="32"/>
    <w:qFormat/>
    <w:rsid w:val="00AB6715"/>
    <w:rPr>
      <w:b/>
      <w:bCs/>
      <w:smallCaps/>
      <w:color w:val="auto"/>
      <w:spacing w:val="5"/>
    </w:rPr>
  </w:style>
  <w:style w:type="character" w:styleId="tevilkavrstice">
    <w:name w:val="line number"/>
    <w:basedOn w:val="Privzetapisavaodstavka"/>
    <w:uiPriority w:val="99"/>
    <w:semiHidden/>
    <w:unhideWhenUsed/>
    <w:rsid w:val="00AB6715"/>
  </w:style>
  <w:style w:type="character" w:customStyle="1" w:styleId="Naslov3Znak">
    <w:name w:val="Naslov 3 Znak"/>
    <w:basedOn w:val="Privzetapisavaodstavka"/>
    <w:link w:val="Naslov3"/>
    <w:uiPriority w:val="2"/>
    <w:rsid w:val="00AB6715"/>
    <w:rPr>
      <w:rFonts w:ascii="Times New Roman" w:eastAsiaTheme="majorEastAsia" w:hAnsi="Times New Roman" w:cstheme="majorBidi"/>
      <w:b/>
      <w:sz w:val="24"/>
      <w:szCs w:val="24"/>
    </w:rPr>
  </w:style>
  <w:style w:type="character" w:customStyle="1" w:styleId="Naslov4Znak">
    <w:name w:val="Naslov 4 Znak"/>
    <w:basedOn w:val="Privzetapisavaodstavka"/>
    <w:link w:val="Naslov4"/>
    <w:uiPriority w:val="2"/>
    <w:rsid w:val="00AB6715"/>
    <w:rPr>
      <w:rFonts w:ascii="Times New Roman" w:eastAsiaTheme="majorEastAsia" w:hAnsi="Times New Roman" w:cstheme="majorBidi"/>
      <w:b/>
      <w:iCs/>
      <w:sz w:val="24"/>
      <w:szCs w:val="24"/>
    </w:rPr>
  </w:style>
  <w:style w:type="character" w:customStyle="1" w:styleId="Naslov5Znak">
    <w:name w:val="Naslov 5 Znak"/>
    <w:basedOn w:val="Privzetapisavaodstavka"/>
    <w:link w:val="Naslov5"/>
    <w:uiPriority w:val="2"/>
    <w:rsid w:val="00AB6715"/>
    <w:rPr>
      <w:rFonts w:ascii="Times New Roman" w:eastAsiaTheme="majorEastAsia" w:hAnsi="Times New Roman" w:cstheme="majorBidi"/>
      <w:b/>
      <w:iCs/>
      <w:sz w:val="24"/>
      <w:szCs w:val="24"/>
    </w:rPr>
  </w:style>
  <w:style w:type="paragraph" w:styleId="Navadensplet">
    <w:name w:val="Normal (Web)"/>
    <w:basedOn w:val="Navaden"/>
    <w:uiPriority w:val="99"/>
    <w:unhideWhenUsed/>
    <w:rsid w:val="00AB6715"/>
    <w:pPr>
      <w:spacing w:before="100" w:beforeAutospacing="1" w:after="100" w:afterAutospacing="1"/>
    </w:pPr>
    <w:rPr>
      <w:rFonts w:eastAsia="Times New Roman" w:cs="Times New Roman"/>
      <w:szCs w:val="24"/>
    </w:rPr>
  </w:style>
  <w:style w:type="paragraph" w:styleId="Citat">
    <w:name w:val="Quote"/>
    <w:basedOn w:val="Navaden"/>
    <w:next w:val="Navaden"/>
    <w:link w:val="CitatZnak"/>
    <w:uiPriority w:val="29"/>
    <w:qFormat/>
    <w:rsid w:val="00AB6715"/>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AB6715"/>
    <w:rPr>
      <w:rFonts w:ascii="Times New Roman" w:hAnsi="Times New Roman"/>
      <w:i/>
      <w:iCs/>
      <w:color w:val="404040" w:themeColor="text1" w:themeTint="BF"/>
      <w:sz w:val="24"/>
    </w:rPr>
  </w:style>
  <w:style w:type="character" w:styleId="Krepko">
    <w:name w:val="Strong"/>
    <w:basedOn w:val="Privzetapisavaodstavka"/>
    <w:uiPriority w:val="22"/>
    <w:qFormat/>
    <w:rsid w:val="00AB6715"/>
    <w:rPr>
      <w:rFonts w:ascii="Times New Roman" w:hAnsi="Times New Roman"/>
      <w:b/>
      <w:bCs/>
    </w:rPr>
  </w:style>
  <w:style w:type="character" w:styleId="Neenpoudarek">
    <w:name w:val="Subtle Emphasis"/>
    <w:basedOn w:val="Privzetapisavaodstavka"/>
    <w:uiPriority w:val="19"/>
    <w:qFormat/>
    <w:rsid w:val="00AB6715"/>
    <w:rPr>
      <w:rFonts w:ascii="Times New Roman" w:hAnsi="Times New Roman"/>
      <w:i/>
      <w:iCs/>
      <w:color w:val="404040" w:themeColor="text1" w:themeTint="BF"/>
    </w:rPr>
  </w:style>
  <w:style w:type="table" w:styleId="Tabelamrea">
    <w:name w:val="Table Grid"/>
    <w:basedOn w:val="Navadnatabela"/>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qFormat/>
    <w:rsid w:val="00AB6715"/>
    <w:pPr>
      <w:suppressLineNumbers/>
      <w:spacing w:before="240" w:after="360"/>
      <w:jc w:val="center"/>
    </w:pPr>
    <w:rPr>
      <w:rFonts w:cs="Times New Roman"/>
      <w:b/>
      <w:sz w:val="32"/>
      <w:szCs w:val="32"/>
    </w:rPr>
  </w:style>
  <w:style w:type="character" w:customStyle="1" w:styleId="NaslovZnak">
    <w:name w:val="Naslov Znak"/>
    <w:basedOn w:val="Privzetapisavaodstavka"/>
    <w:link w:val="Naslov"/>
    <w:rsid w:val="00AB6715"/>
    <w:rPr>
      <w:rFonts w:ascii="Times New Roman" w:hAnsi="Times New Roman" w:cs="Times New Roman"/>
      <w:b/>
      <w:sz w:val="32"/>
      <w:szCs w:val="32"/>
    </w:rPr>
  </w:style>
  <w:style w:type="paragraph" w:customStyle="1" w:styleId="SupplementaryMaterial">
    <w:name w:val="Supplementary Material"/>
    <w:basedOn w:val="Naslov"/>
    <w:next w:val="Naslov"/>
    <w:qFormat/>
    <w:rsid w:val="0001436A"/>
    <w:pPr>
      <w:spacing w:after="120"/>
    </w:pPr>
    <w:rPr>
      <w:i/>
    </w:rPr>
  </w:style>
  <w:style w:type="paragraph" w:styleId="Revizija">
    <w:name w:val="Revision"/>
    <w:hidden/>
    <w:uiPriority w:val="99"/>
    <w:semiHidden/>
    <w:rsid w:val="00803D24"/>
    <w:pPr>
      <w:spacing w:after="0" w:line="240" w:lineRule="auto"/>
    </w:pPr>
    <w:rPr>
      <w:rFonts w:ascii="Times New Roman" w:hAnsi="Times New Roman"/>
      <w:sz w:val="24"/>
    </w:rPr>
  </w:style>
  <w:style w:type="table" w:customStyle="1" w:styleId="Tabelamrea1">
    <w:name w:val="Tabela – mreža1"/>
    <w:basedOn w:val="Navadnatabela"/>
    <w:next w:val="Tabelamrea"/>
    <w:uiPriority w:val="39"/>
    <w:rsid w:val="00571BDC"/>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983894521">
      <w:bodyDiv w:val="1"/>
      <w:marLeft w:val="0"/>
      <w:marRight w:val="0"/>
      <w:marTop w:val="0"/>
      <w:marBottom w:val="0"/>
      <w:divBdr>
        <w:top w:val="none" w:sz="0" w:space="0" w:color="auto"/>
        <w:left w:val="none" w:sz="0" w:space="0" w:color="auto"/>
        <w:bottom w:val="none" w:sz="0" w:space="0" w:color="auto"/>
        <w:right w:val="none" w:sz="0" w:space="0" w:color="auto"/>
      </w:divBdr>
    </w:div>
    <w:div w:id="1508986011">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ok.ambrozic@fkkt.uni-lj.si"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tif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7D3F1EDE-B362-4D6B-8A69-03209B91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7</Pages>
  <Words>992</Words>
  <Characters>5660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Ambrožič, Rok</cp:lastModifiedBy>
  <cp:revision>2</cp:revision>
  <cp:lastPrinted>2013-10-03T12:51:00Z</cp:lastPrinted>
  <dcterms:created xsi:type="dcterms:W3CDTF">2024-05-15T17:29:00Z</dcterms:created>
  <dcterms:modified xsi:type="dcterms:W3CDTF">2024-05-15T17:29:00Z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