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1549D3" w:rsidRDefault="00654E8F" w:rsidP="0001436A">
      <w:pPr>
        <w:pStyle w:val="SupplementaryMaterial"/>
        <w:rPr>
          <w:b w:val="0"/>
        </w:rPr>
      </w:pPr>
      <w:r w:rsidRPr="001549D3">
        <w:t>Supplementary Material</w:t>
      </w:r>
    </w:p>
    <w:p w14:paraId="29026311" w14:textId="398506A6" w:rsidR="00EA3D3C" w:rsidRPr="00994A3D" w:rsidRDefault="00891CE7" w:rsidP="0001436A">
      <w:pPr>
        <w:pStyle w:val="1"/>
      </w:pPr>
      <w:r w:rsidRPr="00891CE7">
        <w:t xml:space="preserve">Exploring the impact of including </w:t>
      </w:r>
      <w:r>
        <w:rPr>
          <w:rFonts w:hint="eastAsia"/>
          <w:lang w:eastAsia="zh-CN"/>
        </w:rPr>
        <w:t>TSH</w:t>
      </w:r>
      <w:r w:rsidRPr="00891CE7">
        <w:t xml:space="preserve"> into the prediction model</w:t>
      </w:r>
    </w:p>
    <w:p w14:paraId="694A59CD" w14:textId="253B226C" w:rsidR="0018465B" w:rsidRDefault="0018465B" w:rsidP="00891CE7">
      <w:pPr>
        <w:rPr>
          <w:lang w:eastAsia="zh-CN"/>
        </w:rPr>
      </w:pPr>
      <w:r>
        <w:t xml:space="preserve">In our study, TSH </w:t>
      </w:r>
      <w:r w:rsidR="004F0CAF">
        <w:rPr>
          <w:rFonts w:hint="eastAsia"/>
          <w:lang w:eastAsia="zh-CN"/>
        </w:rPr>
        <w:t xml:space="preserve">did not show </w:t>
      </w:r>
      <w:r>
        <w:t>statistically significan</w:t>
      </w:r>
      <w:r w:rsidR="004F0CAF">
        <w:rPr>
          <w:rFonts w:hint="eastAsia"/>
          <w:lang w:eastAsia="zh-CN"/>
        </w:rPr>
        <w:t>ce</w:t>
      </w:r>
      <w:r>
        <w:t xml:space="preserve"> between the CLNM and NCLNM groups (P=0.914). Despite this, TSH is recognized as a growth factor influencing the occurrence and progression of PTC, prompting us to include it in</w:t>
      </w:r>
      <w:r>
        <w:rPr>
          <w:rFonts w:hint="eastAsia"/>
          <w:lang w:eastAsia="zh-CN"/>
        </w:rPr>
        <w:t>to</w:t>
      </w:r>
      <w:r>
        <w:t xml:space="preserve"> the model to potentially enhance its predictive </w:t>
      </w:r>
      <w:r w:rsidR="004F0CAF">
        <w:rPr>
          <w:rFonts w:hint="eastAsia"/>
          <w:lang w:eastAsia="zh-CN"/>
        </w:rPr>
        <w:t>ability</w:t>
      </w:r>
      <w:r>
        <w:t>.</w:t>
      </w:r>
    </w:p>
    <w:p w14:paraId="6BAD0BB1" w14:textId="59415482" w:rsidR="0018465B" w:rsidRDefault="0018465B" w:rsidP="00891CE7">
      <w:pPr>
        <w:rPr>
          <w:lang w:eastAsia="zh-CN"/>
        </w:rPr>
      </w:pPr>
      <w:r>
        <w:t>The model incorporating TSH (referred to as the new model) had an AUC of 0.83 (95% CI: 0.66</w:t>
      </w:r>
      <w:r>
        <w:rPr>
          <w:rFonts w:hint="eastAsia"/>
          <w:lang w:eastAsia="zh-CN"/>
        </w:rPr>
        <w:t xml:space="preserve">, </w:t>
      </w:r>
      <w:r>
        <w:t>0.87), slightly higher than the AUC of 0.82 (95% CI: 0.75</w:t>
      </w:r>
      <w:r>
        <w:rPr>
          <w:rFonts w:hint="eastAsia"/>
          <w:lang w:eastAsia="zh-CN"/>
        </w:rPr>
        <w:t xml:space="preserve">, </w:t>
      </w:r>
      <w:r>
        <w:t xml:space="preserve">0.89) for the model without TSH (referred to as the old model). However, </w:t>
      </w:r>
      <w:r>
        <w:rPr>
          <w:lang w:eastAsia="zh-CN"/>
        </w:rPr>
        <w:t>the Delong test yielded Z=-0.80181 and P=0.</w:t>
      </w:r>
      <w:r>
        <w:rPr>
          <w:rFonts w:hint="eastAsia"/>
          <w:lang w:eastAsia="zh-CN"/>
        </w:rPr>
        <w:t>42</w:t>
      </w:r>
      <w:r>
        <w:t xml:space="preserve">, indicating no statistically significant difference between the AUCs of the two models </w:t>
      </w:r>
      <w:r w:rsidRPr="0018465B">
        <w:rPr>
          <w:b/>
          <w:bCs/>
        </w:rPr>
        <w:t>(Supplementary Figure 1A)</w:t>
      </w:r>
      <w:r>
        <w:t xml:space="preserve">. Furthermore, decision curves showed an area under the decision curve of 0.23 for the old model and 0.24 for the new model, with no significant difference in net clinical benefits between them </w:t>
      </w:r>
      <w:r w:rsidRPr="0018465B">
        <w:rPr>
          <w:b/>
          <w:bCs/>
        </w:rPr>
        <w:t>(Supplementary Figure 1B)</w:t>
      </w:r>
      <w:r w:rsidRPr="0018465B">
        <w:t>.</w:t>
      </w:r>
      <w:r>
        <w:t xml:space="preserve"> Similarly, the clinical impact curves </w:t>
      </w:r>
      <w:r w:rsidR="009A0F5A">
        <w:rPr>
          <w:rFonts w:hint="eastAsia"/>
          <w:lang w:eastAsia="zh-CN"/>
        </w:rPr>
        <w:t xml:space="preserve">also </w:t>
      </w:r>
      <w:r>
        <w:t xml:space="preserve">did not demonstrate a higher clinical effectiveness rate for the new model </w:t>
      </w:r>
      <w:r w:rsidRPr="0018465B">
        <w:rPr>
          <w:b/>
          <w:bCs/>
        </w:rPr>
        <w:t>(Supplementary Figures 1C and 1D)</w:t>
      </w:r>
      <w:r>
        <w:t>.</w:t>
      </w:r>
    </w:p>
    <w:p w14:paraId="25A302CA" w14:textId="4CB72790" w:rsidR="0018465B" w:rsidRDefault="0018465B" w:rsidP="00891CE7">
      <w:pPr>
        <w:rPr>
          <w:lang w:eastAsia="zh-CN"/>
        </w:rPr>
      </w:pPr>
      <w:r>
        <w:t>To further assess the new model's reclassification performance compared to the old model, the net reclassification improvement (NRI) and integrated discrimination improvement (IDI)</w:t>
      </w:r>
      <w:r w:rsidR="00717B57">
        <w:rPr>
          <w:rFonts w:hint="eastAsia"/>
          <w:lang w:eastAsia="zh-CN"/>
        </w:rPr>
        <w:t xml:space="preserve"> were </w:t>
      </w:r>
      <w:r w:rsidR="00717B57">
        <w:t>calculated</w:t>
      </w:r>
      <w:r>
        <w:t>. The categorical NRI was -0.0311 (95% CI: -0.106</w:t>
      </w:r>
      <w:r>
        <w:rPr>
          <w:rFonts w:hint="eastAsia"/>
          <w:lang w:eastAsia="zh-CN"/>
        </w:rPr>
        <w:t xml:space="preserve">, </w:t>
      </w:r>
      <w:r>
        <w:t>0.044, P=0.41), and the IDI was 0.0135 (95% CI: -0.007</w:t>
      </w:r>
      <w:r>
        <w:rPr>
          <w:rFonts w:hint="eastAsia"/>
          <w:lang w:eastAsia="zh-CN"/>
        </w:rPr>
        <w:t>,</w:t>
      </w:r>
      <w:r>
        <w:t xml:space="preserve"> 0.034, P=0.20), indicating that the integration of </w:t>
      </w:r>
      <w:r w:rsidR="00605EAF">
        <w:rPr>
          <w:rFonts w:hint="eastAsia"/>
          <w:lang w:eastAsia="zh-CN"/>
        </w:rPr>
        <w:t>TSH</w:t>
      </w:r>
      <w:r>
        <w:t xml:space="preserve"> into the model did not significantly enhance its performance.</w:t>
      </w:r>
    </w:p>
    <w:p w14:paraId="16E21B53" w14:textId="77777777" w:rsidR="006D0E4E" w:rsidRDefault="006D0E4E">
      <w:pPr>
        <w:spacing w:before="0" w:after="200" w:line="276" w:lineRule="auto"/>
        <w:rPr>
          <w:lang w:eastAsia="zh-CN"/>
        </w:rPr>
      </w:pPr>
      <w:r>
        <w:rPr>
          <w:lang w:eastAsia="zh-CN"/>
        </w:rPr>
        <w:br w:type="page"/>
      </w:r>
    </w:p>
    <w:p w14:paraId="4916FCC9" w14:textId="37FCB51F" w:rsidR="00994A3D" w:rsidRPr="00CA2B93" w:rsidRDefault="00654E8F" w:rsidP="00CA2B93">
      <w:pPr>
        <w:pStyle w:val="1"/>
        <w:rPr>
          <w:u w:val="single"/>
        </w:rPr>
      </w:pPr>
      <w:r w:rsidRPr="00994A3D">
        <w:lastRenderedPageBreak/>
        <w:t>Supplementary Figure</w:t>
      </w:r>
      <w:r w:rsidR="00CA2B93">
        <w:rPr>
          <w:rFonts w:hint="eastAsia"/>
          <w:lang w:eastAsia="zh-CN"/>
        </w:rPr>
        <w:t xml:space="preserve"> 1</w:t>
      </w:r>
    </w:p>
    <w:p w14:paraId="11EC8DA1" w14:textId="67B57083" w:rsidR="00994A3D" w:rsidRPr="001549D3" w:rsidRDefault="006D0E4E" w:rsidP="00994A3D">
      <w:pPr>
        <w:keepNext/>
        <w:jc w:val="center"/>
        <w:rPr>
          <w:rFonts w:cs="Times New Roman"/>
          <w:szCs w:val="24"/>
        </w:rPr>
      </w:pPr>
      <w:r>
        <w:rPr>
          <w:rFonts w:cs="Times New Roman"/>
          <w:noProof/>
          <w:szCs w:val="24"/>
        </w:rPr>
        <w:drawing>
          <wp:inline distT="0" distB="0" distL="0" distR="0" wp14:anchorId="36AA4F8C" wp14:editId="53A9CCF8">
            <wp:extent cx="6208395" cy="4392295"/>
            <wp:effectExtent l="0" t="0" r="1905" b="1905"/>
            <wp:docPr id="1742930080"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30080" name="图片 3" descr="图表, 折线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4392295"/>
                    </a:xfrm>
                    <a:prstGeom prst="rect">
                      <a:avLst/>
                    </a:prstGeom>
                  </pic:spPr>
                </pic:pic>
              </a:graphicData>
            </a:graphic>
          </wp:inline>
        </w:drawing>
      </w:r>
    </w:p>
    <w:p w14:paraId="637623E9" w14:textId="1F83B2D2" w:rsidR="00D87FE9" w:rsidRPr="006015F1" w:rsidRDefault="00994A3D" w:rsidP="006015F1">
      <w:pPr>
        <w:keepNext/>
        <w:rPr>
          <w:rFonts w:cs="Times New Roman"/>
          <w:b/>
          <w:szCs w:val="24"/>
          <w:lang w:eastAsia="zh-CN"/>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803D24">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6D0E4E" w:rsidRPr="006D0E4E">
        <w:rPr>
          <w:rFonts w:cs="Times New Roman"/>
          <w:szCs w:val="24"/>
        </w:rPr>
        <w:t xml:space="preserve">The comparison of the models with and without </w:t>
      </w:r>
      <w:r w:rsidR="006D0E4E">
        <w:rPr>
          <w:rFonts w:cs="Times New Roman" w:hint="eastAsia"/>
          <w:szCs w:val="24"/>
          <w:lang w:eastAsia="zh-CN"/>
        </w:rPr>
        <w:t>TSH</w:t>
      </w:r>
      <w:r w:rsidR="006D0E4E" w:rsidRPr="006D0E4E">
        <w:rPr>
          <w:rFonts w:cs="Times New Roman"/>
          <w:szCs w:val="24"/>
        </w:rPr>
        <w:t xml:space="preserve"> via receiver operating characteristics (ROC) curve, decision curve and clinical impact curve. </w:t>
      </w:r>
      <w:r w:rsidR="006D0E4E" w:rsidRPr="0059577D">
        <w:rPr>
          <w:rFonts w:cs="Times New Roman"/>
          <w:b/>
          <w:bCs/>
          <w:szCs w:val="24"/>
        </w:rPr>
        <w:t>(A)</w:t>
      </w:r>
      <w:r w:rsidR="006D0E4E" w:rsidRPr="006D0E4E">
        <w:rPr>
          <w:rFonts w:cs="Times New Roman"/>
          <w:szCs w:val="24"/>
        </w:rPr>
        <w:t xml:space="preserve"> ROC curve was used to evaluate the performance of the models with and without </w:t>
      </w:r>
      <w:r w:rsidR="006D0E4E">
        <w:rPr>
          <w:rFonts w:cs="Times New Roman" w:hint="eastAsia"/>
          <w:szCs w:val="24"/>
          <w:lang w:eastAsia="zh-CN"/>
        </w:rPr>
        <w:t>TSH</w:t>
      </w:r>
      <w:r w:rsidR="006D0E4E" w:rsidRPr="006D0E4E">
        <w:rPr>
          <w:rFonts w:cs="Times New Roman"/>
          <w:szCs w:val="24"/>
        </w:rPr>
        <w:t xml:space="preserve">. </w:t>
      </w:r>
      <w:r w:rsidR="006D0E4E" w:rsidRPr="0059577D">
        <w:rPr>
          <w:rFonts w:cs="Times New Roman"/>
          <w:b/>
          <w:bCs/>
          <w:szCs w:val="24"/>
        </w:rPr>
        <w:t>(B)</w:t>
      </w:r>
      <w:r w:rsidR="006D0E4E" w:rsidRPr="006D0E4E">
        <w:rPr>
          <w:rFonts w:cs="Times New Roman"/>
          <w:szCs w:val="24"/>
        </w:rPr>
        <w:t xml:space="preserve"> Decision curve was used to evaluate the net benefit of the models with and without </w:t>
      </w:r>
      <w:r w:rsidR="006D0E4E">
        <w:rPr>
          <w:rFonts w:cs="Times New Roman" w:hint="eastAsia"/>
          <w:szCs w:val="24"/>
          <w:lang w:eastAsia="zh-CN"/>
        </w:rPr>
        <w:t>TSH</w:t>
      </w:r>
      <w:r w:rsidR="006D0E4E" w:rsidRPr="006D0E4E">
        <w:rPr>
          <w:rFonts w:cs="Times New Roman"/>
          <w:szCs w:val="24"/>
        </w:rPr>
        <w:t xml:space="preserve">. Clinical impact curve was used for assessing the clinical effective rates of the model without </w:t>
      </w:r>
      <w:r w:rsidR="006D0E4E" w:rsidRPr="0059577D">
        <w:rPr>
          <w:rFonts w:cs="Times New Roman"/>
          <w:b/>
          <w:bCs/>
          <w:szCs w:val="24"/>
        </w:rPr>
        <w:t xml:space="preserve">(C) </w:t>
      </w:r>
      <w:r w:rsidR="006D0E4E" w:rsidRPr="006D0E4E">
        <w:rPr>
          <w:rFonts w:cs="Times New Roman"/>
          <w:szCs w:val="24"/>
        </w:rPr>
        <w:t xml:space="preserve">and with </w:t>
      </w:r>
      <w:r w:rsidR="006D0E4E">
        <w:rPr>
          <w:rFonts w:cs="Times New Roman" w:hint="eastAsia"/>
          <w:szCs w:val="24"/>
          <w:lang w:eastAsia="zh-CN"/>
        </w:rPr>
        <w:t>TSH</w:t>
      </w:r>
      <w:r w:rsidR="006D0E4E" w:rsidRPr="006D0E4E">
        <w:rPr>
          <w:rFonts w:cs="Times New Roman"/>
          <w:szCs w:val="24"/>
        </w:rPr>
        <w:t xml:space="preserve"> </w:t>
      </w:r>
      <w:r w:rsidR="006D0E4E" w:rsidRPr="0059577D">
        <w:rPr>
          <w:rFonts w:cs="Times New Roman"/>
          <w:b/>
          <w:bCs/>
          <w:szCs w:val="24"/>
        </w:rPr>
        <w:t>(D)</w:t>
      </w:r>
      <w:r w:rsidR="006D0E4E" w:rsidRPr="006D0E4E">
        <w:rPr>
          <w:rFonts w:cs="Times New Roman"/>
          <w:szCs w:val="24"/>
        </w:rPr>
        <w:t>.</w:t>
      </w:r>
    </w:p>
    <w:sectPr w:rsidR="00D87FE9" w:rsidRPr="006015F1"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58AD7F" w14:textId="77777777" w:rsidR="00FB452A" w:rsidRDefault="00FB452A" w:rsidP="00117666">
      <w:pPr>
        <w:spacing w:after="0"/>
      </w:pPr>
      <w:r>
        <w:separator/>
      </w:r>
    </w:p>
  </w:endnote>
  <w:endnote w:type="continuationSeparator" w:id="0">
    <w:p w14:paraId="2C0C1AF1" w14:textId="77777777" w:rsidR="00FB452A" w:rsidRDefault="00FB452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425102"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4D054D26"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425102"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085E15EB"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8F123F" w14:textId="77777777" w:rsidR="00FB452A" w:rsidRDefault="00FB452A" w:rsidP="00117666">
      <w:pPr>
        <w:spacing w:after="0"/>
      </w:pPr>
      <w:r>
        <w:separator/>
      </w:r>
    </w:p>
  </w:footnote>
  <w:footnote w:type="continuationSeparator" w:id="0">
    <w:p w14:paraId="6FE2F783" w14:textId="77777777" w:rsidR="00FB452A" w:rsidRDefault="00FB452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425102"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425102"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8"/>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7666"/>
    <w:rsid w:val="001549D3"/>
    <w:rsid w:val="00160065"/>
    <w:rsid w:val="00177D84"/>
    <w:rsid w:val="0018465B"/>
    <w:rsid w:val="00267D18"/>
    <w:rsid w:val="002868E2"/>
    <w:rsid w:val="002869C3"/>
    <w:rsid w:val="002936E4"/>
    <w:rsid w:val="00295266"/>
    <w:rsid w:val="002B4A57"/>
    <w:rsid w:val="002C74CA"/>
    <w:rsid w:val="0033621E"/>
    <w:rsid w:val="00336AC4"/>
    <w:rsid w:val="0035266D"/>
    <w:rsid w:val="003544FB"/>
    <w:rsid w:val="003D2F2D"/>
    <w:rsid w:val="003D5643"/>
    <w:rsid w:val="00401590"/>
    <w:rsid w:val="00425102"/>
    <w:rsid w:val="00447801"/>
    <w:rsid w:val="00452E9C"/>
    <w:rsid w:val="00467EFC"/>
    <w:rsid w:val="004735C8"/>
    <w:rsid w:val="004961FF"/>
    <w:rsid w:val="004F0CAF"/>
    <w:rsid w:val="00517A89"/>
    <w:rsid w:val="005250F2"/>
    <w:rsid w:val="005721CC"/>
    <w:rsid w:val="00593EEA"/>
    <w:rsid w:val="0059577D"/>
    <w:rsid w:val="005A5EEE"/>
    <w:rsid w:val="006015F1"/>
    <w:rsid w:val="00605EAF"/>
    <w:rsid w:val="006375C7"/>
    <w:rsid w:val="00654E8F"/>
    <w:rsid w:val="00660D05"/>
    <w:rsid w:val="006820B1"/>
    <w:rsid w:val="006B7D14"/>
    <w:rsid w:val="006D0E4E"/>
    <w:rsid w:val="00701727"/>
    <w:rsid w:val="0070566C"/>
    <w:rsid w:val="00714C50"/>
    <w:rsid w:val="00717B57"/>
    <w:rsid w:val="00725A7D"/>
    <w:rsid w:val="007501BE"/>
    <w:rsid w:val="00790BB3"/>
    <w:rsid w:val="007A0EDA"/>
    <w:rsid w:val="007C206C"/>
    <w:rsid w:val="00803D24"/>
    <w:rsid w:val="00817DD6"/>
    <w:rsid w:val="00885156"/>
    <w:rsid w:val="00891CE7"/>
    <w:rsid w:val="008C3305"/>
    <w:rsid w:val="009151AA"/>
    <w:rsid w:val="0093429D"/>
    <w:rsid w:val="00943573"/>
    <w:rsid w:val="00970F7D"/>
    <w:rsid w:val="00974645"/>
    <w:rsid w:val="00994A3D"/>
    <w:rsid w:val="0099506E"/>
    <w:rsid w:val="009A0F5A"/>
    <w:rsid w:val="009B5E59"/>
    <w:rsid w:val="009C2B12"/>
    <w:rsid w:val="009C70F3"/>
    <w:rsid w:val="009D2003"/>
    <w:rsid w:val="00A174D9"/>
    <w:rsid w:val="00A569CD"/>
    <w:rsid w:val="00AB6715"/>
    <w:rsid w:val="00B1671E"/>
    <w:rsid w:val="00B25EB8"/>
    <w:rsid w:val="00B354E1"/>
    <w:rsid w:val="00B37F4D"/>
    <w:rsid w:val="00BC1357"/>
    <w:rsid w:val="00BF5763"/>
    <w:rsid w:val="00C20B52"/>
    <w:rsid w:val="00C52A7B"/>
    <w:rsid w:val="00C56BAF"/>
    <w:rsid w:val="00C679AA"/>
    <w:rsid w:val="00C75972"/>
    <w:rsid w:val="00CA2B93"/>
    <w:rsid w:val="00CC0A3A"/>
    <w:rsid w:val="00CD066B"/>
    <w:rsid w:val="00CE4FEE"/>
    <w:rsid w:val="00D87FE9"/>
    <w:rsid w:val="00DB59C3"/>
    <w:rsid w:val="00DC259A"/>
    <w:rsid w:val="00DE23E8"/>
    <w:rsid w:val="00E52377"/>
    <w:rsid w:val="00E64E17"/>
    <w:rsid w:val="00E866C9"/>
    <w:rsid w:val="00EA3D3C"/>
    <w:rsid w:val="00F46900"/>
    <w:rsid w:val="00F61D89"/>
    <w:rsid w:val="00FB45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ti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70</TotalTime>
  <Pages>2</Pages>
  <Words>309</Words>
  <Characters>1765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yanwei chen</cp:lastModifiedBy>
  <cp:revision>13</cp:revision>
  <cp:lastPrinted>2013-10-03T12:51:00Z</cp:lastPrinted>
  <dcterms:created xsi:type="dcterms:W3CDTF">2024-06-25T06:35:00Z</dcterms:created>
  <dcterms:modified xsi:type="dcterms:W3CDTF">2024-08-12T18:43:00Z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