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0C06C" w14:textId="21EE7577" w:rsidR="00AC305D" w:rsidRDefault="00000000">
      <w:pPr>
        <w:rPr>
          <w:rFonts w:ascii="Times New Roman" w:eastAsia="Times New Roman" w:hAnsi="Times New Roman" w:cs="Times New Roman"/>
          <w:b/>
          <w:bCs/>
        </w:rPr>
      </w:pPr>
      <w:r>
        <w:rPr>
          <w:rFonts w:ascii="Times New Roman" w:hAnsi="Times New Roman"/>
          <w:b/>
          <w:bCs/>
        </w:rPr>
        <w:t xml:space="preserve">Editorial: </w:t>
      </w:r>
      <w:bookmarkStart w:id="0" w:name="_Hlk163930778"/>
      <w:r>
        <w:rPr>
          <w:rFonts w:ascii="Times New Roman" w:hAnsi="Times New Roman"/>
          <w:b/>
          <w:bCs/>
        </w:rPr>
        <w:t xml:space="preserve">Antimicrobial Peptides: </w:t>
      </w:r>
      <w:proofErr w:type="spellStart"/>
      <w:r>
        <w:rPr>
          <w:rFonts w:ascii="Times New Roman" w:hAnsi="Times New Roman"/>
          <w:b/>
          <w:bCs/>
        </w:rPr>
        <w:t>Druggability</w:t>
      </w:r>
      <w:proofErr w:type="spellEnd"/>
      <w:r>
        <w:rPr>
          <w:rFonts w:ascii="Times New Roman" w:hAnsi="Times New Roman"/>
          <w:b/>
          <w:bCs/>
        </w:rPr>
        <w:t>, Bio</w:t>
      </w:r>
      <w:r w:rsidR="00552596">
        <w:rPr>
          <w:rFonts w:ascii="Times New Roman" w:hAnsi="Times New Roman" w:hint="eastAsia"/>
          <w:b/>
          <w:bCs/>
        </w:rPr>
        <w:t>-</w:t>
      </w:r>
      <w:r>
        <w:rPr>
          <w:rFonts w:ascii="Times New Roman" w:hAnsi="Times New Roman"/>
          <w:b/>
          <w:bCs/>
        </w:rPr>
        <w:t>safety, Stability, and Resistance</w:t>
      </w:r>
      <w:bookmarkEnd w:id="0"/>
    </w:p>
    <w:p w14:paraId="7452A33B" w14:textId="77777777" w:rsidR="00AC305D" w:rsidRDefault="00AC305D">
      <w:pPr>
        <w:spacing w:line="360" w:lineRule="auto"/>
        <w:rPr>
          <w:rFonts w:ascii="Times New Roman" w:eastAsia="Times New Roman" w:hAnsi="Times New Roman" w:cs="Times New Roman"/>
          <w:b/>
          <w:bCs/>
        </w:rPr>
      </w:pPr>
    </w:p>
    <w:p w14:paraId="214D10E3" w14:textId="77777777" w:rsidR="00AC305D" w:rsidRDefault="00000000">
      <w:pPr>
        <w:spacing w:line="360" w:lineRule="auto"/>
        <w:rPr>
          <w:rFonts w:ascii="Times New Roman" w:eastAsia="Times New Roman" w:hAnsi="Times New Roman" w:cs="Times New Roman"/>
          <w:color w:val="6B6B6B"/>
          <w:kern w:val="0"/>
          <w:u w:color="6B6B6B"/>
          <w:vertAlign w:val="superscript"/>
          <w:lang w:val="pt-PT"/>
        </w:rPr>
      </w:pPr>
      <w:r>
        <w:rPr>
          <w:rFonts w:ascii="Times New Roman" w:hAnsi="Times New Roman"/>
          <w:lang w:val="pt-PT"/>
        </w:rPr>
        <w:t xml:space="preserve">Xuanxuan Ma </w:t>
      </w:r>
      <w:r>
        <w:rPr>
          <w:rFonts w:ascii="Times New Roman" w:hAnsi="Times New Roman"/>
          <w:color w:val="6B6B6B"/>
          <w:kern w:val="0"/>
          <w:u w:color="6B6B6B"/>
          <w:vertAlign w:val="superscript"/>
          <w:lang w:val="pt-PT"/>
        </w:rPr>
        <w:t>1, 2, 3</w:t>
      </w:r>
      <w:r>
        <w:rPr>
          <w:rFonts w:ascii="Times New Roman" w:hAnsi="Times New Roman"/>
          <w:lang w:val="pt-PT"/>
        </w:rPr>
        <w:t xml:space="preserve">, Rustam Aminov </w:t>
      </w:r>
      <w:r>
        <w:rPr>
          <w:rFonts w:ascii="Times New Roman" w:hAnsi="Times New Roman"/>
          <w:color w:val="6B6B6B"/>
          <w:kern w:val="0"/>
          <w:u w:color="6B6B6B"/>
          <w:vertAlign w:val="superscript"/>
          <w:lang w:val="pt-PT"/>
        </w:rPr>
        <w:t>4*</w:t>
      </w:r>
      <w:r>
        <w:rPr>
          <w:rFonts w:ascii="Times New Roman" w:hAnsi="Times New Roman"/>
          <w:lang w:val="pt-PT"/>
        </w:rPr>
        <w:t xml:space="preserve">, Octavio Luiz Franco </w:t>
      </w:r>
      <w:r>
        <w:rPr>
          <w:rFonts w:ascii="Times New Roman" w:hAnsi="Times New Roman"/>
          <w:color w:val="6B6B6B"/>
          <w:kern w:val="0"/>
          <w:u w:color="6B6B6B"/>
          <w:vertAlign w:val="superscript"/>
          <w:lang w:val="pt-PT"/>
        </w:rPr>
        <w:t>5, 6*</w:t>
      </w:r>
      <w:r>
        <w:rPr>
          <w:rFonts w:ascii="Times New Roman" w:hAnsi="Times New Roman"/>
          <w:lang w:val="pt-PT"/>
        </w:rPr>
        <w:t xml:space="preserve">, Cesar de la Fuente-Nunez </w:t>
      </w:r>
      <w:r>
        <w:rPr>
          <w:rFonts w:ascii="Times New Roman" w:hAnsi="Times New Roman"/>
          <w:color w:val="6B6B6B"/>
          <w:kern w:val="0"/>
          <w:u w:color="6B6B6B"/>
          <w:vertAlign w:val="superscript"/>
          <w:lang w:val="pt-PT"/>
        </w:rPr>
        <w:t>7, 8, 9, 10*</w:t>
      </w:r>
      <w:r>
        <w:rPr>
          <w:rFonts w:ascii="Times New Roman" w:hAnsi="Times New Roman"/>
          <w:lang w:val="pt-PT"/>
        </w:rPr>
        <w:t xml:space="preserve">, Guangshun Wang </w:t>
      </w:r>
      <w:r>
        <w:rPr>
          <w:rFonts w:ascii="Times New Roman" w:hAnsi="Times New Roman"/>
          <w:color w:val="6B6B6B"/>
          <w:kern w:val="0"/>
          <w:u w:color="6B6B6B"/>
          <w:vertAlign w:val="superscript"/>
          <w:lang w:val="pt-PT"/>
        </w:rPr>
        <w:t>11*</w:t>
      </w:r>
      <w:r>
        <w:rPr>
          <w:rFonts w:ascii="Times New Roman" w:hAnsi="Times New Roman"/>
          <w:lang w:val="pt-PT"/>
        </w:rPr>
        <w:t xml:space="preserve"> and Jianhua Wang </w:t>
      </w:r>
      <w:r>
        <w:rPr>
          <w:rFonts w:ascii="Times New Roman" w:hAnsi="Times New Roman"/>
          <w:color w:val="6B6B6B"/>
          <w:kern w:val="0"/>
          <w:u w:color="6B6B6B"/>
          <w:vertAlign w:val="superscript"/>
          <w:lang w:val="pt-PT"/>
        </w:rPr>
        <w:t>1, 2, 3*</w:t>
      </w:r>
    </w:p>
    <w:p w14:paraId="40E331EC" w14:textId="77777777" w:rsidR="00A252C8" w:rsidRDefault="00A252C8">
      <w:pPr>
        <w:spacing w:line="360" w:lineRule="auto"/>
        <w:rPr>
          <w:rFonts w:ascii="Times New Roman" w:hAnsi="Times New Roman"/>
          <w:vertAlign w:val="superscript"/>
        </w:rPr>
      </w:pPr>
    </w:p>
    <w:p w14:paraId="248D9115" w14:textId="308030F7" w:rsidR="00AC305D" w:rsidRDefault="00000000">
      <w:pPr>
        <w:spacing w:line="360" w:lineRule="auto"/>
        <w:rPr>
          <w:rFonts w:ascii="Times New Roman" w:eastAsia="Times New Roman" w:hAnsi="Times New Roman" w:cs="Times New Roman"/>
        </w:rPr>
      </w:pPr>
      <w:r>
        <w:rPr>
          <w:rFonts w:ascii="Times New Roman" w:hAnsi="Times New Roman"/>
          <w:vertAlign w:val="superscript"/>
        </w:rPr>
        <w:t>1</w:t>
      </w:r>
      <w:r>
        <w:rPr>
          <w:rFonts w:ascii="Times New Roman" w:hAnsi="Times New Roman"/>
        </w:rPr>
        <w:t>Innovative Team of Antimicrobial Peptides and Alternatives to Antibiotics, Feed Research Institute, Chinese Academy of Agricultural Sciences, Beijing, China</w:t>
      </w:r>
    </w:p>
    <w:p w14:paraId="6603AA71" w14:textId="77777777" w:rsidR="00AC305D" w:rsidRDefault="00000000">
      <w:pPr>
        <w:spacing w:line="360" w:lineRule="auto"/>
        <w:rPr>
          <w:rFonts w:ascii="Times New Roman" w:eastAsia="Times New Roman" w:hAnsi="Times New Roman" w:cs="Times New Roman"/>
        </w:rPr>
      </w:pPr>
      <w:r>
        <w:rPr>
          <w:rFonts w:ascii="Times New Roman" w:hAnsi="Times New Roman"/>
          <w:vertAlign w:val="superscript"/>
        </w:rPr>
        <w:t>2</w:t>
      </w:r>
      <w:r>
        <w:rPr>
          <w:rFonts w:ascii="Times New Roman" w:hAnsi="Times New Roman"/>
        </w:rPr>
        <w:t>Gene Engineering Laboratory, Feed Research Institute, Chinese Academy of Agricultural Sciences, Beijing, China</w:t>
      </w:r>
    </w:p>
    <w:p w14:paraId="35AEACC2" w14:textId="77777777" w:rsidR="00AC305D" w:rsidRDefault="00000000">
      <w:pPr>
        <w:spacing w:line="360" w:lineRule="auto"/>
        <w:rPr>
          <w:rFonts w:ascii="Times New Roman" w:eastAsia="Times New Roman" w:hAnsi="Times New Roman" w:cs="Times New Roman"/>
        </w:rPr>
      </w:pPr>
      <w:r>
        <w:rPr>
          <w:rFonts w:ascii="Times New Roman" w:hAnsi="Times New Roman"/>
          <w:vertAlign w:val="superscript"/>
        </w:rPr>
        <w:t>3</w:t>
      </w:r>
      <w:r>
        <w:rPr>
          <w:rFonts w:ascii="Times New Roman" w:hAnsi="Times New Roman"/>
        </w:rPr>
        <w:t>Key Laboratory of Feed Biotechnology, Ministry of Agriculture and Rural Affairs, Beijing, China</w:t>
      </w:r>
    </w:p>
    <w:p w14:paraId="0926640C" w14:textId="77777777" w:rsidR="00AC305D" w:rsidRDefault="00000000">
      <w:pPr>
        <w:spacing w:line="360" w:lineRule="auto"/>
        <w:rPr>
          <w:rFonts w:ascii="Times New Roman" w:eastAsia="Times New Roman" w:hAnsi="Times New Roman" w:cs="Times New Roman"/>
        </w:rPr>
      </w:pPr>
      <w:r>
        <w:rPr>
          <w:rFonts w:ascii="Times New Roman" w:hAnsi="Times New Roman"/>
          <w:vertAlign w:val="superscript"/>
        </w:rPr>
        <w:t>4</w:t>
      </w:r>
      <w:r>
        <w:rPr>
          <w:rFonts w:ascii="Times New Roman" w:hAnsi="Times New Roman"/>
        </w:rPr>
        <w:t>The School of Medicine, Medical Sciences and Nutrition, University of Aberdeen, Aberdeen, United Kingdom</w:t>
      </w:r>
    </w:p>
    <w:p w14:paraId="20D8E479" w14:textId="77777777" w:rsidR="00AC305D" w:rsidRDefault="00000000">
      <w:pPr>
        <w:spacing w:line="360" w:lineRule="auto"/>
        <w:rPr>
          <w:rFonts w:ascii="Times New Roman" w:eastAsia="Times New Roman" w:hAnsi="Times New Roman" w:cs="Times New Roman"/>
          <w:lang w:val="pt-PT"/>
        </w:rPr>
      </w:pPr>
      <w:r>
        <w:rPr>
          <w:rFonts w:ascii="Times New Roman" w:hAnsi="Times New Roman"/>
          <w:vertAlign w:val="superscript"/>
          <w:lang w:val="pt-PT"/>
        </w:rPr>
        <w:t>5</w:t>
      </w:r>
      <w:r>
        <w:rPr>
          <w:rFonts w:ascii="Times New Roman" w:hAnsi="Times New Roman"/>
          <w:lang w:val="pt-PT"/>
        </w:rPr>
        <w:t>S-Inova Biotech, Universidade Católica Dom Bosco, Campo Grande, MS, Brazil</w:t>
      </w:r>
    </w:p>
    <w:p w14:paraId="3BC1ADB4" w14:textId="77777777" w:rsidR="00AC305D" w:rsidRDefault="00000000">
      <w:pPr>
        <w:spacing w:line="360" w:lineRule="auto"/>
        <w:rPr>
          <w:rFonts w:ascii="Times New Roman" w:eastAsia="Times New Roman" w:hAnsi="Times New Roman" w:cs="Times New Roman"/>
          <w:lang w:val="pt-PT"/>
        </w:rPr>
      </w:pPr>
      <w:r>
        <w:rPr>
          <w:rFonts w:ascii="Times New Roman" w:hAnsi="Times New Roman"/>
          <w:vertAlign w:val="superscript"/>
          <w:lang w:val="pt-PT"/>
        </w:rPr>
        <w:t>6</w:t>
      </w:r>
      <w:r>
        <w:rPr>
          <w:rFonts w:ascii="Times New Roman" w:hAnsi="Times New Roman"/>
          <w:lang w:val="pt-PT"/>
        </w:rPr>
        <w:t>Centro de Análises Proteômicas e Bioquímicas Programa de Pós-Graduação em Ciências Genômicas e Biotecnologia, Universidade Católica de Brasília, Brasília, DF, Brazil</w:t>
      </w:r>
    </w:p>
    <w:p w14:paraId="1031B1A1" w14:textId="77777777" w:rsidR="00AC305D" w:rsidRDefault="00000000">
      <w:pPr>
        <w:spacing w:line="360" w:lineRule="auto"/>
        <w:rPr>
          <w:rFonts w:ascii="Times New Roman" w:eastAsia="Times New Roman" w:hAnsi="Times New Roman" w:cs="Times New Roman"/>
        </w:rPr>
      </w:pPr>
      <w:r>
        <w:rPr>
          <w:rFonts w:ascii="Times New Roman" w:hAnsi="Times New Roman"/>
          <w:vertAlign w:val="superscript"/>
        </w:rPr>
        <w:t>7</w:t>
      </w:r>
      <w:r>
        <w:rPr>
          <w:rFonts w:ascii="Times New Roman" w:hAnsi="Times New Roman"/>
        </w:rPr>
        <w:t>Machine Biology Group, Departments of Psychiatry and Microbiology, Institute for Biomedical Informatics, Institute for Translational Medicine and Therapeutics, Perelman School of Medicine, University of Pennsylvania, Philadelphia, PA, United States</w:t>
      </w:r>
    </w:p>
    <w:p w14:paraId="5D781BCB" w14:textId="77777777" w:rsidR="00AC305D" w:rsidRDefault="00000000">
      <w:pPr>
        <w:spacing w:line="360" w:lineRule="auto"/>
        <w:rPr>
          <w:rFonts w:ascii="Times New Roman" w:eastAsia="Times New Roman" w:hAnsi="Times New Roman" w:cs="Times New Roman"/>
        </w:rPr>
      </w:pPr>
      <w:r>
        <w:rPr>
          <w:rFonts w:ascii="Times New Roman" w:hAnsi="Times New Roman"/>
          <w:vertAlign w:val="superscript"/>
        </w:rPr>
        <w:t>8</w:t>
      </w:r>
      <w:r>
        <w:rPr>
          <w:rFonts w:ascii="Times New Roman" w:hAnsi="Times New Roman"/>
        </w:rPr>
        <w:t>Departments of Bioengineering and Chemical and Biomolecular Engineering, School of Engineering and Applied Science, University of Pennsylvania, Philadelphia, PA, United States</w:t>
      </w:r>
    </w:p>
    <w:p w14:paraId="63CF1E53" w14:textId="77777777" w:rsidR="00AC305D" w:rsidRDefault="00000000">
      <w:pPr>
        <w:spacing w:line="360" w:lineRule="auto"/>
        <w:rPr>
          <w:rFonts w:ascii="Times New Roman" w:eastAsia="Times New Roman" w:hAnsi="Times New Roman" w:cs="Times New Roman"/>
        </w:rPr>
      </w:pPr>
      <w:r>
        <w:rPr>
          <w:rFonts w:ascii="Times New Roman" w:hAnsi="Times New Roman"/>
          <w:vertAlign w:val="superscript"/>
        </w:rPr>
        <w:t>9</w:t>
      </w:r>
      <w:r>
        <w:rPr>
          <w:rFonts w:ascii="Times New Roman" w:hAnsi="Times New Roman"/>
        </w:rPr>
        <w:t>Department of Chemistry, School of Arts and Sciences, University of Pennsylvania, Philadelphia, PA, United Sates of America.</w:t>
      </w:r>
    </w:p>
    <w:p w14:paraId="1BCB3F5B" w14:textId="77777777" w:rsidR="00AC305D" w:rsidRDefault="00000000">
      <w:pPr>
        <w:spacing w:line="360" w:lineRule="auto"/>
        <w:rPr>
          <w:rFonts w:ascii="Times New Roman" w:eastAsia="Times New Roman" w:hAnsi="Times New Roman" w:cs="Times New Roman"/>
        </w:rPr>
      </w:pPr>
      <w:r>
        <w:rPr>
          <w:rFonts w:ascii="Times New Roman" w:hAnsi="Times New Roman"/>
          <w:vertAlign w:val="superscript"/>
        </w:rPr>
        <w:t>10</w:t>
      </w:r>
      <w:r>
        <w:rPr>
          <w:rFonts w:ascii="Times New Roman" w:hAnsi="Times New Roman"/>
        </w:rPr>
        <w:t>Penn Institute for Computational Science, University of Pennsylvania, Philadelphia, PA, United States</w:t>
      </w:r>
    </w:p>
    <w:p w14:paraId="5F4A3A6F" w14:textId="77777777" w:rsidR="00AC305D" w:rsidRDefault="00000000">
      <w:pPr>
        <w:spacing w:line="360" w:lineRule="auto"/>
        <w:rPr>
          <w:rFonts w:ascii="Times New Roman" w:eastAsia="Times New Roman" w:hAnsi="Times New Roman" w:cs="Times New Roman"/>
        </w:rPr>
      </w:pPr>
      <w:r>
        <w:rPr>
          <w:rFonts w:ascii="Times New Roman" w:hAnsi="Times New Roman"/>
          <w:vertAlign w:val="superscript"/>
        </w:rPr>
        <w:t>11</w:t>
      </w:r>
      <w:r>
        <w:rPr>
          <w:rFonts w:ascii="Times New Roman" w:hAnsi="Times New Roman"/>
        </w:rPr>
        <w:t>Department of Pathology, Microbiology,</w:t>
      </w:r>
      <w:r>
        <w:rPr>
          <w:rStyle w:val="NoneB"/>
        </w:rPr>
        <w:t xml:space="preserve"> </w:t>
      </w:r>
      <w:r>
        <w:rPr>
          <w:rFonts w:ascii="Times New Roman" w:hAnsi="Times New Roman"/>
        </w:rPr>
        <w:t>and Immunology, University of Nebraska Medical Center, Omaha, NE, United States</w:t>
      </w:r>
    </w:p>
    <w:p w14:paraId="3DB08CE4" w14:textId="77777777" w:rsidR="00AC305D" w:rsidRDefault="00000000">
      <w:pPr>
        <w:spacing w:line="360" w:lineRule="auto"/>
        <w:rPr>
          <w:rFonts w:ascii="Times New Roman" w:eastAsia="Times New Roman" w:hAnsi="Times New Roman" w:cs="Times New Roman"/>
          <w:b/>
          <w:bCs/>
          <w:lang w:val="pt-PT"/>
        </w:rPr>
      </w:pPr>
      <w:r>
        <w:rPr>
          <w:rFonts w:ascii="Times New Roman" w:hAnsi="Times New Roman"/>
          <w:lang w:val="pt-PT"/>
        </w:rPr>
        <w:t>*Correspondence: Jianhua Wang: wangjianhua@caas.cn; wangjianhua.peking@qq.com; Rustam Aminov: rustam.aminov@gmail.com; Octavio Luiz Franco: ocfranco@gmail.com; Cesar de la Fuente-Nunez: cfuente@upenn.edu; Guangshun Wang: gwang@unmc.edu</w:t>
      </w:r>
    </w:p>
    <w:p w14:paraId="56204EE9" w14:textId="77777777" w:rsidR="00A252C8" w:rsidRDefault="00A252C8">
      <w:pPr>
        <w:spacing w:line="360" w:lineRule="auto"/>
        <w:rPr>
          <w:rFonts w:ascii="Times New Roman" w:hAnsi="Times New Roman"/>
          <w:b/>
          <w:bCs/>
        </w:rPr>
      </w:pPr>
    </w:p>
    <w:p w14:paraId="3919D521" w14:textId="3E838208" w:rsidR="00AC305D" w:rsidRDefault="00000000">
      <w:pPr>
        <w:spacing w:line="360" w:lineRule="auto"/>
        <w:rPr>
          <w:rFonts w:ascii="Times New Roman" w:eastAsia="Times New Roman" w:hAnsi="Times New Roman" w:cs="Times New Roman"/>
        </w:rPr>
      </w:pPr>
      <w:r>
        <w:rPr>
          <w:rFonts w:ascii="Times New Roman" w:hAnsi="Times New Roman"/>
          <w:b/>
          <w:bCs/>
        </w:rPr>
        <w:t>Keywords</w:t>
      </w:r>
      <w:r>
        <w:rPr>
          <w:rFonts w:ascii="Times New Roman" w:hAnsi="Times New Roman"/>
        </w:rPr>
        <w:t xml:space="preserve">: </w:t>
      </w:r>
      <w:r w:rsidR="002920FA">
        <w:rPr>
          <w:rFonts w:ascii="Times New Roman" w:hAnsi="Times New Roman" w:hint="eastAsia"/>
        </w:rPr>
        <w:t>a</w:t>
      </w:r>
      <w:r>
        <w:rPr>
          <w:rFonts w:ascii="Times New Roman" w:hAnsi="Times New Roman"/>
        </w:rPr>
        <w:t xml:space="preserve">ntimicrobial </w:t>
      </w:r>
      <w:r w:rsidR="00FD35C2">
        <w:rPr>
          <w:rFonts w:ascii="Times New Roman" w:hAnsi="Times New Roman" w:hint="eastAsia"/>
        </w:rPr>
        <w:t>p</w:t>
      </w:r>
      <w:r>
        <w:rPr>
          <w:rFonts w:ascii="Times New Roman" w:hAnsi="Times New Roman"/>
        </w:rPr>
        <w:t xml:space="preserve">eptides (AMPs), </w:t>
      </w:r>
      <w:proofErr w:type="spellStart"/>
      <w:r w:rsidR="002920FA">
        <w:rPr>
          <w:rFonts w:ascii="Times New Roman" w:hAnsi="Times New Roman" w:hint="eastAsia"/>
        </w:rPr>
        <w:t>d</w:t>
      </w:r>
      <w:r>
        <w:rPr>
          <w:rFonts w:ascii="Times New Roman" w:hAnsi="Times New Roman"/>
        </w:rPr>
        <w:t>ruggability</w:t>
      </w:r>
      <w:proofErr w:type="spellEnd"/>
      <w:r>
        <w:rPr>
          <w:rFonts w:ascii="Times New Roman" w:hAnsi="Times New Roman"/>
        </w:rPr>
        <w:t xml:space="preserve">, </w:t>
      </w:r>
      <w:r w:rsidR="002920FA">
        <w:rPr>
          <w:rFonts w:ascii="Times New Roman" w:hAnsi="Times New Roman" w:hint="eastAsia"/>
        </w:rPr>
        <w:t>b</w:t>
      </w:r>
      <w:r>
        <w:rPr>
          <w:rFonts w:ascii="Times New Roman" w:hAnsi="Times New Roman"/>
        </w:rPr>
        <w:t>io</w:t>
      </w:r>
      <w:r w:rsidR="002920FA">
        <w:rPr>
          <w:rFonts w:ascii="Times New Roman" w:hAnsi="Times New Roman" w:hint="eastAsia"/>
        </w:rPr>
        <w:t>-</w:t>
      </w:r>
      <w:r>
        <w:rPr>
          <w:rFonts w:ascii="Times New Roman" w:hAnsi="Times New Roman"/>
        </w:rPr>
        <w:t xml:space="preserve">safety, </w:t>
      </w:r>
      <w:r w:rsidR="002920FA">
        <w:rPr>
          <w:rFonts w:ascii="Times New Roman" w:hAnsi="Times New Roman" w:hint="eastAsia"/>
        </w:rPr>
        <w:t>s</w:t>
      </w:r>
      <w:r>
        <w:rPr>
          <w:rFonts w:ascii="Times New Roman" w:hAnsi="Times New Roman"/>
        </w:rPr>
        <w:t xml:space="preserve">tability, </w:t>
      </w:r>
      <w:r w:rsidR="002920FA">
        <w:rPr>
          <w:rFonts w:ascii="Times New Roman" w:hAnsi="Times New Roman" w:hint="eastAsia"/>
        </w:rPr>
        <w:t>r</w:t>
      </w:r>
      <w:r>
        <w:rPr>
          <w:rFonts w:ascii="Times New Roman" w:hAnsi="Times New Roman"/>
        </w:rPr>
        <w:t>esistance</w:t>
      </w:r>
    </w:p>
    <w:p w14:paraId="2F1225B6" w14:textId="77777777" w:rsidR="00AC305D" w:rsidRPr="00F023EC" w:rsidRDefault="00AC305D" w:rsidP="00F023EC">
      <w:pPr>
        <w:rPr>
          <w:rFonts w:ascii="Times New Roman" w:eastAsiaTheme="minorEastAsia" w:hAnsi="Times New Roman" w:cs="Times New Roman"/>
          <w:sz w:val="24"/>
          <w:szCs w:val="24"/>
        </w:rPr>
      </w:pPr>
    </w:p>
    <w:p w14:paraId="2BE3B2EE" w14:textId="77777777" w:rsidR="00AC305D" w:rsidRPr="00F023EC" w:rsidRDefault="00AC305D">
      <w:pPr>
        <w:widowControl/>
        <w:spacing w:line="360" w:lineRule="auto"/>
        <w:rPr>
          <w:rStyle w:val="None"/>
          <w:rFonts w:ascii="Times New Roman" w:eastAsia="Times New Roman" w:hAnsi="Times New Roman" w:cs="Times New Roman"/>
          <w:b/>
          <w:bCs/>
        </w:rPr>
      </w:pPr>
    </w:p>
    <w:p w14:paraId="1963286C" w14:textId="77777777" w:rsidR="00AC305D" w:rsidRPr="00FD35C2" w:rsidRDefault="00AC305D">
      <w:pPr>
        <w:pStyle w:val="EndNoteBibliography"/>
        <w:spacing w:line="360" w:lineRule="auto"/>
        <w:ind w:left="720" w:hanging="720"/>
        <w:sectPr w:rsidR="00AC305D" w:rsidRPr="00FD35C2" w:rsidSect="004B5AAB">
          <w:footerReference w:type="default" r:id="rId7"/>
          <w:pgSz w:w="11900" w:h="16840"/>
          <w:pgMar w:top="1440" w:right="1800" w:bottom="1440" w:left="1800" w:header="851" w:footer="992" w:gutter="0"/>
          <w:cols w:space="720"/>
        </w:sectPr>
      </w:pPr>
    </w:p>
    <w:p w14:paraId="0C12859D" w14:textId="7AD5342A" w:rsidR="00AC305D" w:rsidRDefault="00000000">
      <w:pPr>
        <w:pStyle w:val="EndNoteBibliography"/>
        <w:spacing w:line="360" w:lineRule="auto"/>
        <w:rPr>
          <w:rStyle w:val="None"/>
          <w:rFonts w:ascii="Times New Roman" w:eastAsia="Times New Roman" w:hAnsi="Times New Roman" w:cs="Times New Roman"/>
          <w:sz w:val="21"/>
          <w:szCs w:val="21"/>
        </w:rPr>
      </w:pPr>
      <w:r>
        <w:rPr>
          <w:rStyle w:val="None"/>
          <w:rFonts w:ascii="Times New Roman" w:hAnsi="Times New Roman"/>
          <w:sz w:val="21"/>
          <w:szCs w:val="21"/>
          <w:lang w:val="fr-FR"/>
        </w:rPr>
        <w:lastRenderedPageBreak/>
        <w:t xml:space="preserve">Table </w:t>
      </w:r>
      <w:r w:rsidR="00F023EC">
        <w:rPr>
          <w:rStyle w:val="None"/>
          <w:rFonts w:ascii="Times New Roman" w:hAnsi="Times New Roman" w:hint="eastAsia"/>
          <w:sz w:val="21"/>
          <w:szCs w:val="21"/>
          <w:lang w:val="fr-FR"/>
        </w:rPr>
        <w:t>S</w:t>
      </w:r>
      <w:r>
        <w:rPr>
          <w:rStyle w:val="None"/>
          <w:rFonts w:ascii="Times New Roman" w:hAnsi="Times New Roman"/>
          <w:sz w:val="21"/>
          <w:szCs w:val="21"/>
          <w:lang w:val="fr-FR"/>
        </w:rPr>
        <w:t>1</w:t>
      </w:r>
      <w:r w:rsidR="002F1A77">
        <w:rPr>
          <w:rStyle w:val="None"/>
          <w:rFonts w:ascii="Times New Roman" w:hAnsi="Times New Roman" w:hint="eastAsia"/>
          <w:sz w:val="21"/>
          <w:szCs w:val="21"/>
          <w:lang w:val="fr-FR"/>
        </w:rPr>
        <w:t>.</w:t>
      </w:r>
      <w:r>
        <w:rPr>
          <w:rStyle w:val="NoneA"/>
        </w:rPr>
        <w:t xml:space="preserve"> </w:t>
      </w:r>
      <w:r>
        <w:rPr>
          <w:rStyle w:val="None"/>
          <w:rFonts w:ascii="Times New Roman" w:hAnsi="Times New Roman"/>
          <w:sz w:val="21"/>
          <w:szCs w:val="21"/>
        </w:rPr>
        <w:t>Distribution of 22 papers as citation in this issue</w:t>
      </w:r>
    </w:p>
    <w:p w14:paraId="3D9C8B5D" w14:textId="77777777" w:rsidR="00AC305D" w:rsidRDefault="00AC305D">
      <w:pPr>
        <w:pStyle w:val="EndNoteBibliography"/>
        <w:spacing w:line="360" w:lineRule="auto"/>
        <w:rPr>
          <w:rStyle w:val="Hyperlink6"/>
          <w:rFonts w:eastAsia="等线"/>
          <w:sz w:val="21"/>
          <w:szCs w:val="21"/>
        </w:rPr>
      </w:pPr>
    </w:p>
    <w:tbl>
      <w:tblPr>
        <w:tblStyle w:val="TableNormal"/>
        <w:tblW w:w="9611"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1134"/>
        <w:gridCol w:w="8477"/>
      </w:tblGrid>
      <w:tr w:rsidR="00AC305D" w14:paraId="719AACC0" w14:textId="77777777" w:rsidTr="00F023EC">
        <w:trPr>
          <w:trHeight w:val="50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399B3285" w14:textId="77777777" w:rsidR="00AC305D" w:rsidRDefault="00000000">
            <w:pPr>
              <w:widowControl/>
              <w:jc w:val="left"/>
            </w:pPr>
            <w:r>
              <w:rPr>
                <w:rStyle w:val="None"/>
                <w:rFonts w:ascii="Times New Roman" w:hAnsi="Times New Roman"/>
                <w:kern w:val="0"/>
                <w:sz w:val="22"/>
                <w:szCs w:val="22"/>
              </w:rPr>
              <w:t>Section</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1EDF9F3" w14:textId="77777777" w:rsidR="00AC305D" w:rsidRDefault="00000000">
            <w:pPr>
              <w:widowControl/>
              <w:jc w:val="left"/>
            </w:pPr>
            <w:r>
              <w:rPr>
                <w:rStyle w:val="None"/>
                <w:rFonts w:ascii="Times New Roman" w:hAnsi="Times New Roman"/>
                <w:kern w:val="0"/>
                <w:sz w:val="22"/>
                <w:szCs w:val="22"/>
              </w:rPr>
              <w:t>The cited issue articles</w:t>
            </w:r>
          </w:p>
        </w:tc>
      </w:tr>
      <w:tr w:rsidR="00AC305D" w14:paraId="4A5F779A" w14:textId="77777777" w:rsidTr="00F023EC">
        <w:trPr>
          <w:trHeight w:val="74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55E23AE8" w14:textId="77777777" w:rsidR="00AC305D" w:rsidRDefault="00000000">
            <w:pPr>
              <w:widowControl/>
              <w:jc w:val="left"/>
            </w:pPr>
            <w:r>
              <w:rPr>
                <w:rStyle w:val="None"/>
                <w:rFonts w:ascii="Times New Roman" w:hAnsi="Times New Roman"/>
                <w:kern w:val="0"/>
                <w:sz w:val="22"/>
                <w:szCs w:val="22"/>
              </w:rPr>
              <w:t>1.1/2.2.2</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62FACB8B" w14:textId="77777777" w:rsidR="00AC305D" w:rsidRDefault="00000000">
            <w:pPr>
              <w:widowControl/>
              <w:jc w:val="left"/>
            </w:pPr>
            <w:r>
              <w:rPr>
                <w:rStyle w:val="None"/>
                <w:rFonts w:ascii="Times New Roman" w:hAnsi="Times New Roman"/>
                <w:kern w:val="0"/>
                <w:sz w:val="22"/>
                <w:szCs w:val="22"/>
                <w:lang w:val="pt-PT"/>
              </w:rPr>
              <w:t xml:space="preserve">Guevara-Lora I, et al. </w:t>
            </w:r>
            <w:r>
              <w:rPr>
                <w:rStyle w:val="None"/>
                <w:rFonts w:ascii="Times New Roman" w:hAnsi="Times New Roman"/>
                <w:kern w:val="0"/>
                <w:sz w:val="22"/>
                <w:szCs w:val="22"/>
              </w:rPr>
              <w:t xml:space="preserve">Cecropin D-derived synthetic peptides in the fight against </w:t>
            </w:r>
            <w:r>
              <w:rPr>
                <w:rStyle w:val="None"/>
                <w:rFonts w:ascii="Times New Roman" w:hAnsi="Times New Roman"/>
                <w:i/>
                <w:iCs/>
                <w:kern w:val="0"/>
                <w:sz w:val="22"/>
                <w:szCs w:val="22"/>
              </w:rPr>
              <w:t>Candida albicans</w:t>
            </w:r>
            <w:r>
              <w:rPr>
                <w:rStyle w:val="None"/>
                <w:rFonts w:ascii="Times New Roman" w:hAnsi="Times New Roman"/>
                <w:kern w:val="0"/>
                <w:sz w:val="22"/>
                <w:szCs w:val="22"/>
              </w:rPr>
              <w:t xml:space="preserve"> cell filamentation and biofilm formation.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2023; 13: 1045984. doi:10.3389/fmicb.2022.1045984</w:t>
            </w:r>
          </w:p>
        </w:tc>
      </w:tr>
      <w:tr w:rsidR="00AC305D" w14:paraId="412E7A0F" w14:textId="77777777" w:rsidTr="00F023EC">
        <w:trPr>
          <w:trHeight w:val="74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4B7C1C32" w14:textId="77777777" w:rsidR="00AC305D" w:rsidRDefault="00000000">
            <w:pPr>
              <w:widowControl/>
              <w:jc w:val="left"/>
            </w:pPr>
            <w:r>
              <w:rPr>
                <w:rStyle w:val="None"/>
                <w:rFonts w:ascii="Times New Roman" w:hAnsi="Times New Roman"/>
                <w:kern w:val="0"/>
                <w:sz w:val="22"/>
                <w:szCs w:val="22"/>
              </w:rPr>
              <w:t>1.1</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3528E6A" w14:textId="77777777" w:rsidR="00AC305D" w:rsidRDefault="00000000">
            <w:pPr>
              <w:widowControl/>
              <w:jc w:val="left"/>
            </w:pPr>
            <w:r>
              <w:rPr>
                <w:rStyle w:val="None"/>
                <w:rFonts w:ascii="Times New Roman" w:hAnsi="Times New Roman"/>
                <w:kern w:val="0"/>
                <w:sz w:val="22"/>
                <w:szCs w:val="22"/>
              </w:rPr>
              <w:t>Fu Q, et al. Prediction and bioactivity of small-molecule antimicrobial peptides from </w:t>
            </w:r>
            <w:proofErr w:type="spellStart"/>
            <w:r w:rsidRPr="00AD39BA">
              <w:rPr>
                <w:rStyle w:val="None"/>
                <w:rFonts w:ascii="Times New Roman" w:hAnsi="Times New Roman"/>
                <w:i/>
                <w:iCs/>
                <w:kern w:val="0"/>
                <w:sz w:val="22"/>
                <w:szCs w:val="22"/>
              </w:rPr>
              <w:t>Protaetia</w:t>
            </w:r>
            <w:proofErr w:type="spellEnd"/>
            <w:r w:rsidRPr="00AD39BA">
              <w:rPr>
                <w:rStyle w:val="None"/>
                <w:rFonts w:ascii="Times New Roman" w:hAnsi="Times New Roman"/>
                <w:i/>
                <w:iCs/>
                <w:kern w:val="0"/>
                <w:sz w:val="22"/>
                <w:szCs w:val="22"/>
              </w:rPr>
              <w:t xml:space="preserve"> </w:t>
            </w:r>
            <w:proofErr w:type="spellStart"/>
            <w:r w:rsidRPr="00AD39BA">
              <w:rPr>
                <w:rStyle w:val="None"/>
                <w:rFonts w:ascii="Times New Roman" w:hAnsi="Times New Roman"/>
                <w:i/>
                <w:iCs/>
                <w:kern w:val="0"/>
                <w:sz w:val="22"/>
                <w:szCs w:val="22"/>
              </w:rPr>
              <w:t>brevitarsis</w:t>
            </w:r>
            <w:proofErr w:type="spellEnd"/>
            <w:r>
              <w:rPr>
                <w:rStyle w:val="None"/>
                <w:rFonts w:ascii="Times New Roman" w:hAnsi="Times New Roman"/>
                <w:kern w:val="0"/>
                <w:sz w:val="22"/>
                <w:szCs w:val="22"/>
              </w:rPr>
              <w:t xml:space="preserve"> Lewis larvae.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2023; 14: 1124672. doi:10.3389/fmicb.2023.1124672</w:t>
            </w:r>
          </w:p>
        </w:tc>
      </w:tr>
      <w:tr w:rsidR="00AC305D" w14:paraId="1A09D4B3" w14:textId="77777777" w:rsidTr="00F023EC">
        <w:trPr>
          <w:trHeight w:val="74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2F0D6D8A" w14:textId="77777777" w:rsidR="00AC305D" w:rsidRDefault="00000000">
            <w:pPr>
              <w:widowControl/>
              <w:jc w:val="left"/>
            </w:pPr>
            <w:r>
              <w:rPr>
                <w:rStyle w:val="None"/>
                <w:rFonts w:ascii="Times New Roman" w:hAnsi="Times New Roman"/>
                <w:kern w:val="0"/>
                <w:sz w:val="22"/>
                <w:szCs w:val="22"/>
              </w:rPr>
              <w:t>1.1</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313003AD" w14:textId="77777777" w:rsidR="00AC305D" w:rsidRDefault="00000000">
            <w:pPr>
              <w:widowControl/>
              <w:jc w:val="left"/>
            </w:pPr>
            <w:proofErr w:type="spellStart"/>
            <w:r>
              <w:rPr>
                <w:rStyle w:val="None"/>
                <w:rFonts w:ascii="Times New Roman" w:hAnsi="Times New Roman"/>
                <w:kern w:val="0"/>
                <w:sz w:val="22"/>
                <w:szCs w:val="22"/>
              </w:rPr>
              <w:t>Skłodowski</w:t>
            </w:r>
            <w:proofErr w:type="spellEnd"/>
            <w:r>
              <w:rPr>
                <w:rStyle w:val="None"/>
                <w:rFonts w:ascii="Times New Roman" w:hAnsi="Times New Roman"/>
                <w:kern w:val="0"/>
                <w:sz w:val="22"/>
                <w:szCs w:val="22"/>
              </w:rPr>
              <w:t xml:space="preserve"> K, et al. </w:t>
            </w:r>
            <w:proofErr w:type="spellStart"/>
            <w:r>
              <w:rPr>
                <w:rStyle w:val="None"/>
                <w:rFonts w:ascii="Times New Roman" w:hAnsi="Times New Roman"/>
                <w:kern w:val="0"/>
                <w:sz w:val="22"/>
                <w:szCs w:val="22"/>
              </w:rPr>
              <w:t>Ceragenins</w:t>
            </w:r>
            <w:proofErr w:type="spellEnd"/>
            <w:r>
              <w:rPr>
                <w:rStyle w:val="None"/>
                <w:rFonts w:ascii="Times New Roman" w:hAnsi="Times New Roman"/>
                <w:kern w:val="0"/>
                <w:sz w:val="22"/>
                <w:szCs w:val="22"/>
              </w:rPr>
              <w:t xml:space="preserve"> exhibit bactericidal properties that are independent of the ionic strength in the environment mimicking cystic fibrosis sputum.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2023; 14: 1290952.  doi:10.3389/fmicb.2023.1290952</w:t>
            </w:r>
          </w:p>
        </w:tc>
      </w:tr>
      <w:tr w:rsidR="00AC305D" w14:paraId="79DA77B4" w14:textId="77777777" w:rsidTr="00F023EC">
        <w:trPr>
          <w:trHeight w:val="74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06318A22" w14:textId="77777777" w:rsidR="00AC305D" w:rsidRDefault="00000000">
            <w:pPr>
              <w:widowControl/>
              <w:jc w:val="left"/>
            </w:pPr>
            <w:r>
              <w:rPr>
                <w:rStyle w:val="None"/>
                <w:rFonts w:ascii="Times New Roman" w:hAnsi="Times New Roman"/>
                <w:kern w:val="0"/>
                <w:sz w:val="22"/>
                <w:szCs w:val="22"/>
              </w:rPr>
              <w:t>1.1</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358CE92F" w14:textId="77777777" w:rsidR="00AC305D" w:rsidRDefault="00000000">
            <w:pPr>
              <w:widowControl/>
              <w:jc w:val="left"/>
            </w:pPr>
            <w:proofErr w:type="spellStart"/>
            <w:r>
              <w:rPr>
                <w:rStyle w:val="None"/>
                <w:rFonts w:ascii="Times New Roman" w:hAnsi="Times New Roman"/>
                <w:kern w:val="0"/>
                <w:sz w:val="22"/>
                <w:szCs w:val="22"/>
              </w:rPr>
              <w:t>Koniuchovaitė</w:t>
            </w:r>
            <w:proofErr w:type="spellEnd"/>
            <w:r>
              <w:rPr>
                <w:rStyle w:val="None"/>
                <w:rFonts w:ascii="Times New Roman" w:hAnsi="Times New Roman"/>
                <w:kern w:val="0"/>
                <w:sz w:val="22"/>
                <w:szCs w:val="22"/>
              </w:rPr>
              <w:t xml:space="preserve"> A, </w:t>
            </w:r>
            <w:proofErr w:type="spellStart"/>
            <w:r>
              <w:rPr>
                <w:rStyle w:val="None"/>
                <w:rFonts w:ascii="Times New Roman" w:hAnsi="Times New Roman"/>
                <w:kern w:val="0"/>
                <w:sz w:val="22"/>
                <w:szCs w:val="22"/>
              </w:rPr>
              <w:t>Petkevičiūtė</w:t>
            </w:r>
            <w:proofErr w:type="spellEnd"/>
            <w:r>
              <w:rPr>
                <w:rStyle w:val="None"/>
                <w:rFonts w:ascii="Times New Roman" w:hAnsi="Times New Roman"/>
                <w:kern w:val="0"/>
                <w:sz w:val="22"/>
                <w:szCs w:val="22"/>
              </w:rPr>
              <w:t xml:space="preserve"> A, </w:t>
            </w:r>
            <w:proofErr w:type="spellStart"/>
            <w:r>
              <w:rPr>
                <w:rStyle w:val="None"/>
                <w:rFonts w:ascii="Times New Roman" w:hAnsi="Times New Roman"/>
                <w:kern w:val="0"/>
                <w:sz w:val="22"/>
                <w:szCs w:val="22"/>
              </w:rPr>
              <w:t>Bernotaitė</w:t>
            </w:r>
            <w:proofErr w:type="spellEnd"/>
            <w:r>
              <w:rPr>
                <w:rStyle w:val="None"/>
                <w:rFonts w:ascii="Times New Roman" w:hAnsi="Times New Roman"/>
                <w:kern w:val="0"/>
                <w:sz w:val="22"/>
                <w:szCs w:val="22"/>
              </w:rPr>
              <w:t xml:space="preserve"> E, et al. Novel leaderless bacteriocin </w:t>
            </w:r>
            <w:proofErr w:type="spellStart"/>
            <w:r>
              <w:rPr>
                <w:rStyle w:val="None"/>
                <w:rFonts w:ascii="Times New Roman" w:hAnsi="Times New Roman"/>
                <w:kern w:val="0"/>
                <w:sz w:val="22"/>
                <w:szCs w:val="22"/>
              </w:rPr>
              <w:t>geobacillin</w:t>
            </w:r>
            <w:proofErr w:type="spellEnd"/>
            <w:r>
              <w:rPr>
                <w:rStyle w:val="None"/>
                <w:rFonts w:ascii="Times New Roman" w:hAnsi="Times New Roman"/>
                <w:kern w:val="0"/>
                <w:sz w:val="22"/>
                <w:szCs w:val="22"/>
              </w:rPr>
              <w:t xml:space="preserve"> 6 from thermophilic bacterium</w:t>
            </w:r>
            <w:r w:rsidRPr="00AD39BA">
              <w:rPr>
                <w:rStyle w:val="None"/>
                <w:rFonts w:ascii="Times New Roman" w:hAnsi="Times New Roman"/>
                <w:i/>
                <w:iCs/>
                <w:kern w:val="0"/>
                <w:sz w:val="22"/>
                <w:szCs w:val="22"/>
              </w:rPr>
              <w:t xml:space="preserve"> </w:t>
            </w:r>
            <w:proofErr w:type="spellStart"/>
            <w:r w:rsidRPr="00AD39BA">
              <w:rPr>
                <w:rStyle w:val="None"/>
                <w:rFonts w:ascii="Times New Roman" w:hAnsi="Times New Roman"/>
                <w:i/>
                <w:iCs/>
                <w:kern w:val="0"/>
                <w:sz w:val="22"/>
                <w:szCs w:val="22"/>
              </w:rPr>
              <w:t>Parageobacillus</w:t>
            </w:r>
            <w:proofErr w:type="spellEnd"/>
            <w:r w:rsidRPr="00AD39BA">
              <w:rPr>
                <w:rStyle w:val="None"/>
                <w:rFonts w:ascii="Times New Roman" w:hAnsi="Times New Roman"/>
                <w:i/>
                <w:iCs/>
                <w:kern w:val="0"/>
                <w:sz w:val="22"/>
                <w:szCs w:val="22"/>
              </w:rPr>
              <w:t xml:space="preserve"> </w:t>
            </w:r>
            <w:proofErr w:type="spellStart"/>
            <w:r w:rsidRPr="00AD39BA">
              <w:rPr>
                <w:rStyle w:val="None"/>
                <w:rFonts w:ascii="Times New Roman" w:hAnsi="Times New Roman"/>
                <w:i/>
                <w:iCs/>
                <w:kern w:val="0"/>
                <w:sz w:val="22"/>
                <w:szCs w:val="22"/>
              </w:rPr>
              <w:t>thermoglucosidasius</w:t>
            </w:r>
            <w:proofErr w:type="spellEnd"/>
            <w:r>
              <w:rPr>
                <w:rStyle w:val="None"/>
                <w:rFonts w:ascii="Times New Roman" w:hAnsi="Times New Roman"/>
                <w:kern w:val="0"/>
                <w:sz w:val="22"/>
                <w:szCs w:val="22"/>
              </w:rPr>
              <w:t xml:space="preserve">.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xml:space="preserve">. </w:t>
            </w:r>
            <w:proofErr w:type="gramStart"/>
            <w:r>
              <w:rPr>
                <w:rStyle w:val="None"/>
                <w:rFonts w:ascii="Times New Roman" w:hAnsi="Times New Roman"/>
                <w:kern w:val="0"/>
                <w:sz w:val="22"/>
                <w:szCs w:val="22"/>
              </w:rPr>
              <w:t>2023;14:1207367</w:t>
            </w:r>
            <w:proofErr w:type="gramEnd"/>
            <w:r>
              <w:rPr>
                <w:rStyle w:val="None"/>
                <w:rFonts w:ascii="Times New Roman" w:hAnsi="Times New Roman"/>
                <w:kern w:val="0"/>
                <w:sz w:val="22"/>
                <w:szCs w:val="22"/>
              </w:rPr>
              <w:t>. Published 2023 Jun 15. doi:10.3389/fmicb.2023.1207367</w:t>
            </w:r>
          </w:p>
        </w:tc>
      </w:tr>
      <w:tr w:rsidR="00AC305D" w14:paraId="75A17BC4" w14:textId="77777777" w:rsidTr="00F023EC">
        <w:trPr>
          <w:trHeight w:val="74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4D2F271B" w14:textId="77777777" w:rsidR="00AC305D" w:rsidRDefault="00000000">
            <w:pPr>
              <w:widowControl/>
              <w:jc w:val="left"/>
            </w:pPr>
            <w:r>
              <w:rPr>
                <w:rStyle w:val="None"/>
                <w:rFonts w:ascii="Times New Roman" w:hAnsi="Times New Roman"/>
                <w:kern w:val="0"/>
                <w:sz w:val="22"/>
                <w:szCs w:val="22"/>
              </w:rPr>
              <w:t>1.1</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24FC143F" w14:textId="77777777" w:rsidR="00AC305D" w:rsidRDefault="00000000">
            <w:pPr>
              <w:widowControl/>
              <w:jc w:val="left"/>
            </w:pPr>
            <w:r>
              <w:rPr>
                <w:rStyle w:val="None"/>
                <w:rFonts w:ascii="Times New Roman" w:hAnsi="Times New Roman"/>
                <w:kern w:val="0"/>
                <w:sz w:val="22"/>
                <w:szCs w:val="22"/>
              </w:rPr>
              <w:t xml:space="preserve">Adaro M, Ibáñez ÁGS, </w:t>
            </w:r>
            <w:proofErr w:type="spellStart"/>
            <w:r>
              <w:rPr>
                <w:rStyle w:val="None"/>
                <w:rFonts w:ascii="Times New Roman" w:hAnsi="Times New Roman"/>
                <w:kern w:val="0"/>
                <w:sz w:val="22"/>
                <w:szCs w:val="22"/>
              </w:rPr>
              <w:t>Origone</w:t>
            </w:r>
            <w:proofErr w:type="spellEnd"/>
            <w:r>
              <w:rPr>
                <w:rStyle w:val="None"/>
                <w:rFonts w:ascii="Times New Roman" w:hAnsi="Times New Roman"/>
                <w:kern w:val="0"/>
                <w:sz w:val="22"/>
                <w:szCs w:val="22"/>
              </w:rPr>
              <w:t xml:space="preserve"> AL, et al. Enzymatic synthesis of new antimicrobial peptides for food purposes.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xml:space="preserve">. </w:t>
            </w:r>
            <w:proofErr w:type="gramStart"/>
            <w:r>
              <w:rPr>
                <w:rStyle w:val="None"/>
                <w:rFonts w:ascii="Times New Roman" w:hAnsi="Times New Roman"/>
                <w:kern w:val="0"/>
                <w:sz w:val="22"/>
                <w:szCs w:val="22"/>
              </w:rPr>
              <w:t>2023;14:1153135</w:t>
            </w:r>
            <w:proofErr w:type="gramEnd"/>
            <w:r>
              <w:rPr>
                <w:rStyle w:val="None"/>
                <w:rFonts w:ascii="Times New Roman" w:hAnsi="Times New Roman"/>
                <w:kern w:val="0"/>
                <w:sz w:val="22"/>
                <w:szCs w:val="22"/>
              </w:rPr>
              <w:t>. Published 2023 May 16. doi:10.3389/fmicb.2023.1153135</w:t>
            </w:r>
          </w:p>
        </w:tc>
      </w:tr>
      <w:tr w:rsidR="00AC305D" w14:paraId="72BBF1CD" w14:textId="77777777" w:rsidTr="00F023EC">
        <w:trPr>
          <w:trHeight w:val="74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4F1607F6" w14:textId="77777777" w:rsidR="00AC305D" w:rsidRDefault="00000000">
            <w:pPr>
              <w:widowControl/>
              <w:jc w:val="left"/>
            </w:pPr>
            <w:r>
              <w:rPr>
                <w:rStyle w:val="None"/>
                <w:rFonts w:ascii="Times New Roman" w:hAnsi="Times New Roman"/>
                <w:kern w:val="0"/>
                <w:sz w:val="22"/>
                <w:szCs w:val="22"/>
              </w:rPr>
              <w:t>1.2</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B3C48A7" w14:textId="77777777" w:rsidR="00AC305D" w:rsidRDefault="00000000">
            <w:pPr>
              <w:widowControl/>
              <w:jc w:val="left"/>
            </w:pPr>
            <w:r>
              <w:rPr>
                <w:rStyle w:val="None"/>
                <w:rFonts w:ascii="Times New Roman" w:hAnsi="Times New Roman"/>
                <w:kern w:val="0"/>
                <w:sz w:val="22"/>
                <w:szCs w:val="22"/>
              </w:rPr>
              <w:t xml:space="preserve">Agrillo B, et al. </w:t>
            </w:r>
            <w:proofErr w:type="gramStart"/>
            <w:r>
              <w:rPr>
                <w:rStyle w:val="None"/>
                <w:rFonts w:ascii="Times New Roman" w:hAnsi="Times New Roman"/>
                <w:kern w:val="0"/>
                <w:sz w:val="22"/>
                <w:szCs w:val="22"/>
              </w:rPr>
              <w:t>Antimicrobial</w:t>
            </w:r>
            <w:proofErr w:type="gramEnd"/>
            <w:r>
              <w:rPr>
                <w:rStyle w:val="None"/>
                <w:rFonts w:ascii="Times New Roman" w:hAnsi="Times New Roman"/>
                <w:kern w:val="0"/>
                <w:sz w:val="22"/>
                <w:szCs w:val="22"/>
              </w:rPr>
              <w:t xml:space="preserve"> activity, membrane interaction and structural features of short arginine-rich antimicrobial peptides.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2023; 14: 1244325. doi:10.3389/fmicb.2023.1244325</w:t>
            </w:r>
          </w:p>
        </w:tc>
      </w:tr>
      <w:tr w:rsidR="00AC305D" w14:paraId="2E54E893" w14:textId="77777777" w:rsidTr="00F023EC">
        <w:trPr>
          <w:trHeight w:val="98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2F383C16" w14:textId="77777777" w:rsidR="00AC305D" w:rsidRDefault="00000000">
            <w:pPr>
              <w:widowControl/>
              <w:jc w:val="left"/>
            </w:pPr>
            <w:r>
              <w:rPr>
                <w:rStyle w:val="None"/>
                <w:rFonts w:ascii="Times New Roman" w:hAnsi="Times New Roman"/>
                <w:kern w:val="0"/>
                <w:sz w:val="22"/>
                <w:szCs w:val="22"/>
              </w:rPr>
              <w:t>1.2</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B65E027" w14:textId="77777777" w:rsidR="00AC305D" w:rsidRDefault="00000000">
            <w:pPr>
              <w:widowControl/>
              <w:jc w:val="left"/>
            </w:pPr>
            <w:r>
              <w:rPr>
                <w:rStyle w:val="None"/>
                <w:rFonts w:ascii="Times New Roman" w:hAnsi="Times New Roman"/>
                <w:kern w:val="0"/>
                <w:sz w:val="22"/>
                <w:szCs w:val="22"/>
                <w:lang w:val="pt-PT"/>
              </w:rPr>
              <w:t xml:space="preserve">Bermúdez-Puga S, et al. </w:t>
            </w:r>
            <w:r>
              <w:rPr>
                <w:rStyle w:val="None"/>
                <w:rFonts w:ascii="Times New Roman" w:hAnsi="Times New Roman"/>
                <w:kern w:val="0"/>
                <w:sz w:val="22"/>
                <w:szCs w:val="22"/>
              </w:rPr>
              <w:t>Dual antibacterial mechanism of [K4K15] CZS-1 against </w:t>
            </w:r>
            <w:r>
              <w:rPr>
                <w:rStyle w:val="None"/>
                <w:rFonts w:ascii="Times New Roman" w:hAnsi="Times New Roman"/>
                <w:i/>
                <w:iCs/>
                <w:kern w:val="0"/>
                <w:sz w:val="22"/>
                <w:szCs w:val="22"/>
              </w:rPr>
              <w:t>Salmonella Typhimurium</w:t>
            </w:r>
            <w:r>
              <w:rPr>
                <w:rStyle w:val="None"/>
                <w:rFonts w:ascii="Times New Roman" w:hAnsi="Times New Roman"/>
                <w:kern w:val="0"/>
                <w:sz w:val="22"/>
                <w:szCs w:val="22"/>
              </w:rPr>
              <w:t xml:space="preserve">: a membrane active and intracellular-targeting antimicrobial peptide.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2023; 14: 1320154. Published 2023 Dec 14. doi:10.3389/fmicb.2023.1320154</w:t>
            </w:r>
          </w:p>
        </w:tc>
      </w:tr>
      <w:tr w:rsidR="00AC305D" w14:paraId="03B4E583" w14:textId="77777777" w:rsidTr="00F023EC">
        <w:trPr>
          <w:trHeight w:val="74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0A6B0FEB" w14:textId="77777777" w:rsidR="00AC305D" w:rsidRDefault="00000000">
            <w:pPr>
              <w:widowControl/>
              <w:jc w:val="left"/>
            </w:pPr>
            <w:r>
              <w:rPr>
                <w:rStyle w:val="None"/>
                <w:rFonts w:ascii="Times New Roman" w:hAnsi="Times New Roman"/>
                <w:kern w:val="0"/>
                <w:sz w:val="22"/>
                <w:szCs w:val="22"/>
              </w:rPr>
              <w:t>1.2</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484E6CE8" w14:textId="77777777" w:rsidR="00AC305D" w:rsidRDefault="00000000">
            <w:pPr>
              <w:widowControl/>
              <w:jc w:val="left"/>
            </w:pPr>
            <w:r>
              <w:rPr>
                <w:rStyle w:val="None"/>
                <w:rFonts w:ascii="Times New Roman" w:hAnsi="Times New Roman"/>
                <w:kern w:val="0"/>
                <w:sz w:val="22"/>
                <w:szCs w:val="22"/>
              </w:rPr>
              <w:t>Brakel A, et al. Evaluation of proline-rich antimicrobial peptides as potential lead structures for novel antimycotics against </w:t>
            </w:r>
            <w:r>
              <w:rPr>
                <w:rStyle w:val="None"/>
                <w:rFonts w:ascii="Times New Roman" w:hAnsi="Times New Roman"/>
                <w:i/>
                <w:iCs/>
                <w:kern w:val="0"/>
                <w:sz w:val="22"/>
                <w:szCs w:val="22"/>
              </w:rPr>
              <w:t>Cryptococcus neoformans</w:t>
            </w:r>
            <w:r>
              <w:rPr>
                <w:rStyle w:val="None"/>
                <w:rFonts w:ascii="Times New Roman" w:hAnsi="Times New Roman"/>
                <w:kern w:val="0"/>
                <w:sz w:val="22"/>
                <w:szCs w:val="22"/>
              </w:rPr>
              <w:t xml:space="preserve">.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2024; 14: 1328890. doi:10.3389/fmicb.2023.1328890</w:t>
            </w:r>
          </w:p>
        </w:tc>
      </w:tr>
      <w:tr w:rsidR="00AC305D" w14:paraId="63FA5506" w14:textId="77777777" w:rsidTr="00F023EC">
        <w:trPr>
          <w:trHeight w:val="74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4DD59547" w14:textId="77777777" w:rsidR="00AC305D" w:rsidRDefault="00000000">
            <w:pPr>
              <w:widowControl/>
              <w:jc w:val="left"/>
            </w:pPr>
            <w:r>
              <w:rPr>
                <w:rStyle w:val="None"/>
                <w:rFonts w:ascii="Times New Roman" w:hAnsi="Times New Roman"/>
                <w:kern w:val="0"/>
                <w:sz w:val="22"/>
                <w:szCs w:val="22"/>
              </w:rPr>
              <w:t>1.4</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5CC9199" w14:textId="77777777" w:rsidR="00AC305D" w:rsidRDefault="00000000">
            <w:pPr>
              <w:widowControl/>
              <w:jc w:val="left"/>
            </w:pPr>
            <w:r>
              <w:rPr>
                <w:rStyle w:val="None"/>
                <w:rFonts w:ascii="Times New Roman" w:hAnsi="Times New Roman"/>
                <w:kern w:val="0"/>
                <w:sz w:val="22"/>
                <w:szCs w:val="22"/>
              </w:rPr>
              <w:t xml:space="preserve">Ouyang Z, et al. Mechanistic and biophysical characterization of polymyxin resistance response regulator </w:t>
            </w:r>
            <w:proofErr w:type="spellStart"/>
            <w:r>
              <w:rPr>
                <w:rStyle w:val="None"/>
                <w:rFonts w:ascii="Times New Roman" w:hAnsi="Times New Roman"/>
                <w:kern w:val="0"/>
                <w:sz w:val="22"/>
                <w:szCs w:val="22"/>
              </w:rPr>
              <w:t>PmrA</w:t>
            </w:r>
            <w:proofErr w:type="spellEnd"/>
            <w:r>
              <w:rPr>
                <w:rStyle w:val="None"/>
                <w:rFonts w:ascii="Times New Roman" w:hAnsi="Times New Roman"/>
                <w:kern w:val="0"/>
                <w:sz w:val="22"/>
                <w:szCs w:val="22"/>
              </w:rPr>
              <w:t xml:space="preserve"> in </w:t>
            </w:r>
            <w:r>
              <w:rPr>
                <w:rStyle w:val="None"/>
                <w:rFonts w:ascii="Times New Roman" w:hAnsi="Times New Roman"/>
                <w:i/>
                <w:iCs/>
                <w:kern w:val="0"/>
                <w:sz w:val="22"/>
                <w:szCs w:val="22"/>
              </w:rPr>
              <w:t>Acinetobacter baumannii</w:t>
            </w:r>
            <w:r>
              <w:rPr>
                <w:rStyle w:val="None"/>
                <w:rFonts w:ascii="Times New Roman" w:hAnsi="Times New Roman"/>
                <w:kern w:val="0"/>
                <w:sz w:val="22"/>
                <w:szCs w:val="22"/>
              </w:rPr>
              <w:t xml:space="preserve">.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2024; 15: 1293990. Published 2024 Feb 27. doi:10.3389/fmicb.2024.1293990</w:t>
            </w:r>
          </w:p>
        </w:tc>
      </w:tr>
      <w:tr w:rsidR="00AC305D" w14:paraId="14229CC1" w14:textId="77777777" w:rsidTr="00F023EC">
        <w:trPr>
          <w:trHeight w:val="546"/>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59CBB19" w14:textId="77777777" w:rsidR="00AC305D" w:rsidRDefault="00000000">
            <w:pPr>
              <w:widowControl/>
              <w:jc w:val="left"/>
            </w:pPr>
            <w:r>
              <w:rPr>
                <w:rStyle w:val="None"/>
                <w:rFonts w:ascii="Times New Roman" w:hAnsi="Times New Roman"/>
                <w:kern w:val="0"/>
                <w:sz w:val="22"/>
                <w:szCs w:val="22"/>
              </w:rPr>
              <w:t>2.1.1</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38C2617C" w14:textId="77777777" w:rsidR="00AC305D" w:rsidRDefault="00000000">
            <w:pPr>
              <w:widowControl/>
              <w:jc w:val="left"/>
            </w:pPr>
            <w:r>
              <w:rPr>
                <w:rStyle w:val="None"/>
                <w:rFonts w:ascii="Times New Roman" w:hAnsi="Times New Roman"/>
                <w:kern w:val="0"/>
                <w:sz w:val="22"/>
                <w:szCs w:val="22"/>
              </w:rPr>
              <w:t xml:space="preserve">Liu SX, et al. Recent advances on </w:t>
            </w:r>
            <w:proofErr w:type="spellStart"/>
            <w:r>
              <w:rPr>
                <w:rStyle w:val="None"/>
                <w:rFonts w:ascii="Times New Roman" w:hAnsi="Times New Roman"/>
                <w:kern w:val="0"/>
                <w:sz w:val="22"/>
                <w:szCs w:val="22"/>
              </w:rPr>
              <w:t>cyclodepsipeptides</w:t>
            </w:r>
            <w:proofErr w:type="spellEnd"/>
            <w:r>
              <w:rPr>
                <w:rStyle w:val="None"/>
                <w:rFonts w:ascii="Times New Roman" w:hAnsi="Times New Roman"/>
                <w:kern w:val="0"/>
                <w:sz w:val="22"/>
                <w:szCs w:val="22"/>
              </w:rPr>
              <w:t xml:space="preserve">: biologically active compounds for drug research.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2023; 14: 1276928. doi:10.3389/fmicb.2023.1276928</w:t>
            </w:r>
          </w:p>
        </w:tc>
      </w:tr>
      <w:tr w:rsidR="00AC305D" w14:paraId="616DA236" w14:textId="77777777" w:rsidTr="00F023EC">
        <w:trPr>
          <w:trHeight w:val="74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EC1077B" w14:textId="77777777" w:rsidR="00AC305D" w:rsidRDefault="00000000">
            <w:pPr>
              <w:widowControl/>
              <w:jc w:val="left"/>
            </w:pPr>
            <w:r>
              <w:rPr>
                <w:rStyle w:val="None"/>
                <w:rFonts w:ascii="Times New Roman" w:hAnsi="Times New Roman"/>
                <w:kern w:val="0"/>
                <w:sz w:val="22"/>
                <w:szCs w:val="22"/>
              </w:rPr>
              <w:t>2.2.1</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4E48FF0E" w14:textId="77777777" w:rsidR="00AC305D" w:rsidRDefault="00000000">
            <w:pPr>
              <w:widowControl/>
              <w:jc w:val="left"/>
            </w:pPr>
            <w:r>
              <w:rPr>
                <w:rStyle w:val="None"/>
                <w:rFonts w:ascii="Times New Roman" w:hAnsi="Times New Roman"/>
                <w:kern w:val="0"/>
                <w:sz w:val="22"/>
                <w:szCs w:val="22"/>
                <w:lang w:val="pt-PT"/>
              </w:rPr>
              <w:t xml:space="preserve">Fernández-Fernández R, et al. </w:t>
            </w:r>
            <w:r>
              <w:rPr>
                <w:rStyle w:val="None"/>
                <w:rFonts w:ascii="Times New Roman" w:hAnsi="Times New Roman"/>
                <w:kern w:val="0"/>
                <w:sz w:val="22"/>
                <w:szCs w:val="22"/>
              </w:rPr>
              <w:t>Detection of antimicrobial producing</w:t>
            </w:r>
            <w:r w:rsidRPr="00AD39BA">
              <w:rPr>
                <w:rStyle w:val="None"/>
                <w:rFonts w:ascii="Times New Roman" w:hAnsi="Times New Roman"/>
                <w:i/>
                <w:iCs/>
                <w:kern w:val="0"/>
                <w:sz w:val="22"/>
                <w:szCs w:val="22"/>
              </w:rPr>
              <w:t> Staphylococcus</w:t>
            </w:r>
            <w:r>
              <w:rPr>
                <w:rStyle w:val="None"/>
                <w:rFonts w:ascii="Times New Roman" w:hAnsi="Times New Roman"/>
                <w:kern w:val="0"/>
                <w:sz w:val="22"/>
                <w:szCs w:val="22"/>
              </w:rPr>
              <w:t xml:space="preserve"> from migratory birds: Potential role in nasotracheal microbiota modulation.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2023; 14: 1144975. doi:10.3389/fmicb.2023.1144975</w:t>
            </w:r>
          </w:p>
        </w:tc>
      </w:tr>
      <w:tr w:rsidR="00AC305D" w14:paraId="25ACB27C" w14:textId="77777777" w:rsidTr="00F023EC">
        <w:trPr>
          <w:trHeight w:val="74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45F4E18F" w14:textId="77777777" w:rsidR="00AC305D" w:rsidRDefault="00000000">
            <w:pPr>
              <w:widowControl/>
              <w:jc w:val="left"/>
            </w:pPr>
            <w:r>
              <w:rPr>
                <w:rStyle w:val="None"/>
                <w:rFonts w:ascii="Times New Roman" w:hAnsi="Times New Roman"/>
                <w:kern w:val="0"/>
                <w:sz w:val="22"/>
                <w:szCs w:val="22"/>
              </w:rPr>
              <w:t>2.2.1</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5E7E1306" w14:textId="77777777" w:rsidR="00AC305D" w:rsidRDefault="00000000">
            <w:pPr>
              <w:widowControl/>
              <w:jc w:val="left"/>
            </w:pPr>
            <w:r>
              <w:rPr>
                <w:rStyle w:val="None"/>
                <w:rFonts w:ascii="Times New Roman" w:hAnsi="Times New Roman"/>
                <w:kern w:val="0"/>
                <w:sz w:val="22"/>
                <w:szCs w:val="22"/>
              </w:rPr>
              <w:t xml:space="preserve">Ji F, et al. </w:t>
            </w:r>
            <w:proofErr w:type="gramStart"/>
            <w:r>
              <w:rPr>
                <w:rStyle w:val="None"/>
                <w:rFonts w:ascii="Times New Roman" w:hAnsi="Times New Roman"/>
                <w:kern w:val="0"/>
                <w:sz w:val="22"/>
                <w:szCs w:val="22"/>
              </w:rPr>
              <w:t>Antimicrobial</w:t>
            </w:r>
            <w:proofErr w:type="gramEnd"/>
            <w:r>
              <w:rPr>
                <w:rStyle w:val="None"/>
                <w:rFonts w:ascii="Times New Roman" w:hAnsi="Times New Roman"/>
                <w:kern w:val="0"/>
                <w:sz w:val="22"/>
                <w:szCs w:val="22"/>
              </w:rPr>
              <w:t xml:space="preserve"> peptide 2K4L disrupts the membrane of multidrug-resistant </w:t>
            </w:r>
            <w:r w:rsidRPr="00AD39BA">
              <w:rPr>
                <w:rStyle w:val="None"/>
                <w:rFonts w:ascii="Times New Roman" w:hAnsi="Times New Roman"/>
                <w:i/>
                <w:iCs/>
                <w:kern w:val="0"/>
                <w:sz w:val="22"/>
                <w:szCs w:val="22"/>
              </w:rPr>
              <w:t>Acinetobacter baumannii </w:t>
            </w:r>
            <w:r>
              <w:rPr>
                <w:rStyle w:val="None"/>
                <w:rFonts w:ascii="Times New Roman" w:hAnsi="Times New Roman"/>
                <w:kern w:val="0"/>
                <w:sz w:val="22"/>
                <w:szCs w:val="22"/>
              </w:rPr>
              <w:t xml:space="preserve">and protects mice against sepsis.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2023; 14: 1258469. Published 2023 Oct 24. doi:10.3389/fmicb.2023.1258469</w:t>
            </w:r>
          </w:p>
        </w:tc>
      </w:tr>
      <w:tr w:rsidR="00AC305D" w14:paraId="52C355DF" w14:textId="77777777" w:rsidTr="00F023EC">
        <w:trPr>
          <w:trHeight w:val="74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6D4808B3" w14:textId="77777777" w:rsidR="00AC305D" w:rsidRDefault="00000000">
            <w:pPr>
              <w:widowControl/>
              <w:jc w:val="left"/>
            </w:pPr>
            <w:r>
              <w:rPr>
                <w:rStyle w:val="None"/>
                <w:rFonts w:ascii="Times New Roman" w:hAnsi="Times New Roman"/>
                <w:kern w:val="0"/>
                <w:sz w:val="22"/>
                <w:szCs w:val="22"/>
              </w:rPr>
              <w:lastRenderedPageBreak/>
              <w:t>2.2.1</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F82AA11" w14:textId="77777777" w:rsidR="00AC305D" w:rsidRDefault="00000000">
            <w:pPr>
              <w:widowControl/>
              <w:jc w:val="left"/>
            </w:pPr>
            <w:r>
              <w:rPr>
                <w:rStyle w:val="None"/>
                <w:rFonts w:ascii="Times New Roman" w:hAnsi="Times New Roman"/>
                <w:kern w:val="0"/>
                <w:sz w:val="22"/>
                <w:szCs w:val="22"/>
              </w:rPr>
              <w:t xml:space="preserve">Jiang S, et al. </w:t>
            </w:r>
            <w:proofErr w:type="gramStart"/>
            <w:r>
              <w:rPr>
                <w:rStyle w:val="None"/>
                <w:rFonts w:ascii="Times New Roman" w:hAnsi="Times New Roman"/>
                <w:kern w:val="0"/>
                <w:sz w:val="22"/>
                <w:szCs w:val="22"/>
              </w:rPr>
              <w:t>Antimicrobial</w:t>
            </w:r>
            <w:proofErr w:type="gramEnd"/>
            <w:r>
              <w:rPr>
                <w:rStyle w:val="None"/>
                <w:rFonts w:ascii="Times New Roman" w:hAnsi="Times New Roman"/>
                <w:kern w:val="0"/>
                <w:sz w:val="22"/>
                <w:szCs w:val="22"/>
              </w:rPr>
              <w:t xml:space="preserve"> peptide </w:t>
            </w:r>
            <w:proofErr w:type="spellStart"/>
            <w:r>
              <w:rPr>
                <w:rStyle w:val="None"/>
                <w:rFonts w:ascii="Times New Roman" w:hAnsi="Times New Roman"/>
                <w:kern w:val="0"/>
                <w:sz w:val="22"/>
                <w:szCs w:val="22"/>
              </w:rPr>
              <w:t>temporin</w:t>
            </w:r>
            <w:proofErr w:type="spellEnd"/>
            <w:r>
              <w:rPr>
                <w:rStyle w:val="None"/>
                <w:rFonts w:ascii="Times New Roman" w:hAnsi="Times New Roman"/>
                <w:kern w:val="0"/>
                <w:sz w:val="22"/>
                <w:szCs w:val="22"/>
              </w:rPr>
              <w:t xml:space="preserve"> derivatives inhibit biofilm formation and virulence factor expression of </w:t>
            </w:r>
            <w:r>
              <w:rPr>
                <w:rStyle w:val="None"/>
                <w:rFonts w:ascii="Times New Roman" w:hAnsi="Times New Roman"/>
                <w:i/>
                <w:iCs/>
                <w:kern w:val="0"/>
                <w:sz w:val="22"/>
                <w:szCs w:val="22"/>
              </w:rPr>
              <w:t>Streptococcus mutans</w:t>
            </w:r>
            <w:r>
              <w:rPr>
                <w:rStyle w:val="None"/>
                <w:rFonts w:ascii="Times New Roman" w:hAnsi="Times New Roman"/>
                <w:kern w:val="0"/>
                <w:sz w:val="22"/>
                <w:szCs w:val="22"/>
              </w:rPr>
              <w:t xml:space="preserve">.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2023; 14: 1267389.  doi:10.3389/fmicb.2023.1267389</w:t>
            </w:r>
          </w:p>
        </w:tc>
      </w:tr>
      <w:tr w:rsidR="00AC305D" w14:paraId="674249A9" w14:textId="77777777" w:rsidTr="00F023EC">
        <w:trPr>
          <w:trHeight w:val="74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2AC2240E" w14:textId="77777777" w:rsidR="00AC305D" w:rsidRDefault="00000000">
            <w:pPr>
              <w:widowControl/>
              <w:jc w:val="left"/>
            </w:pPr>
            <w:r>
              <w:rPr>
                <w:rStyle w:val="None"/>
                <w:rFonts w:ascii="Times New Roman" w:hAnsi="Times New Roman"/>
                <w:kern w:val="0"/>
                <w:sz w:val="22"/>
                <w:szCs w:val="22"/>
              </w:rPr>
              <w:t>2.2.2</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4EDF0F8" w14:textId="77777777" w:rsidR="00AC305D" w:rsidRDefault="00000000">
            <w:pPr>
              <w:widowControl/>
              <w:jc w:val="left"/>
            </w:pPr>
            <w:r>
              <w:rPr>
                <w:rStyle w:val="None"/>
                <w:rFonts w:ascii="Times New Roman" w:hAnsi="Times New Roman"/>
                <w:kern w:val="0"/>
                <w:sz w:val="22"/>
                <w:szCs w:val="22"/>
              </w:rPr>
              <w:t xml:space="preserve">Chen X, et al. Anti-Pseudomonas aeruginosa activity of natural antimicrobial peptides when used alone or in combination with antibiotics.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2023; 14: 1239540. Published 2023 Sep 5. doi:10.3389/fmicb.2023.1239540</w:t>
            </w:r>
          </w:p>
        </w:tc>
      </w:tr>
      <w:tr w:rsidR="00AC305D" w14:paraId="3FC13BF6" w14:textId="77777777" w:rsidTr="00F023EC">
        <w:trPr>
          <w:trHeight w:val="74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510C410" w14:textId="77777777" w:rsidR="00AC305D" w:rsidRDefault="00000000">
            <w:pPr>
              <w:widowControl/>
              <w:jc w:val="left"/>
            </w:pPr>
            <w:r>
              <w:rPr>
                <w:rStyle w:val="None"/>
                <w:rFonts w:ascii="Times New Roman" w:hAnsi="Times New Roman"/>
                <w:kern w:val="0"/>
                <w:sz w:val="22"/>
                <w:szCs w:val="22"/>
              </w:rPr>
              <w:t>2.2.2</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F3E9AB1" w14:textId="77777777" w:rsidR="00AC305D" w:rsidRDefault="00000000">
            <w:pPr>
              <w:widowControl/>
              <w:jc w:val="left"/>
            </w:pPr>
            <w:r>
              <w:rPr>
                <w:rStyle w:val="None"/>
                <w:rFonts w:ascii="Times New Roman" w:hAnsi="Times New Roman"/>
                <w:kern w:val="0"/>
                <w:sz w:val="22"/>
                <w:szCs w:val="22"/>
              </w:rPr>
              <w:t>Cui Q, et al. Antibiotic synergist OM19r reverses aminoglycoside resistance in multidrug-resistant </w:t>
            </w:r>
            <w:r>
              <w:rPr>
                <w:rStyle w:val="None"/>
                <w:rFonts w:ascii="Times New Roman" w:hAnsi="Times New Roman"/>
                <w:i/>
                <w:iCs/>
                <w:kern w:val="0"/>
                <w:sz w:val="22"/>
                <w:szCs w:val="22"/>
              </w:rPr>
              <w:t>Escherichia coli</w:t>
            </w:r>
            <w:r>
              <w:rPr>
                <w:rStyle w:val="None"/>
                <w:rFonts w:ascii="Times New Roman" w:hAnsi="Times New Roman"/>
                <w:kern w:val="0"/>
                <w:sz w:val="22"/>
                <w:szCs w:val="22"/>
              </w:rPr>
              <w:t xml:space="preserve">.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2023; 14: 1144946. doi:10.3389/fmicb.2023.1144946</w:t>
            </w:r>
          </w:p>
        </w:tc>
      </w:tr>
      <w:tr w:rsidR="00B71866" w14:paraId="3A152C67" w14:textId="77777777" w:rsidTr="00F023EC">
        <w:trPr>
          <w:trHeight w:val="74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225F57E4" w14:textId="2AF05EBF" w:rsidR="00B71866" w:rsidRDefault="00B71866" w:rsidP="00B71866">
            <w:pPr>
              <w:widowControl/>
              <w:jc w:val="left"/>
              <w:rPr>
                <w:rStyle w:val="None"/>
                <w:rFonts w:ascii="Times New Roman" w:hAnsi="Times New Roman"/>
                <w:kern w:val="0"/>
                <w:sz w:val="22"/>
                <w:szCs w:val="22"/>
              </w:rPr>
            </w:pPr>
            <w:r>
              <w:rPr>
                <w:rStyle w:val="None"/>
                <w:rFonts w:ascii="Times New Roman" w:hAnsi="Times New Roman"/>
                <w:kern w:val="0"/>
                <w:sz w:val="22"/>
                <w:szCs w:val="22"/>
              </w:rPr>
              <w:t>2.</w:t>
            </w:r>
            <w:r>
              <w:rPr>
                <w:rStyle w:val="None"/>
                <w:rFonts w:ascii="Times New Roman" w:hAnsi="Times New Roman" w:hint="eastAsia"/>
                <w:kern w:val="0"/>
                <w:sz w:val="22"/>
                <w:szCs w:val="22"/>
              </w:rPr>
              <w:t>3</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3EBB7F73" w14:textId="626F9855" w:rsidR="00B71866" w:rsidRDefault="00B71866" w:rsidP="00B71866">
            <w:pPr>
              <w:widowControl/>
              <w:jc w:val="left"/>
              <w:rPr>
                <w:rStyle w:val="None"/>
                <w:rFonts w:ascii="Times New Roman" w:hAnsi="Times New Roman"/>
                <w:kern w:val="0"/>
                <w:sz w:val="22"/>
                <w:szCs w:val="22"/>
              </w:rPr>
            </w:pPr>
            <w:r>
              <w:rPr>
                <w:rStyle w:val="None"/>
                <w:rFonts w:ascii="Times New Roman" w:hAnsi="Times New Roman"/>
                <w:kern w:val="0"/>
                <w:sz w:val="22"/>
                <w:szCs w:val="22"/>
              </w:rPr>
              <w:t xml:space="preserve">Li Y, et al. Structure modification of an antibiotic: by engineering the </w:t>
            </w:r>
            <w:proofErr w:type="spellStart"/>
            <w:r>
              <w:rPr>
                <w:rStyle w:val="None"/>
                <w:rFonts w:ascii="Times New Roman" w:hAnsi="Times New Roman"/>
                <w:kern w:val="0"/>
                <w:sz w:val="22"/>
                <w:szCs w:val="22"/>
              </w:rPr>
              <w:t>fusaricidin</w:t>
            </w:r>
            <w:proofErr w:type="spellEnd"/>
            <w:r>
              <w:rPr>
                <w:rStyle w:val="None"/>
                <w:rFonts w:ascii="Times New Roman" w:hAnsi="Times New Roman"/>
                <w:kern w:val="0"/>
                <w:sz w:val="22"/>
                <w:szCs w:val="22"/>
              </w:rPr>
              <w:t xml:space="preserve"> bio-synthetase A in </w:t>
            </w:r>
            <w:proofErr w:type="spellStart"/>
            <w:r>
              <w:rPr>
                <w:rStyle w:val="None"/>
                <w:rFonts w:ascii="Times New Roman" w:hAnsi="Times New Roman"/>
                <w:i/>
                <w:iCs/>
                <w:kern w:val="0"/>
                <w:sz w:val="22"/>
                <w:szCs w:val="22"/>
              </w:rPr>
              <w:t>Paenibacillus</w:t>
            </w:r>
            <w:proofErr w:type="spellEnd"/>
            <w:r>
              <w:rPr>
                <w:rStyle w:val="None"/>
                <w:rFonts w:ascii="Times New Roman" w:hAnsi="Times New Roman"/>
                <w:i/>
                <w:iCs/>
                <w:kern w:val="0"/>
                <w:sz w:val="22"/>
                <w:szCs w:val="22"/>
              </w:rPr>
              <w:t xml:space="preserve"> </w:t>
            </w:r>
            <w:proofErr w:type="spellStart"/>
            <w:r>
              <w:rPr>
                <w:rStyle w:val="None"/>
                <w:rFonts w:ascii="Times New Roman" w:hAnsi="Times New Roman"/>
                <w:i/>
                <w:iCs/>
                <w:kern w:val="0"/>
                <w:sz w:val="22"/>
                <w:szCs w:val="22"/>
              </w:rPr>
              <w:t>polymyxa</w:t>
            </w:r>
            <w:proofErr w:type="spellEnd"/>
            <w:r>
              <w:rPr>
                <w:rStyle w:val="None"/>
                <w:rFonts w:ascii="Times New Roman" w:hAnsi="Times New Roman"/>
                <w:kern w:val="0"/>
                <w:sz w:val="22"/>
                <w:szCs w:val="22"/>
              </w:rPr>
              <w:t xml:space="preserve">.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2023; 14: 1239958. doi:10.3389/fmicb.2023.1239958</w:t>
            </w:r>
          </w:p>
        </w:tc>
      </w:tr>
      <w:tr w:rsidR="00AC305D" w14:paraId="308F3A5C" w14:textId="77777777" w:rsidTr="00F023EC">
        <w:trPr>
          <w:trHeight w:val="74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3262707" w14:textId="77777777" w:rsidR="00AC305D" w:rsidRDefault="00000000">
            <w:pPr>
              <w:widowControl/>
              <w:jc w:val="left"/>
            </w:pPr>
            <w:r>
              <w:rPr>
                <w:rStyle w:val="None"/>
                <w:rFonts w:ascii="Times New Roman" w:hAnsi="Times New Roman"/>
                <w:kern w:val="0"/>
                <w:sz w:val="22"/>
                <w:szCs w:val="22"/>
              </w:rPr>
              <w:t>2.3</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9B42F81" w14:textId="77777777" w:rsidR="00AC305D" w:rsidRDefault="00000000">
            <w:pPr>
              <w:widowControl/>
              <w:jc w:val="left"/>
            </w:pPr>
            <w:r>
              <w:rPr>
                <w:rStyle w:val="None"/>
                <w:rFonts w:ascii="Times New Roman" w:hAnsi="Times New Roman"/>
                <w:kern w:val="0"/>
                <w:sz w:val="22"/>
                <w:szCs w:val="22"/>
              </w:rPr>
              <w:t xml:space="preserve">Dong X, et al. High expression of antimicrobial peptides </w:t>
            </w:r>
            <w:proofErr w:type="spellStart"/>
            <w:r>
              <w:rPr>
                <w:rStyle w:val="None"/>
                <w:rFonts w:ascii="Times New Roman" w:hAnsi="Times New Roman"/>
                <w:kern w:val="0"/>
                <w:sz w:val="22"/>
                <w:szCs w:val="22"/>
              </w:rPr>
              <w:t>cathelicidin</w:t>
            </w:r>
            <w:proofErr w:type="spellEnd"/>
            <w:r>
              <w:rPr>
                <w:rStyle w:val="None"/>
                <w:rFonts w:ascii="Times New Roman" w:hAnsi="Times New Roman"/>
                <w:kern w:val="0"/>
                <w:sz w:val="22"/>
                <w:szCs w:val="22"/>
              </w:rPr>
              <w:t>-BF in </w:t>
            </w:r>
            <w:r w:rsidRPr="00AD39BA">
              <w:rPr>
                <w:rStyle w:val="None"/>
                <w:rFonts w:ascii="Times New Roman" w:hAnsi="Times New Roman"/>
                <w:i/>
                <w:iCs/>
                <w:kern w:val="0"/>
                <w:sz w:val="22"/>
                <w:szCs w:val="22"/>
              </w:rPr>
              <w:t>Pichia pastoris</w:t>
            </w:r>
            <w:r>
              <w:rPr>
                <w:rStyle w:val="None"/>
                <w:rFonts w:ascii="Times New Roman" w:hAnsi="Times New Roman"/>
                <w:kern w:val="0"/>
                <w:sz w:val="22"/>
                <w:szCs w:val="22"/>
              </w:rPr>
              <w:t xml:space="preserve"> and verification of its activity.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2023; 14: 1153365. Published 2023 Jun 9. doi:10.3389/fmicb.2023.1153365</w:t>
            </w:r>
          </w:p>
        </w:tc>
      </w:tr>
      <w:tr w:rsidR="00AC305D" w14:paraId="08737040" w14:textId="77777777" w:rsidTr="00F023EC">
        <w:trPr>
          <w:trHeight w:val="741"/>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01BEB4BE" w14:textId="77777777" w:rsidR="00AC305D" w:rsidRDefault="00000000">
            <w:pPr>
              <w:widowControl/>
              <w:jc w:val="left"/>
            </w:pPr>
            <w:r>
              <w:rPr>
                <w:rStyle w:val="None"/>
                <w:rFonts w:ascii="Times New Roman" w:hAnsi="Times New Roman"/>
                <w:kern w:val="0"/>
                <w:sz w:val="22"/>
                <w:szCs w:val="22"/>
              </w:rPr>
              <w:t>2.3</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0C287DEC" w14:textId="77777777" w:rsidR="00AC305D" w:rsidRDefault="00000000">
            <w:pPr>
              <w:widowControl/>
              <w:jc w:val="left"/>
            </w:pPr>
            <w:r>
              <w:rPr>
                <w:rStyle w:val="None"/>
                <w:rFonts w:ascii="Times New Roman" w:hAnsi="Times New Roman"/>
                <w:kern w:val="0"/>
                <w:sz w:val="22"/>
                <w:szCs w:val="22"/>
              </w:rPr>
              <w:t>Chen YP, et al. Characterization and expression of fungal defensin in </w:t>
            </w:r>
            <w:r w:rsidRPr="00AD39BA">
              <w:rPr>
                <w:rStyle w:val="None"/>
                <w:rFonts w:ascii="Times New Roman" w:hAnsi="Times New Roman"/>
                <w:i/>
                <w:iCs/>
                <w:kern w:val="0"/>
                <w:sz w:val="22"/>
                <w:szCs w:val="22"/>
              </w:rPr>
              <w:t>Escherichia coli </w:t>
            </w:r>
            <w:r>
              <w:rPr>
                <w:rStyle w:val="None"/>
                <w:rFonts w:ascii="Times New Roman" w:hAnsi="Times New Roman"/>
                <w:kern w:val="0"/>
                <w:sz w:val="22"/>
                <w:szCs w:val="22"/>
              </w:rPr>
              <w:t xml:space="preserve">and its antifungal mechanism by RNA-seq analysis.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2023; 14: 1172257. doi:10.3389/fmicb.2023.1172257</w:t>
            </w:r>
          </w:p>
        </w:tc>
      </w:tr>
      <w:tr w:rsidR="00AC305D" w14:paraId="746D52E4" w14:textId="77777777" w:rsidTr="00F023EC">
        <w:trPr>
          <w:trHeight w:val="554"/>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4FA6037B" w14:textId="77777777" w:rsidR="00AC305D" w:rsidRDefault="00000000">
            <w:pPr>
              <w:widowControl/>
              <w:jc w:val="left"/>
            </w:pPr>
            <w:r>
              <w:rPr>
                <w:rStyle w:val="None"/>
                <w:rFonts w:ascii="Times New Roman" w:hAnsi="Times New Roman"/>
                <w:kern w:val="0"/>
                <w:sz w:val="22"/>
                <w:szCs w:val="22"/>
              </w:rPr>
              <w:t>2.3</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2EE07821" w14:textId="77777777" w:rsidR="00AC305D" w:rsidRDefault="00000000">
            <w:pPr>
              <w:widowControl/>
              <w:jc w:val="left"/>
            </w:pPr>
            <w:r>
              <w:rPr>
                <w:rStyle w:val="None"/>
                <w:rFonts w:ascii="Times New Roman" w:hAnsi="Times New Roman"/>
                <w:kern w:val="0"/>
                <w:sz w:val="22"/>
                <w:szCs w:val="22"/>
              </w:rPr>
              <w:t xml:space="preserve">Li X, et al. </w:t>
            </w:r>
            <w:proofErr w:type="spellStart"/>
            <w:r>
              <w:rPr>
                <w:rStyle w:val="None"/>
                <w:rFonts w:ascii="Times New Roman" w:hAnsi="Times New Roman"/>
                <w:kern w:val="0"/>
                <w:sz w:val="22"/>
                <w:szCs w:val="22"/>
              </w:rPr>
              <w:t>Plectasin</w:t>
            </w:r>
            <w:proofErr w:type="spellEnd"/>
            <w:r>
              <w:rPr>
                <w:rStyle w:val="None"/>
                <w:rFonts w:ascii="Times New Roman" w:hAnsi="Times New Roman"/>
                <w:kern w:val="0"/>
                <w:sz w:val="22"/>
                <w:szCs w:val="22"/>
              </w:rPr>
              <w:t xml:space="preserve">: from evolution to truncation, expression, and better </w:t>
            </w:r>
            <w:proofErr w:type="spellStart"/>
            <w:r>
              <w:rPr>
                <w:rStyle w:val="None"/>
                <w:rFonts w:ascii="Times New Roman" w:hAnsi="Times New Roman"/>
                <w:kern w:val="0"/>
                <w:sz w:val="22"/>
                <w:szCs w:val="22"/>
              </w:rPr>
              <w:t>druggability</w:t>
            </w:r>
            <w:proofErr w:type="spellEnd"/>
            <w:r>
              <w:rPr>
                <w:rStyle w:val="None"/>
                <w:rFonts w:ascii="Times New Roman" w:hAnsi="Times New Roman"/>
                <w:kern w:val="0"/>
                <w:sz w:val="22"/>
                <w:szCs w:val="22"/>
              </w:rPr>
              <w:t xml:space="preserve">.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2023; 14: 1304825. doi:10.3389/fmicb.2023.1304825</w:t>
            </w:r>
          </w:p>
        </w:tc>
      </w:tr>
      <w:tr w:rsidR="00AC305D" w14:paraId="3FC1FF6A" w14:textId="77777777" w:rsidTr="00B71866">
        <w:trPr>
          <w:trHeight w:val="835"/>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2111EAEB" w14:textId="77777777" w:rsidR="00AC305D" w:rsidRDefault="00000000">
            <w:pPr>
              <w:widowControl/>
              <w:jc w:val="left"/>
            </w:pPr>
            <w:r>
              <w:rPr>
                <w:rStyle w:val="None"/>
                <w:rFonts w:ascii="Times New Roman" w:hAnsi="Times New Roman"/>
                <w:kern w:val="0"/>
                <w:sz w:val="22"/>
                <w:szCs w:val="22"/>
              </w:rPr>
              <w:t>3.2</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B4EF963" w14:textId="77777777" w:rsidR="00AC305D" w:rsidRDefault="00000000">
            <w:pPr>
              <w:widowControl/>
              <w:jc w:val="left"/>
            </w:pPr>
            <w:r>
              <w:rPr>
                <w:rStyle w:val="None"/>
                <w:rFonts w:ascii="Times New Roman" w:hAnsi="Times New Roman"/>
                <w:kern w:val="0"/>
                <w:sz w:val="22"/>
                <w:szCs w:val="22"/>
              </w:rPr>
              <w:t xml:space="preserve">Guo X, et al. </w:t>
            </w:r>
            <w:proofErr w:type="spellStart"/>
            <w:r>
              <w:rPr>
                <w:rStyle w:val="None"/>
                <w:rFonts w:ascii="Times New Roman" w:hAnsi="Times New Roman"/>
                <w:kern w:val="0"/>
                <w:sz w:val="22"/>
                <w:szCs w:val="22"/>
              </w:rPr>
              <w:t>Cathelicidin</w:t>
            </w:r>
            <w:proofErr w:type="spellEnd"/>
            <w:r>
              <w:rPr>
                <w:rStyle w:val="None"/>
                <w:rFonts w:ascii="Times New Roman" w:hAnsi="Times New Roman"/>
                <w:kern w:val="0"/>
                <w:sz w:val="22"/>
                <w:szCs w:val="22"/>
              </w:rPr>
              <w:t xml:space="preserve">-derived antiviral peptide inhibits herpes simplex virus 1 infection [published correction appears in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xml:space="preserve">. 2023 Jul 25; 14: 1254775].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2023; 14: 1201505. doi:10.3389/fmicb.2023.1201505</w:t>
            </w:r>
          </w:p>
        </w:tc>
      </w:tr>
      <w:tr w:rsidR="00B71866" w14:paraId="65FAEC1F" w14:textId="77777777" w:rsidTr="00B71866">
        <w:trPr>
          <w:trHeight w:val="793"/>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F9E5B71" w14:textId="138A4535" w:rsidR="00B71866" w:rsidRDefault="00B71866">
            <w:pPr>
              <w:widowControl/>
              <w:jc w:val="left"/>
              <w:rPr>
                <w:rStyle w:val="None"/>
                <w:rFonts w:ascii="Times New Roman" w:hAnsi="Times New Roman"/>
                <w:kern w:val="0"/>
                <w:sz w:val="22"/>
                <w:szCs w:val="22"/>
              </w:rPr>
            </w:pPr>
            <w:r>
              <w:rPr>
                <w:rStyle w:val="None"/>
                <w:rFonts w:ascii="Times New Roman" w:hAnsi="Times New Roman" w:hint="eastAsia"/>
                <w:kern w:val="0"/>
                <w:sz w:val="22"/>
                <w:szCs w:val="22"/>
              </w:rPr>
              <w:t>3.2</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0E4DCD30" w14:textId="77777777" w:rsidR="00B71866" w:rsidRDefault="00B71866" w:rsidP="00B71866">
            <w:pPr>
              <w:widowControl/>
              <w:jc w:val="left"/>
              <w:rPr>
                <w:rStyle w:val="None"/>
                <w:rFonts w:ascii="Times New Roman" w:eastAsia="Times New Roman" w:hAnsi="Times New Roman" w:cs="Times New Roman"/>
                <w:kern w:val="0"/>
                <w:sz w:val="22"/>
                <w:szCs w:val="22"/>
              </w:rPr>
            </w:pPr>
            <w:r>
              <w:rPr>
                <w:rStyle w:val="None"/>
                <w:rFonts w:ascii="Times New Roman" w:hAnsi="Times New Roman"/>
                <w:kern w:val="0"/>
                <w:sz w:val="22"/>
                <w:szCs w:val="22"/>
              </w:rPr>
              <w:t xml:space="preserve">Qu B, et al. Anticancer activities of natural antimicrobial peptides from animals. Front </w:t>
            </w:r>
            <w:proofErr w:type="spellStart"/>
            <w:r>
              <w:rPr>
                <w:rStyle w:val="None"/>
                <w:rFonts w:ascii="Times New Roman" w:hAnsi="Times New Roman"/>
                <w:kern w:val="0"/>
                <w:sz w:val="22"/>
                <w:szCs w:val="22"/>
              </w:rPr>
              <w:t>Microbiol</w:t>
            </w:r>
            <w:proofErr w:type="spellEnd"/>
            <w:r>
              <w:rPr>
                <w:rStyle w:val="None"/>
                <w:rFonts w:ascii="Times New Roman" w:hAnsi="Times New Roman"/>
                <w:kern w:val="0"/>
                <w:sz w:val="22"/>
                <w:szCs w:val="22"/>
              </w:rPr>
              <w:t>. 2024; 14: 1321386. doi:10.3389/fmicb.2023.1321386</w:t>
            </w:r>
          </w:p>
          <w:p w14:paraId="7926F110" w14:textId="77777777" w:rsidR="00B71866" w:rsidRDefault="00B71866">
            <w:pPr>
              <w:widowControl/>
              <w:jc w:val="left"/>
              <w:rPr>
                <w:rStyle w:val="None"/>
                <w:rFonts w:ascii="Times New Roman" w:hAnsi="Times New Roman"/>
                <w:kern w:val="0"/>
                <w:sz w:val="22"/>
                <w:szCs w:val="22"/>
              </w:rPr>
            </w:pPr>
          </w:p>
        </w:tc>
      </w:tr>
      <w:tr w:rsidR="00B71866" w14:paraId="26EAF556" w14:textId="77777777" w:rsidTr="00B71866">
        <w:trPr>
          <w:trHeight w:val="793"/>
        </w:trPr>
        <w:tc>
          <w:tcPr>
            <w:tcW w:w="1134"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0A72752" w14:textId="2128D020" w:rsidR="00B71866" w:rsidRDefault="00B71866">
            <w:pPr>
              <w:widowControl/>
              <w:jc w:val="left"/>
              <w:rPr>
                <w:rStyle w:val="None"/>
                <w:rFonts w:ascii="Times New Roman" w:hAnsi="Times New Roman"/>
                <w:kern w:val="0"/>
                <w:sz w:val="22"/>
                <w:szCs w:val="22"/>
              </w:rPr>
            </w:pPr>
            <w:r>
              <w:rPr>
                <w:rStyle w:val="None"/>
                <w:rFonts w:ascii="Times New Roman" w:hAnsi="Times New Roman" w:hint="eastAsia"/>
                <w:kern w:val="0"/>
                <w:sz w:val="22"/>
                <w:szCs w:val="22"/>
              </w:rPr>
              <w:t>3.2</w:t>
            </w:r>
          </w:p>
        </w:tc>
        <w:tc>
          <w:tcPr>
            <w:tcW w:w="8477" w:type="dxa"/>
            <w:tcBorders>
              <w:top w:val="single" w:sz="12" w:space="0" w:color="000000"/>
              <w:left w:val="single" w:sz="12"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579C6C13" w14:textId="55A179CE" w:rsidR="00B71866" w:rsidRPr="00F74C05" w:rsidRDefault="00B71866">
            <w:pPr>
              <w:widowControl/>
              <w:jc w:val="left"/>
              <w:rPr>
                <w:rStyle w:val="None"/>
                <w:rFonts w:ascii="Times New Roman" w:eastAsia="Times New Roman" w:hAnsi="Times New Roman" w:cs="Times New Roman"/>
                <w:kern w:val="0"/>
                <w:sz w:val="22"/>
                <w:szCs w:val="22"/>
              </w:rPr>
            </w:pPr>
            <w:r>
              <w:rPr>
                <w:rStyle w:val="None"/>
                <w:rFonts w:ascii="Times New Roman" w:hAnsi="Times New Roman"/>
                <w:kern w:val="0"/>
                <w:sz w:val="22"/>
                <w:szCs w:val="22"/>
              </w:rPr>
              <w:t xml:space="preserve">Han Y et al., PAM-1: An antimicrobial peptide with promise against </w:t>
            </w:r>
            <w:proofErr w:type="spellStart"/>
            <w:r>
              <w:rPr>
                <w:rStyle w:val="None"/>
                <w:rFonts w:ascii="Times New Roman" w:hAnsi="Times New Roman"/>
                <w:kern w:val="0"/>
                <w:sz w:val="22"/>
                <w:szCs w:val="22"/>
              </w:rPr>
              <w:t>ceftazidimeavibactam</w:t>
            </w:r>
            <w:proofErr w:type="spellEnd"/>
            <w:r>
              <w:rPr>
                <w:rStyle w:val="None"/>
                <w:rFonts w:ascii="Times New Roman" w:hAnsi="Times New Roman"/>
                <w:kern w:val="0"/>
                <w:sz w:val="22"/>
                <w:szCs w:val="22"/>
              </w:rPr>
              <w:t xml:space="preserve"> resistant </w:t>
            </w:r>
            <w:r w:rsidRPr="00AD39BA">
              <w:rPr>
                <w:rStyle w:val="None"/>
                <w:rFonts w:ascii="Times New Roman" w:hAnsi="Times New Roman"/>
                <w:i/>
                <w:iCs/>
                <w:kern w:val="0"/>
                <w:sz w:val="22"/>
                <w:szCs w:val="22"/>
              </w:rPr>
              <w:t xml:space="preserve">Escherichia coli </w:t>
            </w:r>
            <w:r>
              <w:rPr>
                <w:rStyle w:val="None"/>
                <w:rFonts w:ascii="Times New Roman" w:hAnsi="Times New Roman"/>
                <w:kern w:val="0"/>
                <w:sz w:val="22"/>
                <w:szCs w:val="22"/>
              </w:rPr>
              <w:t>infection</w:t>
            </w:r>
            <w:r w:rsidR="00F74C05">
              <w:rPr>
                <w:rStyle w:val="None"/>
                <w:rFonts w:ascii="Times New Roman" w:hAnsi="Times New Roman" w:hint="eastAsia"/>
                <w:kern w:val="0"/>
                <w:sz w:val="22"/>
                <w:szCs w:val="22"/>
              </w:rPr>
              <w:t>.</w:t>
            </w:r>
            <w:r w:rsidR="00F74C05">
              <w:rPr>
                <w:rStyle w:val="None"/>
                <w:rFonts w:ascii="Times New Roman" w:hAnsi="Times New Roman"/>
                <w:kern w:val="0"/>
                <w:sz w:val="22"/>
                <w:szCs w:val="22"/>
              </w:rPr>
              <w:t xml:space="preserve"> Front </w:t>
            </w:r>
            <w:proofErr w:type="spellStart"/>
            <w:r w:rsidR="00F74C05">
              <w:rPr>
                <w:rStyle w:val="None"/>
                <w:rFonts w:ascii="Times New Roman" w:hAnsi="Times New Roman"/>
                <w:kern w:val="0"/>
                <w:sz w:val="22"/>
                <w:szCs w:val="22"/>
              </w:rPr>
              <w:t>Microbiol</w:t>
            </w:r>
            <w:proofErr w:type="spellEnd"/>
            <w:r w:rsidR="00F74C05">
              <w:rPr>
                <w:rStyle w:val="None"/>
                <w:rFonts w:ascii="Times New Roman" w:hAnsi="Times New Roman"/>
                <w:kern w:val="0"/>
                <w:sz w:val="22"/>
                <w:szCs w:val="22"/>
              </w:rPr>
              <w:t>.</w:t>
            </w:r>
            <w:r w:rsidR="0037310C">
              <w:rPr>
                <w:rStyle w:val="None"/>
                <w:rFonts w:ascii="Times New Roman" w:hAnsi="Times New Roman" w:hint="eastAsia"/>
                <w:kern w:val="0"/>
                <w:sz w:val="22"/>
                <w:szCs w:val="22"/>
              </w:rPr>
              <w:t xml:space="preserve"> </w:t>
            </w:r>
            <w:r w:rsidR="00F74C05">
              <w:rPr>
                <w:rStyle w:val="None"/>
                <w:rFonts w:ascii="Times New Roman" w:hAnsi="Times New Roman" w:hint="eastAsia"/>
                <w:kern w:val="0"/>
                <w:sz w:val="22"/>
                <w:szCs w:val="22"/>
              </w:rPr>
              <w:t>2024</w:t>
            </w:r>
            <w:r w:rsidR="0037310C">
              <w:rPr>
                <w:rStyle w:val="None"/>
                <w:rFonts w:ascii="Times New Roman" w:hAnsi="Times New Roman" w:hint="eastAsia"/>
                <w:kern w:val="0"/>
                <w:sz w:val="22"/>
                <w:szCs w:val="22"/>
              </w:rPr>
              <w:t xml:space="preserve">; </w:t>
            </w:r>
            <w:r w:rsidR="00F74C05" w:rsidRPr="00F74C05">
              <w:rPr>
                <w:rStyle w:val="None"/>
                <w:rFonts w:ascii="Times New Roman" w:hAnsi="Times New Roman"/>
                <w:kern w:val="0"/>
                <w:sz w:val="22"/>
                <w:szCs w:val="22"/>
              </w:rPr>
              <w:t>15:</w:t>
            </w:r>
            <w:r w:rsidR="0037310C">
              <w:rPr>
                <w:rStyle w:val="None"/>
                <w:rFonts w:ascii="Times New Roman" w:hAnsi="Times New Roman" w:hint="eastAsia"/>
                <w:kern w:val="0"/>
                <w:sz w:val="22"/>
                <w:szCs w:val="22"/>
              </w:rPr>
              <w:t xml:space="preserve"> </w:t>
            </w:r>
            <w:r w:rsidR="00F74C05" w:rsidRPr="00F74C05">
              <w:rPr>
                <w:rStyle w:val="None"/>
                <w:rFonts w:ascii="Times New Roman" w:hAnsi="Times New Roman"/>
                <w:kern w:val="0"/>
                <w:sz w:val="22"/>
                <w:szCs w:val="22"/>
              </w:rPr>
              <w:t>1291876.</w:t>
            </w:r>
            <w:r w:rsidR="00F74C05">
              <w:rPr>
                <w:rStyle w:val="None"/>
                <w:rFonts w:ascii="Times New Roman" w:eastAsiaTheme="minorEastAsia" w:hAnsi="Times New Roman" w:cs="Times New Roman" w:hint="eastAsia"/>
                <w:kern w:val="0"/>
                <w:sz w:val="22"/>
                <w:szCs w:val="22"/>
              </w:rPr>
              <w:t xml:space="preserve"> </w:t>
            </w:r>
            <w:r w:rsidR="00F74C05">
              <w:rPr>
                <w:rStyle w:val="None"/>
                <w:rFonts w:ascii="Times New Roman" w:hAnsi="Times New Roman" w:hint="eastAsia"/>
                <w:kern w:val="0"/>
                <w:sz w:val="22"/>
                <w:szCs w:val="22"/>
              </w:rPr>
              <w:t>d</w:t>
            </w:r>
            <w:r w:rsidR="00F74C05" w:rsidRPr="00F74C05">
              <w:rPr>
                <w:rStyle w:val="None"/>
                <w:rFonts w:ascii="Times New Roman" w:hAnsi="Times New Roman"/>
                <w:kern w:val="0"/>
                <w:sz w:val="22"/>
                <w:szCs w:val="22"/>
              </w:rPr>
              <w:t>oi.org/10.3389/fmicb.2024.1291876</w:t>
            </w:r>
          </w:p>
        </w:tc>
      </w:tr>
    </w:tbl>
    <w:p w14:paraId="1070650B" w14:textId="77777777" w:rsidR="00AC305D" w:rsidRDefault="00AC305D">
      <w:pPr>
        <w:pStyle w:val="EndNoteBibliography"/>
        <w:ind w:left="216" w:hanging="216"/>
        <w:rPr>
          <w:rStyle w:val="Hyperlink6"/>
          <w:rFonts w:eastAsia="等线"/>
          <w:sz w:val="21"/>
          <w:szCs w:val="21"/>
        </w:rPr>
      </w:pPr>
    </w:p>
    <w:p w14:paraId="72A229B3" w14:textId="77777777" w:rsidR="00F023EC" w:rsidRDefault="00F023EC" w:rsidP="00F023EC">
      <w:pPr>
        <w:widowControl/>
        <w:spacing w:line="360" w:lineRule="auto"/>
        <w:rPr>
          <w:rStyle w:val="None"/>
          <w:rFonts w:ascii="Times New Roman" w:eastAsia="Times New Roman" w:hAnsi="Times New Roman" w:cs="Times New Roman"/>
          <w:b/>
          <w:bCs/>
        </w:rPr>
      </w:pPr>
      <w:r>
        <w:rPr>
          <w:rStyle w:val="None"/>
          <w:rFonts w:ascii="Times New Roman" w:hAnsi="Times New Roman"/>
          <w:b/>
          <w:bCs/>
        </w:rPr>
        <w:t xml:space="preserve">Author contributions </w:t>
      </w:r>
      <w:proofErr w:type="gramStart"/>
      <w:r>
        <w:rPr>
          <w:rStyle w:val="Hyperlink6"/>
          <w:rFonts w:eastAsia="等线"/>
        </w:rPr>
        <w:t>The</w:t>
      </w:r>
      <w:proofErr w:type="gramEnd"/>
      <w:r>
        <w:rPr>
          <w:rStyle w:val="Hyperlink6"/>
          <w:rFonts w:eastAsia="等线"/>
        </w:rPr>
        <w:t xml:space="preserve"> first draft text of this editorial was written by XM as assistant of JW and his co-editors with their guide and</w:t>
      </w:r>
      <w:r>
        <w:rPr>
          <w:rStyle w:val="NoneB"/>
        </w:rPr>
        <w:t xml:space="preserve"> </w:t>
      </w:r>
      <w:r>
        <w:rPr>
          <w:rStyle w:val="Hyperlink6"/>
          <w:rFonts w:eastAsia="等线"/>
        </w:rPr>
        <w:t>direction. All authors contributed to the article and approved the submitted version.</w:t>
      </w:r>
    </w:p>
    <w:p w14:paraId="5226A3D9" w14:textId="77777777" w:rsidR="00F023EC" w:rsidRDefault="00F023EC" w:rsidP="00F023EC">
      <w:pPr>
        <w:widowControl/>
        <w:spacing w:line="360" w:lineRule="auto"/>
        <w:rPr>
          <w:rStyle w:val="None"/>
          <w:rFonts w:ascii="Times New Roman" w:eastAsia="Times New Roman" w:hAnsi="Times New Roman" w:cs="Times New Roman"/>
          <w:b/>
          <w:bCs/>
        </w:rPr>
      </w:pPr>
    </w:p>
    <w:p w14:paraId="2F68A45C" w14:textId="77777777" w:rsidR="00F023EC" w:rsidRDefault="00F023EC" w:rsidP="00F023EC">
      <w:pPr>
        <w:widowControl/>
        <w:spacing w:line="360" w:lineRule="auto"/>
        <w:rPr>
          <w:rStyle w:val="Hyperlink6"/>
          <w:rFonts w:eastAsia="等线"/>
        </w:rPr>
      </w:pPr>
      <w:r>
        <w:rPr>
          <w:rStyle w:val="None"/>
          <w:rFonts w:ascii="Times New Roman" w:hAnsi="Times New Roman"/>
          <w:b/>
          <w:bCs/>
        </w:rPr>
        <w:t>Funding</w:t>
      </w:r>
      <w:r>
        <w:rPr>
          <w:rStyle w:val="Hyperlink6"/>
          <w:rFonts w:eastAsia="等线"/>
        </w:rPr>
        <w:t xml:space="preserve"> This work was supported by the National Natural Science Foundation of China (Grants No. 31872393, 2018–2022), National Key R&amp;D Plan - High Expression of Thiopeptides and their Analogs (2022YFC2105000-03, 2022–2026), the National Agricultural Science and Technology Innovation Program (ASTIP) of Chinese Academy of Agricultural Sciences (CAAS-ASTIP-2017-FRI-02, 2013), and its key projects of Alternatives to Antibiotics for Animal (Grant No. CAAS-ZDRW202111, 2021–2023) and Feed (Grant No. CAASZDXT2018008, 2018–2020) Usages. OF was supported by CAPES, </w:t>
      </w:r>
      <w:proofErr w:type="spellStart"/>
      <w:r>
        <w:rPr>
          <w:rStyle w:val="Hyperlink6"/>
          <w:rFonts w:eastAsia="等线"/>
        </w:rPr>
        <w:t>CNPq</w:t>
      </w:r>
      <w:proofErr w:type="spellEnd"/>
      <w:r>
        <w:rPr>
          <w:rStyle w:val="Hyperlink6"/>
          <w:rFonts w:eastAsia="等线"/>
        </w:rPr>
        <w:t xml:space="preserve">, FAPDF, and </w:t>
      </w:r>
      <w:r>
        <w:rPr>
          <w:rStyle w:val="Hyperlink6"/>
          <w:rFonts w:eastAsia="等线"/>
        </w:rPr>
        <w:lastRenderedPageBreak/>
        <w:t>FUNDECT. CF-N was supported by the AIChE Foundation, a BBRF Young Investigator Grant, the Dean’s Innovation Fund of the Perelman School of Medicine at the University of Pennsylvania, and other funds from the National Institute of General Medical Sciences of the National Institutes of Health (R35GM138201) and the Defense Threat Reduction Agency (DTRA; HDTRA11810041 and HDTRA1-21-1-0014). GW was supported by funds from National Institute of General Medical Sciences (R01</w:t>
      </w:r>
      <w:r>
        <w:rPr>
          <w:rStyle w:val="None"/>
          <w:rFonts w:ascii="Times New Roman" w:hAnsi="Times New Roman"/>
          <w:sz w:val="24"/>
          <w:szCs w:val="24"/>
        </w:rPr>
        <w:t>GM138552</w:t>
      </w:r>
      <w:r>
        <w:rPr>
          <w:rStyle w:val="Hyperlink6"/>
          <w:rFonts w:eastAsia="等线"/>
        </w:rPr>
        <w:t>) and National Institute of Allergy and Infectious Diseases (R56</w:t>
      </w:r>
      <w:r>
        <w:rPr>
          <w:rStyle w:val="None"/>
          <w:rFonts w:ascii="Times New Roman" w:hAnsi="Times New Roman"/>
          <w:sz w:val="24"/>
          <w:szCs w:val="24"/>
        </w:rPr>
        <w:t>AI175209)</w:t>
      </w:r>
      <w:r>
        <w:rPr>
          <w:rStyle w:val="Hyperlink6"/>
          <w:rFonts w:eastAsia="等线"/>
        </w:rPr>
        <w:t>, the National Institutes of Health, USA as well as Chair, Department of Pathology, Microbiology, and Immunology of the University of Nebraska Medical Center (Omaha, Nebraska, USA) for the cost of maintenance of the Antimicrobial Peptide Database (</w:t>
      </w:r>
      <w:hyperlink r:id="rId8" w:history="1">
        <w:r>
          <w:rPr>
            <w:rStyle w:val="Hyperlink8"/>
            <w:rFonts w:eastAsia="等线"/>
          </w:rPr>
          <w:t>https://aps.unmc.edu</w:t>
        </w:r>
      </w:hyperlink>
      <w:r>
        <w:rPr>
          <w:rStyle w:val="Hyperlink6"/>
          <w:rFonts w:eastAsia="等线"/>
        </w:rPr>
        <w:t xml:space="preserve">). This manuscript documents the opinions of the authors/editors and does not represent the funding agencies.   </w:t>
      </w:r>
    </w:p>
    <w:p w14:paraId="5C761FCF" w14:textId="77777777" w:rsidR="00F023EC" w:rsidRDefault="00F023EC" w:rsidP="00F023EC">
      <w:pPr>
        <w:widowControl/>
        <w:spacing w:line="360" w:lineRule="auto"/>
        <w:rPr>
          <w:rStyle w:val="None"/>
          <w:rFonts w:ascii="Times New Roman" w:eastAsia="Times New Roman" w:hAnsi="Times New Roman" w:cs="Times New Roman"/>
          <w:b/>
          <w:bCs/>
        </w:rPr>
      </w:pPr>
    </w:p>
    <w:p w14:paraId="3AAF1F7E" w14:textId="77777777" w:rsidR="00F023EC" w:rsidRDefault="00F023EC" w:rsidP="00F023EC">
      <w:pPr>
        <w:widowControl/>
        <w:spacing w:line="360" w:lineRule="auto"/>
        <w:rPr>
          <w:rStyle w:val="Hyperlink6"/>
          <w:rFonts w:eastAsia="等线"/>
        </w:rPr>
      </w:pPr>
      <w:r>
        <w:rPr>
          <w:rStyle w:val="None"/>
          <w:rFonts w:ascii="Times New Roman" w:hAnsi="Times New Roman"/>
          <w:b/>
          <w:bCs/>
        </w:rPr>
        <w:t>Acknowledgments</w:t>
      </w:r>
      <w:r>
        <w:rPr>
          <w:rStyle w:val="Hyperlink6"/>
          <w:rFonts w:eastAsia="等线"/>
        </w:rPr>
        <w:t xml:space="preserve"> We would like to sincerely thank a total of 192 authors of 23 papers and over 80 peer editors and reviewers for their valuable professional contributions into this Research Topic Antimicrobial Peptides and their </w:t>
      </w:r>
      <w:proofErr w:type="spellStart"/>
      <w:r>
        <w:rPr>
          <w:rStyle w:val="Hyperlink6"/>
          <w:rFonts w:eastAsia="等线"/>
        </w:rPr>
        <w:t>Druggability</w:t>
      </w:r>
      <w:proofErr w:type="spellEnd"/>
      <w:r>
        <w:rPr>
          <w:rStyle w:val="Hyperlink6"/>
          <w:rFonts w:eastAsia="等线"/>
        </w:rPr>
        <w:t>, Bio-safety, Stability, and Resistance, along with the staff of Frontiers in Microbiology, and also team supports of five Topic editors JW, RA, OF, CF-N and GW.</w:t>
      </w:r>
    </w:p>
    <w:p w14:paraId="6B57EFB3" w14:textId="77777777" w:rsidR="00F023EC" w:rsidRDefault="00F023EC" w:rsidP="00F023EC">
      <w:pPr>
        <w:widowControl/>
        <w:spacing w:line="360" w:lineRule="auto"/>
        <w:rPr>
          <w:rStyle w:val="None"/>
          <w:rFonts w:ascii="Times New Roman" w:eastAsia="Times New Roman" w:hAnsi="Times New Roman" w:cs="Times New Roman"/>
          <w:b/>
          <w:bCs/>
        </w:rPr>
      </w:pPr>
    </w:p>
    <w:p w14:paraId="69246AC5" w14:textId="522F2F17" w:rsidR="00C87A6D" w:rsidRPr="00C87A6D" w:rsidRDefault="00F023EC" w:rsidP="00C87A6D">
      <w:pPr>
        <w:widowControl/>
        <w:spacing w:line="360" w:lineRule="auto"/>
        <w:rPr>
          <w:rStyle w:val="None"/>
          <w:rFonts w:ascii="Times New Roman" w:hAnsi="Times New Roman"/>
          <w:b/>
          <w:bCs/>
        </w:rPr>
      </w:pPr>
      <w:r>
        <w:rPr>
          <w:rStyle w:val="None"/>
          <w:rFonts w:ascii="Times New Roman" w:hAnsi="Times New Roman"/>
          <w:b/>
          <w:bCs/>
        </w:rPr>
        <w:t>Conflict of interest:</w:t>
      </w:r>
    </w:p>
    <w:p w14:paraId="4A436B69" w14:textId="77777777" w:rsidR="00C87A6D" w:rsidRPr="00C87A6D" w:rsidRDefault="00C87A6D" w:rsidP="00C87A6D">
      <w:pPr>
        <w:widowControl/>
        <w:spacing w:line="360" w:lineRule="auto"/>
        <w:rPr>
          <w:rStyle w:val="Hyperlink6"/>
          <w:rFonts w:eastAsia="等线"/>
        </w:rPr>
      </w:pPr>
      <w:r w:rsidRPr="00C87A6D">
        <w:rPr>
          <w:rStyle w:val="Hyperlink6"/>
          <w:rFonts w:eastAsia="等线"/>
        </w:rPr>
        <w:t>OF was employed by S-Inova Biotech.</w:t>
      </w:r>
    </w:p>
    <w:p w14:paraId="644C0EF9" w14:textId="66690D36" w:rsidR="00C87A6D" w:rsidRPr="00C87A6D" w:rsidRDefault="00C87A6D" w:rsidP="00C87A6D">
      <w:pPr>
        <w:widowControl/>
        <w:spacing w:line="360" w:lineRule="auto"/>
        <w:rPr>
          <w:rStyle w:val="Hyperlink6"/>
          <w:rFonts w:eastAsia="等线"/>
        </w:rPr>
      </w:pPr>
      <w:r w:rsidRPr="00C87A6D">
        <w:rPr>
          <w:rStyle w:val="Hyperlink6"/>
          <w:rFonts w:eastAsia="等线"/>
        </w:rPr>
        <w:t>The remaining authors declare that the research was conducted</w:t>
      </w:r>
      <w:r>
        <w:rPr>
          <w:rStyle w:val="Hyperlink6"/>
          <w:rFonts w:eastAsia="等线" w:hint="eastAsia"/>
        </w:rPr>
        <w:t xml:space="preserve"> </w:t>
      </w:r>
      <w:r w:rsidRPr="00C87A6D">
        <w:rPr>
          <w:rStyle w:val="Hyperlink6"/>
          <w:rFonts w:eastAsia="等线"/>
        </w:rPr>
        <w:t>in the absence of any commercial or financial relationships that</w:t>
      </w:r>
      <w:r>
        <w:rPr>
          <w:rStyle w:val="Hyperlink6"/>
          <w:rFonts w:eastAsia="等线" w:hint="eastAsia"/>
        </w:rPr>
        <w:t xml:space="preserve"> </w:t>
      </w:r>
      <w:r w:rsidRPr="00C87A6D">
        <w:rPr>
          <w:rStyle w:val="Hyperlink6"/>
          <w:rFonts w:eastAsia="等线"/>
        </w:rPr>
        <w:t>could be construed as a potential conflict of interest.</w:t>
      </w:r>
    </w:p>
    <w:p w14:paraId="1080312A" w14:textId="77777777" w:rsidR="00F023EC" w:rsidRDefault="00C87A6D" w:rsidP="00F023EC">
      <w:pPr>
        <w:widowControl/>
        <w:spacing w:line="360" w:lineRule="auto"/>
        <w:rPr>
          <w:rStyle w:val="Hyperlink6"/>
          <w:rFonts w:eastAsia="等线"/>
        </w:rPr>
      </w:pPr>
      <w:r w:rsidRPr="00C87A6D">
        <w:rPr>
          <w:rStyle w:val="Hyperlink6"/>
          <w:rFonts w:eastAsia="等线"/>
        </w:rPr>
        <w:t>The author(s) declared that they were an editorial board</w:t>
      </w:r>
      <w:r>
        <w:rPr>
          <w:rStyle w:val="Hyperlink6"/>
          <w:rFonts w:eastAsia="等线" w:hint="eastAsia"/>
        </w:rPr>
        <w:t xml:space="preserve"> </w:t>
      </w:r>
      <w:r w:rsidRPr="00C87A6D">
        <w:rPr>
          <w:rStyle w:val="Hyperlink6"/>
          <w:rFonts w:eastAsia="等线"/>
        </w:rPr>
        <w:t>member of Frontiers, at the time of submission. This had no impact</w:t>
      </w:r>
      <w:r>
        <w:rPr>
          <w:rStyle w:val="Hyperlink6"/>
          <w:rFonts w:eastAsia="等线" w:hint="eastAsia"/>
        </w:rPr>
        <w:t xml:space="preserve"> </w:t>
      </w:r>
      <w:r w:rsidRPr="00C87A6D">
        <w:rPr>
          <w:rStyle w:val="Hyperlink6"/>
          <w:rFonts w:eastAsia="等线"/>
        </w:rPr>
        <w:t>on the peer review process and the final decision</w:t>
      </w:r>
      <w:r>
        <w:rPr>
          <w:rStyle w:val="Hyperlink6"/>
          <w:rFonts w:eastAsia="等线" w:hint="eastAsia"/>
        </w:rPr>
        <w:t>.</w:t>
      </w:r>
    </w:p>
    <w:p w14:paraId="410B37D0" w14:textId="77777777" w:rsidR="00C87A6D" w:rsidRPr="00C87A6D" w:rsidRDefault="00C87A6D" w:rsidP="00F023EC">
      <w:pPr>
        <w:widowControl/>
        <w:spacing w:line="360" w:lineRule="auto"/>
        <w:rPr>
          <w:rStyle w:val="None"/>
          <w:rFonts w:ascii="Times New Roman" w:hAnsi="Times New Roman" w:cs="Times New Roman"/>
        </w:rPr>
      </w:pPr>
    </w:p>
    <w:p w14:paraId="0452462D" w14:textId="3BF40EE6" w:rsidR="00F023EC" w:rsidRDefault="00F023EC" w:rsidP="00F023EC">
      <w:pPr>
        <w:widowControl/>
        <w:spacing w:line="360" w:lineRule="auto"/>
        <w:rPr>
          <w:rStyle w:val="Hyperlink6"/>
          <w:rFonts w:eastAsia="等线"/>
        </w:rPr>
      </w:pPr>
      <w:r>
        <w:rPr>
          <w:rStyle w:val="None"/>
          <w:rFonts w:ascii="Times New Roman" w:hAnsi="Times New Roman"/>
          <w:b/>
          <w:bCs/>
        </w:rPr>
        <w:t>Publisher’s note</w:t>
      </w:r>
      <w:r>
        <w:rPr>
          <w:rStyle w:val="Hyperlink6"/>
          <w:rFonts w:eastAsia="等线"/>
        </w:rPr>
        <w:t>: All claims expressed in this article are solely those of the authors and do not necessarily represent those of their affiliated organizations, or those of the publisher, the editors and the reviewers. Any product that may be evaluated in this article, or claim that may be made by its manufacturer, is not guaranteed or endorsed by the publisher.</w:t>
      </w:r>
    </w:p>
    <w:p w14:paraId="42E1212D" w14:textId="7ADFE5BA" w:rsidR="00AC305D" w:rsidRPr="00F023EC" w:rsidRDefault="00A252C8">
      <w:pPr>
        <w:widowControl/>
        <w:jc w:val="left"/>
        <w:rPr>
          <w:rFonts w:eastAsiaTheme="minorEastAsia"/>
        </w:rPr>
      </w:pPr>
      <w:r>
        <w:rPr>
          <w:rFonts w:eastAsiaTheme="minorEastAsia" w:hint="eastAsia"/>
        </w:rPr>
        <w:t>(END)</w:t>
      </w:r>
    </w:p>
    <w:sectPr w:rsidR="00AC305D" w:rsidRPr="00F023EC">
      <w:headerReference w:type="default" r:id="rId9"/>
      <w:pgSz w:w="11900" w:h="16840"/>
      <w:pgMar w:top="1800" w:right="1440" w:bottom="1800" w:left="144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4C4A95" w14:textId="77777777" w:rsidR="005A1F88" w:rsidRDefault="005A1F88">
      <w:r>
        <w:separator/>
      </w:r>
    </w:p>
  </w:endnote>
  <w:endnote w:type="continuationSeparator" w:id="0">
    <w:p w14:paraId="59607813" w14:textId="77777777" w:rsidR="005A1F88" w:rsidRDefault="005A1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Helvetica Neue">
    <w:altName w:val="Arial"/>
    <w:charset w:val="00"/>
    <w:family w:val="roman"/>
    <w:pitch w:val="default"/>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A651C" w14:textId="77777777" w:rsidR="00AC305D" w:rsidRDefault="00000000">
    <w:pPr>
      <w:tabs>
        <w:tab w:val="left" w:pos="622"/>
      </w:tabs>
    </w:pPr>
    <w:r>
      <w:rPr>
        <w:rFonts w:ascii="等线 Light" w:eastAsia="等线 Light" w:hAnsi="等线 Light" w:cs="等线 Light"/>
        <w:color w:val="0F4761"/>
        <w:sz w:val="26"/>
        <w:szCs w:val="26"/>
        <w:u w:color="0F4761"/>
      </w:rPr>
      <w:fldChar w:fldCharType="begin"/>
    </w:r>
    <w:r>
      <w:rPr>
        <w:rFonts w:ascii="等线 Light" w:eastAsia="等线 Light" w:hAnsi="等线 Light" w:cs="等线 Light"/>
        <w:color w:val="0F4761"/>
        <w:sz w:val="26"/>
        <w:szCs w:val="26"/>
        <w:u w:color="0F4761"/>
      </w:rPr>
      <w:instrText xml:space="preserve"> PAGE </w:instrText>
    </w:r>
    <w:r>
      <w:rPr>
        <w:rFonts w:ascii="等线 Light" w:eastAsia="等线 Light" w:hAnsi="等线 Light" w:cs="等线 Light"/>
        <w:color w:val="0F4761"/>
        <w:sz w:val="26"/>
        <w:szCs w:val="26"/>
        <w:u w:color="0F4761"/>
      </w:rPr>
      <w:fldChar w:fldCharType="separate"/>
    </w:r>
    <w:r w:rsidR="002C23A0">
      <w:rPr>
        <w:rFonts w:ascii="等线 Light" w:eastAsia="等线 Light" w:hAnsi="等线 Light" w:cs="等线 Light"/>
        <w:noProof/>
        <w:color w:val="0F4761"/>
        <w:sz w:val="26"/>
        <w:szCs w:val="26"/>
        <w:u w:color="0F4761"/>
      </w:rPr>
      <w:t>1</w:t>
    </w:r>
    <w:r>
      <w:rPr>
        <w:rFonts w:ascii="等线 Light" w:eastAsia="等线 Light" w:hAnsi="等线 Light" w:cs="等线 Light"/>
        <w:color w:val="0F4761"/>
        <w:sz w:val="26"/>
        <w:szCs w:val="26"/>
        <w:u w:color="0F476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88F3AD" w14:textId="77777777" w:rsidR="005A1F88" w:rsidRDefault="005A1F88">
      <w:r>
        <w:separator/>
      </w:r>
    </w:p>
  </w:footnote>
  <w:footnote w:type="continuationSeparator" w:id="0">
    <w:p w14:paraId="5B2463E2" w14:textId="77777777" w:rsidR="005A1F88" w:rsidRDefault="005A1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06B3B" w14:textId="77777777" w:rsidR="00AC305D" w:rsidRDefault="00AC305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43D88"/>
    <w:multiLevelType w:val="multilevel"/>
    <w:tmpl w:val="50F8A310"/>
    <w:numStyleLink w:val="ImportedStyle1"/>
  </w:abstractNum>
  <w:abstractNum w:abstractNumId="1" w15:restartNumberingAfterBreak="0">
    <w:nsid w:val="24FA4C9B"/>
    <w:multiLevelType w:val="multilevel"/>
    <w:tmpl w:val="50F8A310"/>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122543B"/>
    <w:multiLevelType w:val="multilevel"/>
    <w:tmpl w:val="4C6EAAD8"/>
    <w:styleLink w:val="ImportedStyle10"/>
    <w:lvl w:ilvl="0">
      <w:start w:val="1"/>
      <w:numFmt w:val="decimal"/>
      <w:lvlText w:val="%1."/>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3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20" w:hanging="720"/>
      </w:pPr>
      <w:rPr>
        <w:rFonts w:hAnsi="Arial Unicode MS"/>
        <w:i/>
        <w:i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1080" w:hanging="1080"/>
      </w:pPr>
      <w:rPr>
        <w:rFonts w:hAnsi="Arial Unicode MS"/>
        <w:i/>
        <w:i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1440" w:hanging="144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44A2D3C"/>
    <w:multiLevelType w:val="hybridMultilevel"/>
    <w:tmpl w:val="1A5477A8"/>
    <w:numStyleLink w:val="Numbered"/>
  </w:abstractNum>
  <w:abstractNum w:abstractNumId="4" w15:restartNumberingAfterBreak="0">
    <w:nsid w:val="69AE0C74"/>
    <w:multiLevelType w:val="multilevel"/>
    <w:tmpl w:val="4C6EAAD8"/>
    <w:numStyleLink w:val="ImportedStyle10"/>
  </w:abstractNum>
  <w:abstractNum w:abstractNumId="5" w15:restartNumberingAfterBreak="0">
    <w:nsid w:val="6C430DCC"/>
    <w:multiLevelType w:val="hybridMultilevel"/>
    <w:tmpl w:val="1A5477A8"/>
    <w:styleLink w:val="Numbered"/>
    <w:lvl w:ilvl="0" w:tplc="D8EE9F64">
      <w:start w:val="1"/>
      <w:numFmt w:val="decimal"/>
      <w:lvlText w:val="%1."/>
      <w:lvlJc w:val="left"/>
      <w:pPr>
        <w:tabs>
          <w:tab w:val="num" w:pos="641"/>
        </w:tabs>
        <w:ind w:left="221" w:firstLine="199"/>
      </w:pPr>
      <w:rPr>
        <w:rFonts w:hAnsi="Arial Unicode MS"/>
        <w:caps w:val="0"/>
        <w:smallCaps w:val="0"/>
        <w:strike w:val="0"/>
        <w:dstrike w:val="0"/>
        <w:outline w:val="0"/>
        <w:emboss w:val="0"/>
        <w:imprint w:val="0"/>
        <w:spacing w:val="0"/>
        <w:w w:val="100"/>
        <w:kern w:val="0"/>
        <w:position w:val="0"/>
        <w:highlight w:val="none"/>
        <w:vertAlign w:val="baseline"/>
      </w:rPr>
    </w:lvl>
    <w:lvl w:ilvl="1" w:tplc="6308B820">
      <w:start w:val="1"/>
      <w:numFmt w:val="decimal"/>
      <w:lvlText w:val="%2."/>
      <w:lvlJc w:val="left"/>
      <w:pPr>
        <w:tabs>
          <w:tab w:val="left" w:pos="641"/>
          <w:tab w:val="num" w:pos="1441"/>
        </w:tabs>
        <w:ind w:left="1021" w:firstLine="199"/>
      </w:pPr>
      <w:rPr>
        <w:rFonts w:hAnsi="Arial Unicode MS"/>
        <w:caps w:val="0"/>
        <w:smallCaps w:val="0"/>
        <w:strike w:val="0"/>
        <w:dstrike w:val="0"/>
        <w:outline w:val="0"/>
        <w:emboss w:val="0"/>
        <w:imprint w:val="0"/>
        <w:spacing w:val="0"/>
        <w:w w:val="100"/>
        <w:kern w:val="0"/>
        <w:position w:val="0"/>
        <w:highlight w:val="none"/>
        <w:vertAlign w:val="baseline"/>
      </w:rPr>
    </w:lvl>
    <w:lvl w:ilvl="2" w:tplc="57B65C76">
      <w:start w:val="1"/>
      <w:numFmt w:val="decimal"/>
      <w:lvlText w:val="%3."/>
      <w:lvlJc w:val="left"/>
      <w:pPr>
        <w:tabs>
          <w:tab w:val="left" w:pos="641"/>
          <w:tab w:val="num" w:pos="2241"/>
        </w:tabs>
        <w:ind w:left="1821" w:firstLine="199"/>
      </w:pPr>
      <w:rPr>
        <w:rFonts w:hAnsi="Arial Unicode MS"/>
        <w:caps w:val="0"/>
        <w:smallCaps w:val="0"/>
        <w:strike w:val="0"/>
        <w:dstrike w:val="0"/>
        <w:outline w:val="0"/>
        <w:emboss w:val="0"/>
        <w:imprint w:val="0"/>
        <w:spacing w:val="0"/>
        <w:w w:val="100"/>
        <w:kern w:val="0"/>
        <w:position w:val="0"/>
        <w:highlight w:val="none"/>
        <w:vertAlign w:val="baseline"/>
      </w:rPr>
    </w:lvl>
    <w:lvl w:ilvl="3" w:tplc="7004BC60">
      <w:start w:val="1"/>
      <w:numFmt w:val="decimal"/>
      <w:lvlText w:val="%4."/>
      <w:lvlJc w:val="left"/>
      <w:pPr>
        <w:tabs>
          <w:tab w:val="left" w:pos="641"/>
          <w:tab w:val="num" w:pos="3041"/>
        </w:tabs>
        <w:ind w:left="2621" w:firstLine="199"/>
      </w:pPr>
      <w:rPr>
        <w:rFonts w:hAnsi="Arial Unicode MS"/>
        <w:caps w:val="0"/>
        <w:smallCaps w:val="0"/>
        <w:strike w:val="0"/>
        <w:dstrike w:val="0"/>
        <w:outline w:val="0"/>
        <w:emboss w:val="0"/>
        <w:imprint w:val="0"/>
        <w:spacing w:val="0"/>
        <w:w w:val="100"/>
        <w:kern w:val="0"/>
        <w:position w:val="0"/>
        <w:highlight w:val="none"/>
        <w:vertAlign w:val="baseline"/>
      </w:rPr>
    </w:lvl>
    <w:lvl w:ilvl="4" w:tplc="62BAFF1A">
      <w:start w:val="1"/>
      <w:numFmt w:val="decimal"/>
      <w:lvlText w:val="%5."/>
      <w:lvlJc w:val="left"/>
      <w:pPr>
        <w:tabs>
          <w:tab w:val="left" w:pos="641"/>
          <w:tab w:val="num" w:pos="3841"/>
        </w:tabs>
        <w:ind w:left="3421" w:firstLine="199"/>
      </w:pPr>
      <w:rPr>
        <w:rFonts w:hAnsi="Arial Unicode MS"/>
        <w:caps w:val="0"/>
        <w:smallCaps w:val="0"/>
        <w:strike w:val="0"/>
        <w:dstrike w:val="0"/>
        <w:outline w:val="0"/>
        <w:emboss w:val="0"/>
        <w:imprint w:val="0"/>
        <w:spacing w:val="0"/>
        <w:w w:val="100"/>
        <w:kern w:val="0"/>
        <w:position w:val="0"/>
        <w:highlight w:val="none"/>
        <w:vertAlign w:val="baseline"/>
      </w:rPr>
    </w:lvl>
    <w:lvl w:ilvl="5" w:tplc="2E32A63E">
      <w:start w:val="1"/>
      <w:numFmt w:val="decimal"/>
      <w:lvlText w:val="%6."/>
      <w:lvlJc w:val="left"/>
      <w:pPr>
        <w:tabs>
          <w:tab w:val="left" w:pos="641"/>
          <w:tab w:val="num" w:pos="4641"/>
        </w:tabs>
        <w:ind w:left="4221" w:firstLine="199"/>
      </w:pPr>
      <w:rPr>
        <w:rFonts w:hAnsi="Arial Unicode MS"/>
        <w:caps w:val="0"/>
        <w:smallCaps w:val="0"/>
        <w:strike w:val="0"/>
        <w:dstrike w:val="0"/>
        <w:outline w:val="0"/>
        <w:emboss w:val="0"/>
        <w:imprint w:val="0"/>
        <w:spacing w:val="0"/>
        <w:w w:val="100"/>
        <w:kern w:val="0"/>
        <w:position w:val="0"/>
        <w:highlight w:val="none"/>
        <w:vertAlign w:val="baseline"/>
      </w:rPr>
    </w:lvl>
    <w:lvl w:ilvl="6" w:tplc="2050113E">
      <w:start w:val="1"/>
      <w:numFmt w:val="decimal"/>
      <w:lvlText w:val="%7."/>
      <w:lvlJc w:val="left"/>
      <w:pPr>
        <w:tabs>
          <w:tab w:val="left" w:pos="641"/>
          <w:tab w:val="num" w:pos="5441"/>
        </w:tabs>
        <w:ind w:left="5021" w:firstLine="199"/>
      </w:pPr>
      <w:rPr>
        <w:rFonts w:hAnsi="Arial Unicode MS"/>
        <w:caps w:val="0"/>
        <w:smallCaps w:val="0"/>
        <w:strike w:val="0"/>
        <w:dstrike w:val="0"/>
        <w:outline w:val="0"/>
        <w:emboss w:val="0"/>
        <w:imprint w:val="0"/>
        <w:spacing w:val="0"/>
        <w:w w:val="100"/>
        <w:kern w:val="0"/>
        <w:position w:val="0"/>
        <w:highlight w:val="none"/>
        <w:vertAlign w:val="baseline"/>
      </w:rPr>
    </w:lvl>
    <w:lvl w:ilvl="7" w:tplc="C74426F6">
      <w:start w:val="1"/>
      <w:numFmt w:val="decimal"/>
      <w:lvlText w:val="%8."/>
      <w:lvlJc w:val="left"/>
      <w:pPr>
        <w:tabs>
          <w:tab w:val="left" w:pos="641"/>
          <w:tab w:val="num" w:pos="6241"/>
        </w:tabs>
        <w:ind w:left="5821" w:firstLine="199"/>
      </w:pPr>
      <w:rPr>
        <w:rFonts w:hAnsi="Arial Unicode MS"/>
        <w:caps w:val="0"/>
        <w:smallCaps w:val="0"/>
        <w:strike w:val="0"/>
        <w:dstrike w:val="0"/>
        <w:outline w:val="0"/>
        <w:emboss w:val="0"/>
        <w:imprint w:val="0"/>
        <w:spacing w:val="0"/>
        <w:w w:val="100"/>
        <w:kern w:val="0"/>
        <w:position w:val="0"/>
        <w:highlight w:val="none"/>
        <w:vertAlign w:val="baseline"/>
      </w:rPr>
    </w:lvl>
    <w:lvl w:ilvl="8" w:tplc="3898856E">
      <w:start w:val="1"/>
      <w:numFmt w:val="decimal"/>
      <w:lvlText w:val="%9."/>
      <w:lvlJc w:val="left"/>
      <w:pPr>
        <w:tabs>
          <w:tab w:val="left" w:pos="641"/>
          <w:tab w:val="num" w:pos="7041"/>
        </w:tabs>
        <w:ind w:left="6621" w:firstLine="19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09476086">
    <w:abstractNumId w:val="1"/>
  </w:num>
  <w:num w:numId="2" w16cid:durableId="1427656018">
    <w:abstractNumId w:val="0"/>
  </w:num>
  <w:num w:numId="3" w16cid:durableId="956136181">
    <w:abstractNumId w:val="2"/>
  </w:num>
  <w:num w:numId="4" w16cid:durableId="1698389933">
    <w:abstractNumId w:val="4"/>
  </w:num>
  <w:num w:numId="5" w16cid:durableId="2082675520">
    <w:abstractNumId w:val="0"/>
    <w:lvlOverride w:ilvl="0">
      <w:startOverride w:val="2"/>
    </w:lvlOverride>
  </w:num>
  <w:num w:numId="6" w16cid:durableId="751970172">
    <w:abstractNumId w:val="5"/>
  </w:num>
  <w:num w:numId="7" w16cid:durableId="1025015019">
    <w:abstractNumId w:val="3"/>
  </w:num>
  <w:num w:numId="8" w16cid:durableId="10964389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isplayBackgroundShape/>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1N7ewMDE2NDMzNzFV0lEKTi0uzszPAykwrgUA63eFeiwAAAA="/>
  </w:docVars>
  <w:rsids>
    <w:rsidRoot w:val="00AC305D"/>
    <w:rsid w:val="000A742E"/>
    <w:rsid w:val="00196174"/>
    <w:rsid w:val="002920FA"/>
    <w:rsid w:val="002C23A0"/>
    <w:rsid w:val="002D7F0D"/>
    <w:rsid w:val="002F1A77"/>
    <w:rsid w:val="00327D26"/>
    <w:rsid w:val="0037310C"/>
    <w:rsid w:val="00483965"/>
    <w:rsid w:val="004B5AAB"/>
    <w:rsid w:val="00552596"/>
    <w:rsid w:val="005A1F88"/>
    <w:rsid w:val="007A23D7"/>
    <w:rsid w:val="008D5EC6"/>
    <w:rsid w:val="00911F70"/>
    <w:rsid w:val="00973502"/>
    <w:rsid w:val="00A252C8"/>
    <w:rsid w:val="00AC305D"/>
    <w:rsid w:val="00AD39BA"/>
    <w:rsid w:val="00B629A2"/>
    <w:rsid w:val="00B71866"/>
    <w:rsid w:val="00C87A6D"/>
    <w:rsid w:val="00CF2A42"/>
    <w:rsid w:val="00E07B9D"/>
    <w:rsid w:val="00E51A51"/>
    <w:rsid w:val="00F023EC"/>
    <w:rsid w:val="00F74C05"/>
    <w:rsid w:val="00FD35C2"/>
    <w:rsid w:val="00FE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09601"/>
  <w15:docId w15:val="{6D1C01A8-289B-4E25-87D5-ACC444F1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等线" w:eastAsia="等线" w:hAnsi="等线" w:cs="等线"/>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sz w:val="24"/>
      <w:szCs w:val="24"/>
      <w14:textOutline w14:w="0" w14:cap="flat" w14:cmpd="sng" w14:algn="ctr">
        <w14:noFill/>
        <w14:prstDash w14:val="solid"/>
        <w14:bevel/>
      </w14:textOutline>
    </w:rPr>
  </w:style>
  <w:style w:type="character" w:customStyle="1" w:styleId="NoneB">
    <w:name w:val="None B"/>
    <w:rPr>
      <w:lang w:val="en-US"/>
    </w:rPr>
  </w:style>
  <w:style w:type="character" w:customStyle="1" w:styleId="Hyperlink3">
    <w:name w:val="Hyperlink.3"/>
    <w:rPr>
      <w:rFonts w:ascii="Times New Roman" w:hAnsi="Times New Roman"/>
      <w:lang w:val="en-US"/>
    </w:rPr>
  </w:style>
  <w:style w:type="paragraph" w:styleId="a4">
    <w:name w:val="List Paragraph"/>
    <w:pPr>
      <w:widowControl w:val="0"/>
      <w:ind w:firstLine="420"/>
      <w:jc w:val="both"/>
    </w:pPr>
    <w:rPr>
      <w:rFonts w:ascii="等线" w:eastAsia="等线" w:hAnsi="等线" w:cs="等线"/>
      <w:color w:val="000000"/>
      <w:kern w:val="2"/>
      <w:sz w:val="21"/>
      <w:szCs w:val="21"/>
      <w:u w:color="000000"/>
    </w:rPr>
  </w:style>
  <w:style w:type="numbering" w:customStyle="1" w:styleId="ImportedStyle1">
    <w:name w:val="Imported Style 1"/>
    <w:pPr>
      <w:numPr>
        <w:numId w:val="1"/>
      </w:numPr>
    </w:pPr>
  </w:style>
  <w:style w:type="numbering" w:customStyle="1" w:styleId="ImportedStyle10">
    <w:name w:val="Imported Style 1.0"/>
    <w:pPr>
      <w:numPr>
        <w:numId w:val="3"/>
      </w:numPr>
    </w:pPr>
  </w:style>
  <w:style w:type="character" w:customStyle="1" w:styleId="None">
    <w:name w:val="None"/>
  </w:style>
  <w:style w:type="character" w:customStyle="1" w:styleId="Hyperlink0">
    <w:name w:val="Hyperlink.0"/>
    <w:basedOn w:val="None"/>
    <w:rPr>
      <w:outline w:val="0"/>
      <w:color w:val="0000FF"/>
      <w:u w:val="single" w:color="0000FF"/>
      <w:shd w:val="clear" w:color="auto" w:fill="F7F7F7"/>
      <w:lang w:val="zh-TW" w:eastAsia="zh-TW"/>
    </w:rPr>
  </w:style>
  <w:style w:type="character" w:customStyle="1" w:styleId="Hyperlink2">
    <w:name w:val="Hyperlink.2"/>
    <w:rPr>
      <w:rFonts w:ascii="Times New Roman" w:hAnsi="Times New Roman"/>
      <w:outline w:val="0"/>
      <w:color w:val="0000FF"/>
      <w:u w:val="single" w:color="0000FF"/>
      <w:shd w:val="clear" w:color="auto" w:fill="F7F7F7"/>
      <w:lang w:val="en-US"/>
    </w:rPr>
  </w:style>
  <w:style w:type="character" w:customStyle="1" w:styleId="Hyperlink1">
    <w:name w:val="Hyperlink.1"/>
    <w:basedOn w:val="None"/>
    <w:rPr>
      <w:rFonts w:ascii="Times New Roman" w:eastAsia="Times New Roman" w:hAnsi="Times New Roman" w:cs="Times New Roman"/>
      <w:outline w:val="0"/>
      <w:color w:val="0000FF"/>
      <w:u w:val="single" w:color="0000FF"/>
      <w:lang w:val="en-US"/>
    </w:rPr>
  </w:style>
  <w:style w:type="character" w:customStyle="1" w:styleId="Hyperlink4">
    <w:name w:val="Hyperlink.4"/>
    <w:basedOn w:val="None"/>
    <w:rPr>
      <w:rFonts w:ascii="Times New Roman" w:eastAsia="Times New Roman" w:hAnsi="Times New Roman" w:cs="Times New Roman"/>
      <w:outline w:val="0"/>
      <w:color w:val="0000FF"/>
      <w:u w:val="single" w:color="0000FF"/>
    </w:rPr>
  </w:style>
  <w:style w:type="numbering" w:customStyle="1" w:styleId="Numbered">
    <w:name w:val="Numbered"/>
    <w:pPr>
      <w:numPr>
        <w:numId w:val="6"/>
      </w:numPr>
    </w:pPr>
  </w:style>
  <w:style w:type="character" w:customStyle="1" w:styleId="Hyperlink5">
    <w:name w:val="Hyperlink.5"/>
    <w:basedOn w:val="None"/>
    <w:rPr>
      <w:outline w:val="0"/>
      <w:color w:val="0000FF"/>
      <w:u w:val="single" w:color="0000FF"/>
    </w:rPr>
  </w:style>
  <w:style w:type="character" w:customStyle="1" w:styleId="Hyperlink6">
    <w:name w:val="Hyperlink.6"/>
    <w:basedOn w:val="None"/>
    <w:rPr>
      <w:rFonts w:ascii="Times New Roman" w:eastAsia="Times New Roman" w:hAnsi="Times New Roman" w:cs="Times New Roman"/>
    </w:rPr>
  </w:style>
  <w:style w:type="character" w:customStyle="1" w:styleId="NoneA">
    <w:name w:val="None A"/>
    <w:rPr>
      <w:lang w:val="en-US"/>
    </w:rPr>
  </w:style>
  <w:style w:type="character" w:customStyle="1" w:styleId="Link">
    <w:name w:val="Link"/>
    <w:rPr>
      <w:outline w:val="0"/>
      <w:color w:val="0000FF"/>
      <w:u w:val="single" w:color="0000FF"/>
    </w:rPr>
  </w:style>
  <w:style w:type="character" w:customStyle="1" w:styleId="Hyperlink7">
    <w:name w:val="Hyperlink.7"/>
    <w:basedOn w:val="Link"/>
    <w:rPr>
      <w:rFonts w:ascii="Times New Roman" w:eastAsia="Times New Roman" w:hAnsi="Times New Roman" w:cs="Times New Roman"/>
      <w:outline w:val="0"/>
      <w:color w:val="0000FF"/>
      <w:u w:val="single" w:color="0000FF"/>
    </w:rPr>
  </w:style>
  <w:style w:type="paragraph" w:styleId="a5">
    <w:name w:val="Normal (Web)"/>
    <w:pPr>
      <w:widowControl w:val="0"/>
      <w:spacing w:before="100" w:after="100"/>
      <w:jc w:val="both"/>
    </w:pPr>
    <w:rPr>
      <w:rFonts w:ascii="宋体" w:eastAsia="宋体" w:hAnsi="宋体" w:cs="宋体"/>
      <w:color w:val="000000"/>
      <w:sz w:val="24"/>
      <w:szCs w:val="24"/>
      <w:u w:color="000000"/>
    </w:rPr>
  </w:style>
  <w:style w:type="paragraph" w:customStyle="1" w:styleId="EndNoteBibliography">
    <w:name w:val="EndNote Bibliography"/>
    <w:pPr>
      <w:widowControl w:val="0"/>
      <w:jc w:val="both"/>
    </w:pPr>
    <w:rPr>
      <w:rFonts w:ascii="等线" w:eastAsia="等线" w:hAnsi="等线" w:cs="等线"/>
      <w:color w:val="000000"/>
      <w:kern w:val="2"/>
      <w:u w:color="000000"/>
    </w:rPr>
  </w:style>
  <w:style w:type="character" w:customStyle="1" w:styleId="Hyperlink8">
    <w:name w:val="Hyperlink.8"/>
    <w:basedOn w:val="None"/>
    <w:rPr>
      <w:rFonts w:ascii="Times New Roman" w:eastAsia="Times New Roman" w:hAnsi="Times New Roman" w:cs="Times New Roman"/>
      <w:i/>
      <w:iCs/>
      <w:outline w:val="0"/>
      <w:color w:val="0000FF"/>
      <w:u w:val="single" w:color="0000FF"/>
    </w:rPr>
  </w:style>
  <w:style w:type="paragraph" w:styleId="a6">
    <w:name w:val="Revision"/>
    <w:hidden/>
    <w:uiPriority w:val="99"/>
    <w:semiHidden/>
    <w:rsid w:val="002C23A0"/>
    <w:pPr>
      <w:pBdr>
        <w:top w:val="none" w:sz="0" w:space="0" w:color="auto"/>
        <w:left w:val="none" w:sz="0" w:space="0" w:color="auto"/>
        <w:bottom w:val="none" w:sz="0" w:space="0" w:color="auto"/>
        <w:right w:val="none" w:sz="0" w:space="0" w:color="auto"/>
        <w:between w:val="none" w:sz="0" w:space="0" w:color="auto"/>
        <w:bar w:val="none" w:sz="0" w:color="auto"/>
      </w:pBdr>
    </w:pPr>
    <w:rPr>
      <w:rFonts w:ascii="等线" w:eastAsia="等线" w:hAnsi="等线" w:cs="等线"/>
      <w:color w:val="000000"/>
      <w:kern w:val="2"/>
      <w:sz w:val="21"/>
      <w:szCs w:val="21"/>
      <w:u w:color="000000"/>
    </w:rPr>
  </w:style>
  <w:style w:type="paragraph" w:styleId="a7">
    <w:name w:val="header"/>
    <w:basedOn w:val="a"/>
    <w:link w:val="a8"/>
    <w:uiPriority w:val="99"/>
    <w:unhideWhenUsed/>
    <w:rsid w:val="00B71866"/>
    <w:pPr>
      <w:tabs>
        <w:tab w:val="center" w:pos="4153"/>
        <w:tab w:val="right" w:pos="8306"/>
      </w:tabs>
      <w:snapToGrid w:val="0"/>
      <w:jc w:val="center"/>
    </w:pPr>
    <w:rPr>
      <w:sz w:val="18"/>
      <w:szCs w:val="18"/>
    </w:rPr>
  </w:style>
  <w:style w:type="character" w:customStyle="1" w:styleId="a8">
    <w:name w:val="页眉 字符"/>
    <w:basedOn w:val="a0"/>
    <w:link w:val="a7"/>
    <w:uiPriority w:val="99"/>
    <w:rsid w:val="00B71866"/>
    <w:rPr>
      <w:rFonts w:ascii="等线" w:eastAsia="等线" w:hAnsi="等线" w:cs="等线"/>
      <w:color w:val="000000"/>
      <w:kern w:val="2"/>
      <w:sz w:val="18"/>
      <w:szCs w:val="18"/>
      <w:u w:color="000000"/>
    </w:rPr>
  </w:style>
  <w:style w:type="paragraph" w:styleId="a9">
    <w:name w:val="footer"/>
    <w:basedOn w:val="a"/>
    <w:link w:val="aa"/>
    <w:uiPriority w:val="99"/>
    <w:unhideWhenUsed/>
    <w:rsid w:val="00B71866"/>
    <w:pPr>
      <w:tabs>
        <w:tab w:val="center" w:pos="4153"/>
        <w:tab w:val="right" w:pos="8306"/>
      </w:tabs>
      <w:snapToGrid w:val="0"/>
      <w:jc w:val="left"/>
    </w:pPr>
    <w:rPr>
      <w:sz w:val="18"/>
      <w:szCs w:val="18"/>
    </w:rPr>
  </w:style>
  <w:style w:type="character" w:customStyle="1" w:styleId="aa">
    <w:name w:val="页脚 字符"/>
    <w:basedOn w:val="a0"/>
    <w:link w:val="a9"/>
    <w:uiPriority w:val="99"/>
    <w:rsid w:val="00B71866"/>
    <w:rPr>
      <w:rFonts w:ascii="等线" w:eastAsia="等线" w:hAnsi="等线" w:cs="等线"/>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s.unmc.edu"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wangj</dc:creator>
  <cp:lastModifiedBy>wangjianhua@caas.cn</cp:lastModifiedBy>
  <cp:revision>2</cp:revision>
  <dcterms:created xsi:type="dcterms:W3CDTF">2024-05-19T08:50:00Z</dcterms:created>
  <dcterms:modified xsi:type="dcterms:W3CDTF">2024-05-19T08:50:00Z</dcterms:modified>
</cp:coreProperties>
</file>