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9747" w14:textId="77777777" w:rsidR="00654E8F" w:rsidRPr="001549D3" w:rsidRDefault="00000000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F7655EF" w14:textId="77777777" w:rsidR="007412A7" w:rsidRDefault="00000000" w:rsidP="0027026D">
      <w:pPr>
        <w:jc w:val="center"/>
        <w:rPr>
          <w:rFonts w:cs="Times New Roman"/>
          <w:b/>
          <w:bCs/>
          <w:sz w:val="32"/>
          <w:szCs w:val="36"/>
        </w:rPr>
      </w:pPr>
      <w:r w:rsidRPr="0027026D">
        <w:rPr>
          <w:rFonts w:cs="Times New Roman"/>
          <w:b/>
          <w:bCs/>
          <w:sz w:val="32"/>
          <w:szCs w:val="36"/>
        </w:rPr>
        <w:t>Questionnaire on COVID-19 Infection and Vaccination of Diabetic Kidney Disease</w:t>
      </w:r>
    </w:p>
    <w:tbl>
      <w:tblPr>
        <w:tblW w:w="5349" w:type="pct"/>
        <w:tblInd w:w="-436" w:type="dxa"/>
        <w:tblLayout w:type="fixed"/>
        <w:tblLook w:val="04A0" w:firstRow="1" w:lastRow="0" w:firstColumn="1" w:lastColumn="0" w:noHBand="0" w:noVBand="1"/>
      </w:tblPr>
      <w:tblGrid>
        <w:gridCol w:w="3402"/>
        <w:gridCol w:w="11087"/>
      </w:tblGrid>
      <w:tr w:rsidR="001103E2" w14:paraId="7226DA01" w14:textId="77777777" w:rsidTr="00EF085A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9CB952E" w14:textId="77777777" w:rsidR="007412A7" w:rsidRPr="00243837" w:rsidRDefault="00000000" w:rsidP="00243837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>Vaccination status</w:t>
            </w:r>
          </w:p>
        </w:tc>
      </w:tr>
      <w:tr w:rsidR="001103E2" w14:paraId="58BD9259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7863F7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Vaccination frequency</w:t>
            </w:r>
          </w:p>
        </w:tc>
        <w:tc>
          <w:tcPr>
            <w:tcW w:w="3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3D8FAC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□No dose □ 1 dose □ 2 doses □ 3 doses □ 4 doses</w:t>
            </w:r>
          </w:p>
        </w:tc>
      </w:tr>
      <w:tr w:rsidR="001103E2" w14:paraId="5382E196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BA44A81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Vaccination types</w:t>
            </w:r>
          </w:p>
        </w:tc>
        <w:tc>
          <w:tcPr>
            <w:tcW w:w="3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B1F76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Inactivated vaccine □ Adenovirus vaccine □ Other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</w:t>
            </w:r>
          </w:p>
        </w:tc>
      </w:tr>
      <w:tr w:rsidR="001103E2" w14:paraId="4546E710" w14:textId="77777777" w:rsidTr="00EF085A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F150AA9" w14:textId="77777777" w:rsidR="007412A7" w:rsidRPr="00243837" w:rsidRDefault="00000000" w:rsidP="00243837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>Diagnosis of COVID-19 infection</w:t>
            </w:r>
          </w:p>
        </w:tc>
      </w:tr>
      <w:tr w:rsidR="001103E2" w14:paraId="39B5C841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1B1958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Whether infected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183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Infected=1 □ Uninfected=0</w:t>
            </w:r>
          </w:p>
        </w:tc>
      </w:tr>
      <w:tr w:rsidR="001103E2" w14:paraId="5610B639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D02A0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Diagnosis method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FBCE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□Nasal swab nucleic acid positive; □Pharyngeal swab nucleic acid positive; □Nasal swab antigen positive; □Pharyngeal swab antigen positive; □Not tested for nucleic acid or antigen, but confirmed by family members or with family aggregation fever; □ Other</w:t>
            </w:r>
          </w:p>
        </w:tc>
      </w:tr>
      <w:tr w:rsidR="001103E2" w14:paraId="48592427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2B7EE0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Time of diagnosis of COVID-19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F2CDE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 xml:space="preserve"> specific date</w:t>
            </w:r>
            <w:r w:rsidRPr="00243837">
              <w:rPr>
                <w:rFonts w:cs="Times New Roman"/>
                <w:color w:val="000000"/>
                <w:szCs w:val="24"/>
                <w:u w:val="single"/>
              </w:rPr>
              <w:t xml:space="preserve">                </w:t>
            </w:r>
          </w:p>
        </w:tc>
      </w:tr>
      <w:tr w:rsidR="001103E2" w14:paraId="3717D233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CCCE6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Pulmonary CT examination results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FDEA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 xml:space="preserve">□ Not inspected; □ No obvious inflammatory changes were found during the examination; </w:t>
            </w:r>
            <w:proofErr w:type="gramStart"/>
            <w:r w:rsidRPr="00243837">
              <w:rPr>
                <w:rFonts w:cs="Times New Roman"/>
                <w:szCs w:val="24"/>
              </w:rPr>
              <w:t>□  Diagnosed</w:t>
            </w:r>
            <w:proofErr w:type="gramEnd"/>
            <w:r w:rsidRPr="00243837">
              <w:rPr>
                <w:rFonts w:cs="Times New Roman"/>
                <w:szCs w:val="24"/>
              </w:rPr>
              <w:t xml:space="preserve"> as pneumonia through examination</w:t>
            </w:r>
          </w:p>
        </w:tc>
      </w:tr>
      <w:tr w:rsidR="001103E2" w14:paraId="06720262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E7C05A" w14:textId="77777777" w:rsidR="007412A7" w:rsidRPr="00EF291B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EF291B">
              <w:rPr>
                <w:rFonts w:cs="Times New Roman"/>
                <w:szCs w:val="24"/>
              </w:rPr>
              <w:lastRenderedPageBreak/>
              <w:t>Inflammation situation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AFDAA" w14:textId="77777777" w:rsidR="007412A7" w:rsidRPr="00EF291B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EF291B">
              <w:rPr>
                <w:rFonts w:cs="Times New Roman"/>
                <w:szCs w:val="24"/>
              </w:rPr>
              <w:t xml:space="preserve">White blood cells, neutrophils, IL-6, CRP, </w:t>
            </w:r>
            <w:proofErr w:type="spellStart"/>
            <w:r w:rsidRPr="00EF291B">
              <w:rPr>
                <w:rFonts w:cs="Times New Roman"/>
                <w:szCs w:val="24"/>
              </w:rPr>
              <w:t>etc</w:t>
            </w:r>
            <w:proofErr w:type="spellEnd"/>
          </w:p>
        </w:tc>
      </w:tr>
      <w:tr w:rsidR="001103E2" w14:paraId="0BC0A676" w14:textId="77777777" w:rsidTr="00067DDC">
        <w:trPr>
          <w:trHeight w:val="400"/>
        </w:trPr>
        <w:tc>
          <w:tcPr>
            <w:tcW w:w="117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D20FBD" w14:textId="77777777" w:rsidR="007412A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Clinical classification</w:t>
            </w:r>
          </w:p>
          <w:p w14:paraId="3BB2BC74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 w:hint="eastAsia"/>
                <w:color w:val="000000"/>
                <w:szCs w:val="24"/>
              </w:rPr>
              <w:t>（</w:t>
            </w:r>
            <w:r w:rsidRPr="006E337C">
              <w:rPr>
                <w:rFonts w:cs="Times New Roman"/>
                <w:color w:val="000000"/>
                <w:szCs w:val="24"/>
              </w:rPr>
              <w:t>Doctor's diagnosis</w:t>
            </w:r>
            <w:r>
              <w:rPr>
                <w:rFonts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49338" w14:textId="585B28C5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Mild □ Medium □ Severe □</w:t>
            </w:r>
            <w:r w:rsidR="00986FF1">
              <w:rPr>
                <w:rFonts w:cs="Times New Roman" w:hint="eastAsia"/>
                <w:szCs w:val="24"/>
                <w:lang w:eastAsia="zh-CN"/>
              </w:rPr>
              <w:t>C</w:t>
            </w:r>
            <w:r w:rsidR="00986FF1" w:rsidRPr="00986FF1">
              <w:rPr>
                <w:rFonts w:cs="Times New Roman"/>
                <w:szCs w:val="24"/>
              </w:rPr>
              <w:t>ritically</w:t>
            </w:r>
            <w:r w:rsidRPr="00243837">
              <w:rPr>
                <w:rFonts w:cs="Times New Roman"/>
                <w:szCs w:val="24"/>
              </w:rPr>
              <w:t xml:space="preserve"> Severe</w:t>
            </w:r>
          </w:p>
        </w:tc>
      </w:tr>
      <w:tr w:rsidR="001103E2" w14:paraId="45C7F9EB" w14:textId="77777777" w:rsidTr="00EF085A">
        <w:trPr>
          <w:trHeight w:val="4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8BEAB8B" w14:textId="77777777" w:rsidR="007412A7" w:rsidRPr="00243837" w:rsidRDefault="00000000" w:rsidP="00243837">
            <w:pPr>
              <w:spacing w:line="360" w:lineRule="auto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>Infection Symptoms and Severity Score (The most severe level)</w:t>
            </w:r>
          </w:p>
        </w:tc>
      </w:tr>
      <w:tr w:rsidR="001103E2" w14:paraId="503DBCDE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3CB811E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1. Heat generation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2015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None=0; Mild=1 body temperature 37.3 ℃ -38 ℃; □ Moderate=2 body temperature 38.1 ℃ -39 ℃; □ Severe=3 body temperature exceeding 39 ℃</w:t>
            </w:r>
          </w:p>
          <w:p w14:paraId="184CAAB6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 xml:space="preserve">Duration of heating 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</w:t>
            </w:r>
            <w:r w:rsidRPr="00243837">
              <w:rPr>
                <w:rFonts w:cs="Times New Roman"/>
                <w:szCs w:val="24"/>
              </w:rPr>
              <w:t>days, maximum temperature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</w:t>
            </w:r>
            <w:r w:rsidRPr="00243837">
              <w:rPr>
                <w:rFonts w:cs="Times New Roman"/>
                <w:szCs w:val="24"/>
              </w:rPr>
              <w:t xml:space="preserve"> ℃</w:t>
            </w:r>
          </w:p>
        </w:tc>
      </w:tr>
      <w:tr w:rsidR="001103E2" w14:paraId="1849F92B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B8365B1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2. Cough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1175C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73373D1E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8E8AACE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3. sore throat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ED85EA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74F22227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930A34F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4. Stuck or runny nose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5C778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0399AA4E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8153106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5. Headache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067A96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34FB7E02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392735B2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6. Muscle pain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43D2D2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619DDA4D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F1DE3A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lastRenderedPageBreak/>
              <w:t>7. Shortness of breath or difficulty breathing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337BD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  <w:p w14:paraId="7E6E1EBB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  <w:lang w:bidi="zh-CN"/>
              </w:rPr>
              <w:t>Respiratory rate&gt;30 beats per minute □ Yes □ No</w:t>
            </w:r>
          </w:p>
        </w:tc>
      </w:tr>
      <w:tr w:rsidR="001103E2" w14:paraId="40EB09EB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FCCAB3D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8. Nausea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2393F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716625CE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3E842A8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9. Fear of cold or shivering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1E90B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6938165C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6C555BB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10. Vomiting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76D78E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No=0 □ 1-2 times=1 □ 3-4 times=2 □ 5 times and above=3</w:t>
            </w:r>
          </w:p>
        </w:tc>
      </w:tr>
      <w:tr w:rsidR="001103E2" w14:paraId="31E36ABA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7BEB4F8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11. Diarrhea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156FF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No=0 □ 1-2 times=1 □ 3-4 times=2 □ 5 times and above=3</w:t>
            </w:r>
          </w:p>
        </w:tc>
      </w:tr>
      <w:tr w:rsidR="001103E2" w14:paraId="0E9D6028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C821F3C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12. Other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52D72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</w:rPr>
            </w:pPr>
            <w:r w:rsidRPr="00243837">
              <w:rPr>
                <w:rFonts w:cs="Times New Roman"/>
                <w:szCs w:val="24"/>
              </w:rPr>
              <w:t>Specific symptoms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       </w:t>
            </w:r>
          </w:p>
          <w:p w14:paraId="26DD3094" w14:textId="77777777" w:rsidR="007412A7" w:rsidRPr="00243837" w:rsidRDefault="00000000" w:rsidP="00243837">
            <w:pPr>
              <w:spacing w:line="360" w:lineRule="auto"/>
              <w:rPr>
                <w:rFonts w:eastAsia="等线"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 None=0 □ Mild=1 □ Moderate=2 □ Severe=3</w:t>
            </w:r>
          </w:p>
        </w:tc>
      </w:tr>
      <w:tr w:rsidR="001103E2" w14:paraId="75249A29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7E8F76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Duration of upper respiratory symptoms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6CCD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 xml:space="preserve"> </w:t>
            </w:r>
            <w:r w:rsidRPr="00243837">
              <w:rPr>
                <w:rFonts w:cs="Times New Roman"/>
                <w:color w:val="000000"/>
                <w:szCs w:val="24"/>
                <w:u w:val="single"/>
              </w:rPr>
              <w:t xml:space="preserve">     </w:t>
            </w:r>
            <w:r w:rsidRPr="00243837">
              <w:rPr>
                <w:rFonts w:cs="Times New Roman"/>
                <w:color w:val="000000"/>
                <w:szCs w:val="24"/>
              </w:rPr>
              <w:t>Day/days</w:t>
            </w:r>
          </w:p>
        </w:tc>
      </w:tr>
      <w:tr w:rsidR="001103E2" w14:paraId="37B19D35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83AFEC0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Recovery and prognosis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C42C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  <w:lang w:val="de-DE"/>
              </w:rPr>
            </w:pPr>
            <w:r w:rsidRPr="00243837">
              <w:rPr>
                <w:rFonts w:cs="Times New Roman"/>
                <w:szCs w:val="24"/>
              </w:rPr>
              <w:t>□ No above symptoms; □ The above symptoms have not fully recovered; □ Further aggravation; □ Other remaining situations; □ Death</w:t>
            </w:r>
          </w:p>
        </w:tc>
      </w:tr>
      <w:tr w:rsidR="001103E2" w14:paraId="0587F51F" w14:textId="77777777" w:rsidTr="00EF085A">
        <w:trPr>
          <w:trHeight w:val="4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33E8D033" w14:textId="77777777" w:rsidR="007412A7" w:rsidRPr="00243837" w:rsidRDefault="00000000" w:rsidP="00243837">
            <w:pPr>
              <w:spacing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>Treatment situation</w:t>
            </w:r>
          </w:p>
        </w:tc>
      </w:tr>
      <w:tr w:rsidR="001103E2" w14:paraId="25135F1B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BD3496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lastRenderedPageBreak/>
              <w:t>Treatment methods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3D58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</w:t>
            </w:r>
            <w:r>
              <w:rPr>
                <w:rFonts w:cs="Times New Roman"/>
                <w:szCs w:val="24"/>
              </w:rPr>
              <w:t xml:space="preserve"> Self-</w:t>
            </w:r>
            <w:r w:rsidRPr="00243837">
              <w:rPr>
                <w:rFonts w:cs="Times New Roman"/>
                <w:szCs w:val="24"/>
              </w:rPr>
              <w:t>treatment at home; □Outpatient treatment; □Intravenous medication treatment in community or grassroots clinics; □Hospitalization treatment in medical institutions at or above the second level; □ICU treatment</w:t>
            </w:r>
          </w:p>
        </w:tc>
      </w:tr>
      <w:tr w:rsidR="001103E2" w14:paraId="1A4DDB73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3345816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Used antiviral drugs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4368F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  <w:lang w:val="de-DE"/>
              </w:rPr>
            </w:pPr>
            <w:r w:rsidRPr="00243837">
              <w:rPr>
                <w:rFonts w:cs="Times New Roman"/>
                <w:szCs w:val="24"/>
              </w:rPr>
              <w:t>□Yes; □No; If so, please fill in the medication information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   </w:t>
            </w:r>
          </w:p>
        </w:tc>
      </w:tr>
      <w:tr w:rsidR="001103E2" w14:paraId="4B934C90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7E899E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Used antibacterial drugs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50590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  <w:lang w:val="de-DE"/>
              </w:rPr>
            </w:pPr>
            <w:r w:rsidRPr="00243837">
              <w:rPr>
                <w:rFonts w:cs="Times New Roman"/>
                <w:szCs w:val="24"/>
              </w:rPr>
              <w:t>□Yes; □No; If so, please fill in the medication information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   </w:t>
            </w:r>
          </w:p>
        </w:tc>
      </w:tr>
      <w:tr w:rsidR="001103E2" w14:paraId="6571D796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CED15D7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Used non</w:t>
            </w:r>
            <w:r>
              <w:rPr>
                <w:rFonts w:cs="Times New Roman"/>
                <w:szCs w:val="24"/>
              </w:rPr>
              <w:t>-</w:t>
            </w:r>
            <w:r w:rsidRPr="00243837">
              <w:rPr>
                <w:rFonts w:cs="Times New Roman"/>
                <w:szCs w:val="24"/>
              </w:rPr>
              <w:t>steroidal anti-inflammatory drugs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BB7AA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  <w:lang w:val="de-DE"/>
              </w:rPr>
            </w:pPr>
            <w:r w:rsidRPr="00243837">
              <w:rPr>
                <w:rFonts w:cs="Times New Roman"/>
                <w:szCs w:val="24"/>
              </w:rPr>
              <w:t>□Yes; □No; If so, please fill in the medication information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   </w:t>
            </w:r>
          </w:p>
        </w:tc>
      </w:tr>
      <w:tr w:rsidR="001103E2" w14:paraId="3AAE64EC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5B6885BC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 xml:space="preserve">Used glucocorticoids 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F5AE2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szCs w:val="24"/>
                <w:lang w:val="de-DE"/>
              </w:rPr>
            </w:pPr>
            <w:r w:rsidRPr="00243837">
              <w:rPr>
                <w:rFonts w:cs="Times New Roman"/>
                <w:szCs w:val="24"/>
              </w:rPr>
              <w:t>□Yes; □No; If so, please fill in the medication information</w:t>
            </w:r>
            <w:r w:rsidRPr="00243837">
              <w:rPr>
                <w:rFonts w:cs="Times New Roman"/>
                <w:szCs w:val="24"/>
                <w:u w:val="single"/>
              </w:rPr>
              <w:t xml:space="preserve">           </w:t>
            </w:r>
          </w:p>
        </w:tc>
      </w:tr>
      <w:tr w:rsidR="001103E2" w14:paraId="7F0397B8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F627CE3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 xml:space="preserve">oxygen treatment 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DF16D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□Yes; □No</w:t>
            </w:r>
          </w:p>
        </w:tc>
      </w:tr>
      <w:tr w:rsidR="001103E2" w14:paraId="7CB5E66E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47E065BB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Respiratory support therapy</w:t>
            </w:r>
            <w:r>
              <w:rPr>
                <w:rFonts w:cs="Times New Roman"/>
                <w:szCs w:val="24"/>
              </w:rPr>
              <w:t>,</w:t>
            </w:r>
            <w:r w:rsidRPr="00243837">
              <w:rPr>
                <w:rFonts w:cs="Times New Roman"/>
                <w:szCs w:val="24"/>
              </w:rPr>
              <w:t xml:space="preserve"> such as mechanical ventilation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B8264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□Yes; □No</w:t>
            </w:r>
          </w:p>
        </w:tc>
      </w:tr>
      <w:tr w:rsidR="001103E2" w14:paraId="2CC6835F" w14:textId="77777777" w:rsidTr="00067DDC">
        <w:trPr>
          <w:trHeight w:val="400"/>
        </w:trPr>
        <w:tc>
          <w:tcPr>
            <w:tcW w:w="117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955FB53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</w:rPr>
            </w:pPr>
            <w:r w:rsidRPr="00243837">
              <w:rPr>
                <w:rFonts w:cs="Times New Roman"/>
                <w:szCs w:val="24"/>
              </w:rPr>
              <w:t>Other treatments</w:t>
            </w:r>
          </w:p>
        </w:tc>
        <w:tc>
          <w:tcPr>
            <w:tcW w:w="3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7989D" w14:textId="77777777" w:rsidR="007412A7" w:rsidRPr="00243837" w:rsidRDefault="00000000" w:rsidP="00243837">
            <w:pPr>
              <w:spacing w:line="360" w:lineRule="auto"/>
              <w:rPr>
                <w:rFonts w:cs="Times New Roman"/>
                <w:color w:val="000000"/>
                <w:szCs w:val="24"/>
                <w:u w:val="single"/>
              </w:rPr>
            </w:pPr>
            <w:r w:rsidRPr="00243837">
              <w:rPr>
                <w:rFonts w:cs="Times New Roman"/>
                <w:color w:val="000000"/>
                <w:szCs w:val="24"/>
              </w:rPr>
              <w:t xml:space="preserve"> </w:t>
            </w:r>
            <w:r w:rsidRPr="00243837">
              <w:rPr>
                <w:rFonts w:cs="Times New Roman"/>
                <w:color w:val="000000"/>
                <w:szCs w:val="24"/>
                <w:u w:val="single"/>
              </w:rPr>
              <w:t xml:space="preserve">       </w:t>
            </w:r>
          </w:p>
        </w:tc>
      </w:tr>
    </w:tbl>
    <w:p w14:paraId="56AAA02A" w14:textId="77777777" w:rsidR="007412A7" w:rsidRDefault="007412A7" w:rsidP="0027026D">
      <w:pPr>
        <w:jc w:val="center"/>
        <w:rPr>
          <w:rFonts w:cs="Times New Roman"/>
          <w:b/>
          <w:bCs/>
          <w:sz w:val="32"/>
          <w:szCs w:val="36"/>
        </w:rPr>
      </w:pPr>
    </w:p>
    <w:p w14:paraId="6ACF3E20" w14:textId="77777777" w:rsidR="007412A7" w:rsidRDefault="007412A7" w:rsidP="0027026D">
      <w:pPr>
        <w:jc w:val="center"/>
        <w:rPr>
          <w:rFonts w:cs="Times New Roman"/>
          <w:b/>
          <w:bCs/>
          <w:sz w:val="32"/>
          <w:szCs w:val="36"/>
        </w:rPr>
      </w:pPr>
    </w:p>
    <w:p w14:paraId="2B8F4DC8" w14:textId="77777777" w:rsidR="007412A7" w:rsidRDefault="007412A7" w:rsidP="0027026D">
      <w:pPr>
        <w:jc w:val="center"/>
        <w:rPr>
          <w:rFonts w:cs="Times New Roman"/>
          <w:b/>
          <w:bCs/>
          <w:sz w:val="32"/>
          <w:szCs w:val="36"/>
        </w:rPr>
      </w:pPr>
    </w:p>
    <w:p w14:paraId="33A7CABF" w14:textId="77777777" w:rsidR="007412A7" w:rsidRPr="006E337C" w:rsidRDefault="00000000" w:rsidP="006E337C">
      <w:pPr>
        <w:rPr>
          <w:rFonts w:cs="Times New Roman"/>
          <w:b/>
          <w:bCs/>
          <w:sz w:val="22"/>
          <w:szCs w:val="24"/>
        </w:rPr>
      </w:pPr>
      <w:r w:rsidRPr="006E337C">
        <w:rPr>
          <w:rFonts w:cs="Times New Roman"/>
          <w:b/>
          <w:bCs/>
          <w:sz w:val="22"/>
          <w:szCs w:val="24"/>
        </w:rPr>
        <w:lastRenderedPageBreak/>
        <w:t>NOTE</w:t>
      </w:r>
      <w:r>
        <w:rPr>
          <w:rFonts w:cs="Times New Roman" w:hint="eastAsia"/>
          <w:b/>
          <w:bCs/>
          <w:sz w:val="22"/>
          <w:szCs w:val="24"/>
        </w:rPr>
        <w:t>：</w:t>
      </w:r>
    </w:p>
    <w:p w14:paraId="4719DA1A" w14:textId="77777777" w:rsidR="007412A7" w:rsidRPr="006E337C" w:rsidRDefault="00000000" w:rsidP="006E337C">
      <w:pPr>
        <w:spacing w:line="360" w:lineRule="auto"/>
        <w:ind w:firstLineChars="200" w:firstLine="480"/>
        <w:rPr>
          <w:rFonts w:cs="Times New Roman"/>
          <w:szCs w:val="21"/>
        </w:rPr>
      </w:pPr>
      <w:r w:rsidRPr="006E337C">
        <w:rPr>
          <w:rFonts w:cs="Times New Roman"/>
          <w:szCs w:val="21"/>
        </w:rPr>
        <w:t xml:space="preserve">The confirmation of the severity of COVID-19 is mainly based on </w:t>
      </w:r>
      <w:r>
        <w:rPr>
          <w:rFonts w:cs="Times New Roman"/>
          <w:szCs w:val="21"/>
        </w:rPr>
        <w:t xml:space="preserve">the </w:t>
      </w:r>
      <w:r w:rsidRPr="006E337C">
        <w:rPr>
          <w:rFonts w:cs="Times New Roman"/>
          <w:szCs w:val="21"/>
        </w:rPr>
        <w:t xml:space="preserve">Diagnosis and Treatment Plan for novel coronavirus Infection (Tenth Edition). Based on </w:t>
      </w:r>
      <w:r>
        <w:rPr>
          <w:rFonts w:cs="Times New Roman"/>
          <w:szCs w:val="21"/>
        </w:rPr>
        <w:t xml:space="preserve">a </w:t>
      </w:r>
      <w:r w:rsidRPr="006E337C">
        <w:rPr>
          <w:rFonts w:cs="Times New Roman"/>
          <w:szCs w:val="21"/>
        </w:rPr>
        <w:t>comprehensive analysis of epidemiological history, clinical manifestations, laboratory tests, and other factors, clinical diagnosis and classification (severity) assessment</w:t>
      </w:r>
      <w:r>
        <w:rPr>
          <w:rFonts w:cs="Times New Roman"/>
          <w:szCs w:val="21"/>
        </w:rPr>
        <w:t>s</w:t>
      </w:r>
      <w:r w:rsidRPr="006E337C">
        <w:rPr>
          <w:rFonts w:cs="Times New Roman"/>
          <w:szCs w:val="21"/>
        </w:rPr>
        <w:t xml:space="preserve"> are made. The specific clinical classification diagnostic criteria in the guidelines are as follows:</w:t>
      </w:r>
    </w:p>
    <w:p w14:paraId="76FD6C19" w14:textId="77777777" w:rsidR="004A2501" w:rsidRDefault="004A2501">
      <w:r w:rsidRPr="004A2501">
        <w:t xml:space="preserve">(A) Mild: The principal symptoms of respiratory tract infection include dry throat, sore throat, cough, and fever. </w:t>
      </w:r>
    </w:p>
    <w:p w14:paraId="052BDD7B" w14:textId="77777777" w:rsidR="004A2501" w:rsidRDefault="004A2501">
      <w:r w:rsidRPr="004A2501">
        <w:t xml:space="preserve">(B) Moderate: Persistent high fever exceeding 3 days or persistent symptoms such as cough and shortness of breath, yet respiratory rate (RR) remains below 30 breaths/min, and oxygen saturation exceeds 93% at rest. Imaging displays the characteristic features of COVID-19 pneumonia. </w:t>
      </w:r>
    </w:p>
    <w:p w14:paraId="6A2748A2" w14:textId="77777777" w:rsidR="004A2501" w:rsidRDefault="004A2501">
      <w:r w:rsidRPr="004A2501">
        <w:t>(C) Severe: Presence of any of the criteria below, with symptoms not attributable to any condition other than COVID</w:t>
      </w:r>
      <w:r w:rsidRPr="004A2501">
        <w:rPr>
          <w:rFonts w:hint="eastAsia"/>
        </w:rPr>
        <w:t xml:space="preserve">-19: a. Shortness of breath with RR </w:t>
      </w:r>
      <w:r w:rsidRPr="004A2501">
        <w:rPr>
          <w:rFonts w:hint="eastAsia"/>
        </w:rPr>
        <w:t>≥</w:t>
      </w:r>
      <w:r w:rsidRPr="004A2501">
        <w:rPr>
          <w:rFonts w:hint="eastAsia"/>
        </w:rPr>
        <w:t xml:space="preserve"> 30 breaths/min; b. Oxygen saturation </w:t>
      </w:r>
      <w:r w:rsidRPr="004A2501">
        <w:rPr>
          <w:rFonts w:hint="eastAsia"/>
        </w:rPr>
        <w:t>≤</w:t>
      </w:r>
      <w:r w:rsidRPr="004A2501">
        <w:rPr>
          <w:rFonts w:hint="eastAsia"/>
        </w:rPr>
        <w:t xml:space="preserve"> 93% while breathing room air at rest; c. Arterial partial pressure of oxygen (PaO2)/Fraction of inspired oxygen (FiO2) </w:t>
      </w:r>
      <w:r w:rsidRPr="004A2501">
        <w:rPr>
          <w:rFonts w:hint="eastAsia"/>
        </w:rPr>
        <w:t>≤</w:t>
      </w:r>
      <w:r w:rsidRPr="004A2501">
        <w:rPr>
          <w:rFonts w:hint="eastAsia"/>
        </w:rPr>
        <w:t xml:space="preserve"> 300 mmHg; d. Progressive worsening of clinical symptoms, w</w:t>
      </w:r>
      <w:r w:rsidRPr="004A2501">
        <w:t xml:space="preserve">ith lung imaging showing significant lesion progression exceeding 50% within 24 to 48 hours. </w:t>
      </w:r>
    </w:p>
    <w:p w14:paraId="25944C98" w14:textId="7EDC72A6" w:rsidR="007412A7" w:rsidRDefault="004A2501">
      <w:r w:rsidRPr="004A2501">
        <w:t>(D) Critical severe: Fulfillment of any of the following conditions: a. Occurrence of respiratory failure necessitating mechanical ventilation; b. Development of shock; c. Concomitant organ failure requiring ICU monitoring and treatment.</w:t>
      </w:r>
    </w:p>
    <w:p w14:paraId="454B16FF" w14:textId="77777777" w:rsidR="00DE23E8" w:rsidRPr="001549D3" w:rsidRDefault="00DE23E8" w:rsidP="00654E8F">
      <w:pPr>
        <w:spacing w:before="240"/>
      </w:pPr>
    </w:p>
    <w:sectPr w:rsidR="00DE23E8" w:rsidRPr="001549D3" w:rsidSect="007412A7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4F65" w14:textId="77777777" w:rsidR="0085059C" w:rsidRDefault="0085059C">
      <w:pPr>
        <w:spacing w:before="0" w:after="0"/>
      </w:pPr>
      <w:r>
        <w:separator/>
      </w:r>
    </w:p>
  </w:endnote>
  <w:endnote w:type="continuationSeparator" w:id="0">
    <w:p w14:paraId="514FE643" w14:textId="77777777" w:rsidR="0085059C" w:rsidRDefault="008505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23759" w14:textId="77777777" w:rsidR="008C67C3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AC114" wp14:editId="536DF6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A37FF9" w14:textId="77777777" w:rsidR="008C67C3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961C4E7" w14:textId="77777777" w:rsidR="008C67C3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C55B" w14:textId="77777777" w:rsidR="008C67C3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6DA0F" wp14:editId="680843D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1420C7" w14:textId="77777777" w:rsidR="008C67C3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3C9E669" w14:textId="77777777" w:rsidR="008C67C3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179B" w14:textId="77777777" w:rsidR="0085059C" w:rsidRDefault="0085059C">
      <w:pPr>
        <w:spacing w:before="0" w:after="0"/>
      </w:pPr>
      <w:r>
        <w:separator/>
      </w:r>
    </w:p>
  </w:footnote>
  <w:footnote w:type="continuationSeparator" w:id="0">
    <w:p w14:paraId="472B243E" w14:textId="77777777" w:rsidR="0085059C" w:rsidRDefault="008505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A0DE" w14:textId="77777777" w:rsidR="008C67C3" w:rsidRPr="009151AA" w:rsidRDefault="00000000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DAAF" w14:textId="77777777" w:rsidR="008C67C3" w:rsidRDefault="00000000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020945C" wp14:editId="1CE858C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6A0E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49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7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8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6F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40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D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C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09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3EEC2D9A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18D7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A8B5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7A9C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8AE1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50FD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8AC7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7866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FCCF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9F46B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C3260" w:tentative="1">
      <w:start w:val="1"/>
      <w:numFmt w:val="lowerLetter"/>
      <w:lvlText w:val="%2."/>
      <w:lvlJc w:val="left"/>
      <w:pPr>
        <w:ind w:left="1440" w:hanging="360"/>
      </w:pPr>
    </w:lvl>
    <w:lvl w:ilvl="2" w:tplc="D644926A" w:tentative="1">
      <w:start w:val="1"/>
      <w:numFmt w:val="lowerRoman"/>
      <w:lvlText w:val="%3."/>
      <w:lvlJc w:val="right"/>
      <w:pPr>
        <w:ind w:left="2160" w:hanging="180"/>
      </w:pPr>
    </w:lvl>
    <w:lvl w:ilvl="3" w:tplc="98B86036" w:tentative="1">
      <w:start w:val="1"/>
      <w:numFmt w:val="decimal"/>
      <w:lvlText w:val="%4."/>
      <w:lvlJc w:val="left"/>
      <w:pPr>
        <w:ind w:left="2880" w:hanging="360"/>
      </w:pPr>
    </w:lvl>
    <w:lvl w:ilvl="4" w:tplc="9702D738" w:tentative="1">
      <w:start w:val="1"/>
      <w:numFmt w:val="lowerLetter"/>
      <w:lvlText w:val="%5."/>
      <w:lvlJc w:val="left"/>
      <w:pPr>
        <w:ind w:left="3600" w:hanging="360"/>
      </w:pPr>
    </w:lvl>
    <w:lvl w:ilvl="5" w:tplc="F9F6F644" w:tentative="1">
      <w:start w:val="1"/>
      <w:numFmt w:val="lowerRoman"/>
      <w:lvlText w:val="%6."/>
      <w:lvlJc w:val="right"/>
      <w:pPr>
        <w:ind w:left="4320" w:hanging="180"/>
      </w:pPr>
    </w:lvl>
    <w:lvl w:ilvl="6" w:tplc="1E1EE516" w:tentative="1">
      <w:start w:val="1"/>
      <w:numFmt w:val="decimal"/>
      <w:lvlText w:val="%7."/>
      <w:lvlJc w:val="left"/>
      <w:pPr>
        <w:ind w:left="5040" w:hanging="360"/>
      </w:pPr>
    </w:lvl>
    <w:lvl w:ilvl="7" w:tplc="1C0C3912" w:tentative="1">
      <w:start w:val="1"/>
      <w:numFmt w:val="lowerLetter"/>
      <w:lvlText w:val="%8."/>
      <w:lvlJc w:val="left"/>
      <w:pPr>
        <w:ind w:left="5760" w:hanging="360"/>
      </w:pPr>
    </w:lvl>
    <w:lvl w:ilvl="8" w:tplc="C25C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5E5E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EB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42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3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62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7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E5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47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A6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YwMzW2NLMwsTA3NrNQ0lEKTi0uzszPAykwrAUAoma75CwAAAA="/>
  </w:docVars>
  <w:rsids>
    <w:rsidRoot w:val="00803D24"/>
    <w:rsid w:val="0001436A"/>
    <w:rsid w:val="00034304"/>
    <w:rsid w:val="00035434"/>
    <w:rsid w:val="00052A14"/>
    <w:rsid w:val="00067DDC"/>
    <w:rsid w:val="00077D53"/>
    <w:rsid w:val="00105FD9"/>
    <w:rsid w:val="001103E2"/>
    <w:rsid w:val="00117666"/>
    <w:rsid w:val="001549D3"/>
    <w:rsid w:val="00160065"/>
    <w:rsid w:val="00177D84"/>
    <w:rsid w:val="0022252D"/>
    <w:rsid w:val="00243837"/>
    <w:rsid w:val="0025238E"/>
    <w:rsid w:val="00267D18"/>
    <w:rsid w:val="0027026D"/>
    <w:rsid w:val="002868E2"/>
    <w:rsid w:val="002869C3"/>
    <w:rsid w:val="002936E4"/>
    <w:rsid w:val="002B4A57"/>
    <w:rsid w:val="002C74CA"/>
    <w:rsid w:val="002F18A9"/>
    <w:rsid w:val="003544FB"/>
    <w:rsid w:val="003D2D47"/>
    <w:rsid w:val="003D2F2D"/>
    <w:rsid w:val="00401590"/>
    <w:rsid w:val="00447801"/>
    <w:rsid w:val="00452E9C"/>
    <w:rsid w:val="004735C8"/>
    <w:rsid w:val="004961FF"/>
    <w:rsid w:val="004A2501"/>
    <w:rsid w:val="00517A89"/>
    <w:rsid w:val="005250F2"/>
    <w:rsid w:val="00577C4C"/>
    <w:rsid w:val="00593EEA"/>
    <w:rsid w:val="005A5EEE"/>
    <w:rsid w:val="006375C7"/>
    <w:rsid w:val="006427EB"/>
    <w:rsid w:val="00654E8F"/>
    <w:rsid w:val="00660D05"/>
    <w:rsid w:val="006820B1"/>
    <w:rsid w:val="006B4B31"/>
    <w:rsid w:val="006B7D14"/>
    <w:rsid w:val="006E337C"/>
    <w:rsid w:val="006F2682"/>
    <w:rsid w:val="00701727"/>
    <w:rsid w:val="0070566C"/>
    <w:rsid w:val="00714C50"/>
    <w:rsid w:val="00725A7D"/>
    <w:rsid w:val="007412A7"/>
    <w:rsid w:val="007501BE"/>
    <w:rsid w:val="00790BB3"/>
    <w:rsid w:val="007C206C"/>
    <w:rsid w:val="00803D24"/>
    <w:rsid w:val="00817DD6"/>
    <w:rsid w:val="0085059C"/>
    <w:rsid w:val="00885156"/>
    <w:rsid w:val="008C67C3"/>
    <w:rsid w:val="009151AA"/>
    <w:rsid w:val="0093429D"/>
    <w:rsid w:val="00943573"/>
    <w:rsid w:val="00970F7D"/>
    <w:rsid w:val="00986FF1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23216"/>
    <w:rsid w:val="00C52A7B"/>
    <w:rsid w:val="00C56BAF"/>
    <w:rsid w:val="00C679AA"/>
    <w:rsid w:val="00C71D25"/>
    <w:rsid w:val="00C75972"/>
    <w:rsid w:val="00CC0A3A"/>
    <w:rsid w:val="00CD066B"/>
    <w:rsid w:val="00CE4FEE"/>
    <w:rsid w:val="00DB59C3"/>
    <w:rsid w:val="00DC259A"/>
    <w:rsid w:val="00DE23E8"/>
    <w:rsid w:val="00E06798"/>
    <w:rsid w:val="00E32F6E"/>
    <w:rsid w:val="00E52377"/>
    <w:rsid w:val="00E64E17"/>
    <w:rsid w:val="00E866C9"/>
    <w:rsid w:val="00EA3D3C"/>
    <w:rsid w:val="00EF085A"/>
    <w:rsid w:val="00EF291B"/>
    <w:rsid w:val="00F46900"/>
    <w:rsid w:val="00F61D89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CF4BE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6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794317255@qq.com</cp:lastModifiedBy>
  <cp:revision>10</cp:revision>
  <cp:lastPrinted>2024-06-27T13:18:00Z</cp:lastPrinted>
  <dcterms:created xsi:type="dcterms:W3CDTF">2024-06-26T08:51:00Z</dcterms:created>
  <dcterms:modified xsi:type="dcterms:W3CDTF">2024-06-27T13:19:00Z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