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E54AB" w14:textId="77777777" w:rsidR="00654E8F" w:rsidRPr="006D38BF" w:rsidRDefault="00654E8F" w:rsidP="0001436A">
      <w:pPr>
        <w:pStyle w:val="SupplementaryMaterial"/>
        <w:rPr>
          <w:b w:val="0"/>
        </w:rPr>
      </w:pPr>
      <w:r w:rsidRPr="006D38BF">
        <w:t>Supplementary Material</w:t>
      </w:r>
    </w:p>
    <w:p w14:paraId="4916FCC9" w14:textId="212BE29F" w:rsidR="00994A3D" w:rsidRPr="006D38BF" w:rsidRDefault="00654E8F" w:rsidP="00D403FB">
      <w:pPr>
        <w:pStyle w:val="Heading1"/>
        <w:numPr>
          <w:ilvl w:val="0"/>
          <w:numId w:val="0"/>
        </w:numPr>
        <w:ind w:left="567"/>
      </w:pPr>
      <w:r w:rsidRPr="006D38BF">
        <w:t>Supplementary Figures</w:t>
      </w:r>
    </w:p>
    <w:p w14:paraId="11EC8DA1" w14:textId="73619D3B" w:rsidR="00994A3D" w:rsidRPr="006D38BF" w:rsidRDefault="007621C7" w:rsidP="00994A3D">
      <w:pPr>
        <w:keepNext/>
        <w:jc w:val="center"/>
        <w:rPr>
          <w:rFonts w:cs="Times New Roman"/>
          <w:szCs w:val="24"/>
        </w:rPr>
      </w:pPr>
      <w:r w:rsidRPr="006D38BF">
        <w:rPr>
          <w:rFonts w:cs="Times New Roman"/>
          <w:noProof/>
          <w:szCs w:val="24"/>
        </w:rPr>
        <w:drawing>
          <wp:inline distT="0" distB="0" distL="0" distR="0" wp14:anchorId="5AFA3DC7" wp14:editId="216CCD5A">
            <wp:extent cx="6200775" cy="3790950"/>
            <wp:effectExtent l="0" t="0" r="9525" b="0"/>
            <wp:docPr id="39164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0775" cy="3790950"/>
                    </a:xfrm>
                    <a:prstGeom prst="rect">
                      <a:avLst/>
                    </a:prstGeom>
                    <a:noFill/>
                    <a:ln>
                      <a:noFill/>
                    </a:ln>
                  </pic:spPr>
                </pic:pic>
              </a:graphicData>
            </a:graphic>
          </wp:inline>
        </w:drawing>
      </w:r>
    </w:p>
    <w:p w14:paraId="773CBE95" w14:textId="3ED5B6FC" w:rsidR="007621C7" w:rsidRPr="006D38BF" w:rsidRDefault="007621C7" w:rsidP="007621C7">
      <w:pPr>
        <w:jc w:val="both"/>
        <w:rPr>
          <w:rFonts w:cs="Arial"/>
        </w:rPr>
      </w:pPr>
      <w:r w:rsidRPr="006D38BF">
        <w:rPr>
          <w:rFonts w:cs="Arial"/>
          <w:b/>
          <w:bCs/>
        </w:rPr>
        <w:t>Supplementary Figure 1. Effect of Different Stimulation Parameter Settings.</w:t>
      </w:r>
      <w:r w:rsidRPr="006D38BF">
        <w:rPr>
          <w:rFonts w:cs="Arial"/>
        </w:rPr>
        <w:t xml:space="preserve"> Three different frequencies (8, 20, 50 Hz) and pulse widths (125, 250, 500 µs) were tested in n=4 animals in intact and subsequently spinal cord injured condition. (</w:t>
      </w:r>
      <w:r w:rsidRPr="006D38BF">
        <w:rPr>
          <w:rFonts w:cs="Arial"/>
          <w:b/>
          <w:bCs/>
        </w:rPr>
        <w:t>A</w:t>
      </w:r>
      <w:r w:rsidRPr="006D38BF">
        <w:rPr>
          <w:rFonts w:cs="Arial"/>
        </w:rPr>
        <w:t>) Average motor thresholds were evaluated with each possible combination of stimulation parameters before and after spinal cord injury. We found that the motor threshold significantly differed between 8, 20, and 50 Hz stimulation for most of the tested pulse widths (p &lt; 0.05); only 125µs pulse width at 20 and 50 Hz, and 500µs pulse width at 8 and 20 Hz showed comparable motor thresholds (</w:t>
      </w:r>
      <w:r w:rsidRPr="006D38BF">
        <w:rPr>
          <w:rFonts w:cs="Arial"/>
          <w:i/>
          <w:iCs/>
        </w:rPr>
        <w:t xml:space="preserve">p </w:t>
      </w:r>
      <w:r w:rsidRPr="006D38BF">
        <w:rPr>
          <w:rFonts w:cs="Arial"/>
        </w:rPr>
        <w:t>&gt; 0.05, repeated-measures ANOVA with Tukey’s post hoc test to correct for multiple comparison). Interestingly, no significant differences were found between intact and spinal cord injured animals. (</w:t>
      </w:r>
      <w:r w:rsidRPr="006D38BF">
        <w:rPr>
          <w:rFonts w:cs="Arial"/>
          <w:b/>
          <w:bCs/>
        </w:rPr>
        <w:t>B</w:t>
      </w:r>
      <w:r w:rsidRPr="006D38BF">
        <w:rPr>
          <w:rFonts w:cs="Arial"/>
        </w:rPr>
        <w:t>-</w:t>
      </w:r>
      <w:r w:rsidRPr="006D38BF">
        <w:rPr>
          <w:rFonts w:cs="Arial"/>
          <w:b/>
          <w:bCs/>
        </w:rPr>
        <w:t>D</w:t>
      </w:r>
      <w:r w:rsidRPr="006D38BF">
        <w:rPr>
          <w:rFonts w:cs="Arial"/>
        </w:rPr>
        <w:t>) Intensity dependent increase in movement velocity was measured with different pulse width settings at 8 Hz (</w:t>
      </w:r>
      <w:r w:rsidRPr="006D38BF">
        <w:rPr>
          <w:rFonts w:cs="Arial"/>
          <w:b/>
          <w:bCs/>
        </w:rPr>
        <w:t>B</w:t>
      </w:r>
      <w:r w:rsidRPr="006D38BF">
        <w:rPr>
          <w:rFonts w:cs="Arial"/>
        </w:rPr>
        <w:t>), 20 Hz (</w:t>
      </w:r>
      <w:r w:rsidRPr="006D38BF">
        <w:rPr>
          <w:rFonts w:cs="Arial"/>
          <w:b/>
          <w:bCs/>
        </w:rPr>
        <w:t>C</w:t>
      </w:r>
      <w:r w:rsidRPr="006D38BF">
        <w:rPr>
          <w:rFonts w:cs="Arial"/>
        </w:rPr>
        <w:t>), and 50 Hz (</w:t>
      </w:r>
      <w:r w:rsidRPr="006D38BF">
        <w:rPr>
          <w:rFonts w:cs="Arial"/>
          <w:b/>
          <w:bCs/>
        </w:rPr>
        <w:t>D</w:t>
      </w:r>
      <w:r w:rsidRPr="006D38BF">
        <w:rPr>
          <w:rFonts w:cs="Arial"/>
        </w:rPr>
        <w:t>) stimulation frequency in intact and (</w:t>
      </w:r>
      <w:r w:rsidRPr="006D38BF">
        <w:rPr>
          <w:rFonts w:cs="Arial"/>
          <w:b/>
          <w:bCs/>
        </w:rPr>
        <w:t>E</w:t>
      </w:r>
      <w:r w:rsidRPr="006D38BF">
        <w:rPr>
          <w:rFonts w:cs="Arial"/>
        </w:rPr>
        <w:t>-</w:t>
      </w:r>
      <w:r w:rsidRPr="006D38BF">
        <w:rPr>
          <w:rFonts w:cs="Arial"/>
          <w:b/>
          <w:bCs/>
        </w:rPr>
        <w:t>G</w:t>
      </w:r>
      <w:r w:rsidRPr="006D38BF">
        <w:rPr>
          <w:rFonts w:cs="Arial"/>
        </w:rPr>
        <w:t>) subsequently injured rats at motor threshold intensity (TH) and three suprathreshold intensities (TH + 20%, +40%, +60%) compared to baseline (BL; no stimulation). Data in macaques</w:t>
      </w:r>
      <w:r w:rsidR="00B477E0" w:rsidRPr="006D38BF">
        <w:rPr>
          <w:rFonts w:cs="Arial"/>
        </w:rPr>
        <w:t xml:space="preserve"> (86)</w:t>
      </w:r>
      <w:r w:rsidRPr="006D38BF">
        <w:rPr>
          <w:rFonts w:cs="Arial"/>
        </w:rPr>
        <w:t xml:space="preserve"> and humans</w:t>
      </w:r>
      <w:r w:rsidR="00B477E0" w:rsidRPr="006D38BF">
        <w:rPr>
          <w:rFonts w:cs="Arial"/>
        </w:rPr>
        <w:t xml:space="preserve"> (</w:t>
      </w:r>
      <w:r w:rsidRPr="006D38BF">
        <w:rPr>
          <w:rFonts w:cs="Arial"/>
        </w:rPr>
        <w:t>26</w:t>
      </w:r>
      <w:r w:rsidR="00B477E0" w:rsidRPr="006D38BF">
        <w:rPr>
          <w:rFonts w:cs="Arial"/>
        </w:rPr>
        <w:t>)</w:t>
      </w:r>
      <w:r w:rsidRPr="006D38BF">
        <w:rPr>
          <w:rFonts w:cs="Arial"/>
        </w:rPr>
        <w:t xml:space="preserve"> indicate that PPN stimulation may facilitate or worsen locomotion depending on the electrical stimulation parameter settings. We found no significant differences in the stimulation intensity dependent increase in locomotor velocity, neither between different combinations of stimulation parameters, nor the intact compared to the spinal cord injured condition. To test the beneficial effects of </w:t>
      </w:r>
      <w:proofErr w:type="spellStart"/>
      <w:r w:rsidRPr="006D38BF">
        <w:rPr>
          <w:rFonts w:cs="Arial"/>
        </w:rPr>
        <w:t>CnF</w:t>
      </w:r>
      <w:proofErr w:type="spellEnd"/>
      <w:r w:rsidRPr="006D38BF">
        <w:rPr>
          <w:rFonts w:cs="Arial"/>
        </w:rPr>
        <w:t xml:space="preserve">-DBS supported rehabilitative training on locomotor recovery, a stimulation frequency of 50 Hz and a pulse width of 500µs were used. </w:t>
      </w:r>
    </w:p>
    <w:p w14:paraId="2C162DA2" w14:textId="3C4D02F8" w:rsidR="007621C7" w:rsidRPr="006D38BF" w:rsidRDefault="007621C7" w:rsidP="007621C7">
      <w:pPr>
        <w:jc w:val="both"/>
        <w:rPr>
          <w:rFonts w:cs="Arial"/>
        </w:rPr>
      </w:pPr>
      <w:r w:rsidRPr="006D38BF">
        <w:rPr>
          <w:rFonts w:cs="Arial"/>
          <w:noProof/>
        </w:rPr>
        <w:lastRenderedPageBreak/>
        <w:drawing>
          <wp:inline distT="0" distB="0" distL="0" distR="0" wp14:anchorId="592ABE4D" wp14:editId="187D7E8E">
            <wp:extent cx="6200775" cy="1885950"/>
            <wp:effectExtent l="0" t="0" r="9525" b="0"/>
            <wp:docPr id="17649103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0775" cy="1885950"/>
                    </a:xfrm>
                    <a:prstGeom prst="rect">
                      <a:avLst/>
                    </a:prstGeom>
                    <a:noFill/>
                    <a:ln>
                      <a:noFill/>
                    </a:ln>
                  </pic:spPr>
                </pic:pic>
              </a:graphicData>
            </a:graphic>
          </wp:inline>
        </w:drawing>
      </w:r>
    </w:p>
    <w:p w14:paraId="1779A59F" w14:textId="3784264E" w:rsidR="00B16F0E" w:rsidRPr="006D38BF" w:rsidRDefault="007621C7" w:rsidP="007621C7">
      <w:pPr>
        <w:jc w:val="both"/>
        <w:rPr>
          <w:rFonts w:cs="Arial"/>
        </w:rPr>
      </w:pPr>
      <w:r w:rsidRPr="006D38BF">
        <w:rPr>
          <w:rFonts w:cs="Arial"/>
          <w:b/>
          <w:bCs/>
        </w:rPr>
        <w:t xml:space="preserve">Supplementary Figure 2. Low- to Medium-Intensity Suprathreshold </w:t>
      </w:r>
      <w:proofErr w:type="spellStart"/>
      <w:r w:rsidRPr="006D38BF">
        <w:rPr>
          <w:rFonts w:cs="Arial"/>
          <w:b/>
          <w:bCs/>
        </w:rPr>
        <w:t>CnF</w:t>
      </w:r>
      <w:proofErr w:type="spellEnd"/>
      <w:r w:rsidRPr="006D38BF">
        <w:rPr>
          <w:rFonts w:cs="Arial"/>
          <w:b/>
          <w:bCs/>
        </w:rPr>
        <w:t xml:space="preserve">-DBS was Used to Support Rehabilitative Training. </w:t>
      </w:r>
      <w:r w:rsidRPr="006D38BF">
        <w:rPr>
          <w:rFonts w:cs="Arial"/>
        </w:rPr>
        <w:t>(</w:t>
      </w:r>
      <w:r w:rsidRPr="006D38BF">
        <w:rPr>
          <w:rFonts w:cs="Arial"/>
          <w:b/>
          <w:bCs/>
        </w:rPr>
        <w:t>A</w:t>
      </w:r>
      <w:r w:rsidRPr="006D38BF">
        <w:rPr>
          <w:rFonts w:cs="Arial"/>
        </w:rPr>
        <w:t xml:space="preserve">) Stimulation intensity expressed as percentage of </w:t>
      </w:r>
      <w:proofErr w:type="gramStart"/>
      <w:r w:rsidRPr="006D38BF">
        <w:rPr>
          <w:rFonts w:cs="Arial"/>
        </w:rPr>
        <w:t>each individual’s</w:t>
      </w:r>
      <w:proofErr w:type="gramEnd"/>
      <w:r w:rsidRPr="006D38BF">
        <w:rPr>
          <w:rFonts w:cs="Arial"/>
        </w:rPr>
        <w:t xml:space="preserve"> motor threshold (TH) per training cycle and training day. </w:t>
      </w:r>
      <w:proofErr w:type="spellStart"/>
      <w:r w:rsidRPr="006D38BF">
        <w:rPr>
          <w:rFonts w:cs="Arial"/>
        </w:rPr>
        <w:t>Šidák’s</w:t>
      </w:r>
      <w:proofErr w:type="spellEnd"/>
      <w:r w:rsidRPr="006D38BF">
        <w:rPr>
          <w:rFonts w:cs="Arial"/>
        </w:rPr>
        <w:t xml:space="preserve"> multiple comparison post hoc test following two-way ANOVA. * (</w:t>
      </w:r>
      <w:r w:rsidRPr="006D38BF">
        <w:rPr>
          <w:rFonts w:cs="Arial"/>
          <w:i/>
          <w:iCs/>
        </w:rPr>
        <w:t xml:space="preserve">p &lt; </w:t>
      </w:r>
      <w:r w:rsidRPr="006D38BF">
        <w:rPr>
          <w:rFonts w:cs="Arial"/>
        </w:rPr>
        <w:t>0.05), ** (</w:t>
      </w:r>
      <w:r w:rsidRPr="006D38BF">
        <w:rPr>
          <w:rFonts w:cs="Arial"/>
          <w:i/>
          <w:iCs/>
        </w:rPr>
        <w:t>p</w:t>
      </w:r>
      <w:r w:rsidRPr="006D38BF">
        <w:rPr>
          <w:rFonts w:cs="Arial"/>
        </w:rPr>
        <w:t xml:space="preserve"> &lt; 0.01), *** (</w:t>
      </w:r>
      <w:r w:rsidRPr="006D38BF">
        <w:rPr>
          <w:rFonts w:cs="Arial"/>
          <w:i/>
          <w:iCs/>
        </w:rPr>
        <w:t xml:space="preserve">p </w:t>
      </w:r>
      <w:r w:rsidRPr="006D38BF">
        <w:rPr>
          <w:rFonts w:cs="Arial"/>
        </w:rPr>
        <w:t>&lt;0.001). (</w:t>
      </w:r>
      <w:r w:rsidRPr="006D38BF">
        <w:rPr>
          <w:rFonts w:cs="Arial"/>
          <w:b/>
          <w:bCs/>
        </w:rPr>
        <w:t>B</w:t>
      </w:r>
      <w:r w:rsidRPr="006D38BF">
        <w:rPr>
          <w:rFonts w:cs="Arial"/>
        </w:rPr>
        <w:t xml:space="preserve">) Frequency distribution (%) denoting the relative density of applied stimulation intensities. </w:t>
      </w:r>
    </w:p>
    <w:p w14:paraId="3EA40272" w14:textId="293EA8B8" w:rsidR="00B16F0E" w:rsidRPr="006D38BF" w:rsidRDefault="00B16F0E">
      <w:pPr>
        <w:spacing w:before="0" w:after="200" w:line="276" w:lineRule="auto"/>
        <w:rPr>
          <w:rFonts w:cs="Arial"/>
        </w:rPr>
      </w:pPr>
      <w:r w:rsidRPr="006D38BF">
        <w:rPr>
          <w:rFonts w:cs="Arial"/>
        </w:rPr>
        <w:br w:type="page"/>
      </w:r>
    </w:p>
    <w:p w14:paraId="5FEE3BD8" w14:textId="6530780D" w:rsidR="00B16F0E" w:rsidRPr="006D38BF" w:rsidRDefault="00D56C1A" w:rsidP="006625DC">
      <w:pPr>
        <w:jc w:val="both"/>
        <w:rPr>
          <w:rFonts w:cs="Arial"/>
        </w:rPr>
      </w:pPr>
      <w:r w:rsidRPr="006D38BF">
        <w:rPr>
          <w:noProof/>
        </w:rPr>
        <w:lastRenderedPageBreak/>
        <w:drawing>
          <wp:anchor distT="0" distB="0" distL="114300" distR="114300" simplePos="0" relativeHeight="251659264" behindDoc="1" locked="0" layoutInCell="1" allowOverlap="1" wp14:anchorId="28D0443B" wp14:editId="797DC347">
            <wp:simplePos x="0" y="0"/>
            <wp:positionH relativeFrom="column">
              <wp:posOffset>-4445</wp:posOffset>
            </wp:positionH>
            <wp:positionV relativeFrom="paragraph">
              <wp:posOffset>1270</wp:posOffset>
            </wp:positionV>
            <wp:extent cx="6200775" cy="2962275"/>
            <wp:effectExtent l="0" t="0" r="9525" b="9525"/>
            <wp:wrapTight wrapText="bothSides">
              <wp:wrapPolygon edited="0">
                <wp:start x="0" y="0"/>
                <wp:lineTo x="0" y="21531"/>
                <wp:lineTo x="21567" y="21531"/>
                <wp:lineTo x="21567" y="0"/>
                <wp:lineTo x="0" y="0"/>
              </wp:wrapPolygon>
            </wp:wrapTight>
            <wp:docPr id="1956503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0775" cy="2962275"/>
                    </a:xfrm>
                    <a:prstGeom prst="rect">
                      <a:avLst/>
                    </a:prstGeom>
                    <a:noFill/>
                    <a:ln>
                      <a:noFill/>
                    </a:ln>
                  </pic:spPr>
                </pic:pic>
              </a:graphicData>
            </a:graphic>
            <wp14:sizeRelH relativeFrom="page">
              <wp14:pctWidth>0</wp14:pctWidth>
            </wp14:sizeRelH>
            <wp14:sizeRelV relativeFrom="page">
              <wp14:pctHeight>0</wp14:pctHeight>
            </wp14:sizeRelV>
          </wp:anchor>
        </w:drawing>
      </w:r>
      <w:r w:rsidR="00B16F0E" w:rsidRPr="006D38BF">
        <w:rPr>
          <w:rFonts w:cs="Arial"/>
          <w:b/>
          <w:bCs/>
        </w:rPr>
        <w:t xml:space="preserve">Supplementary Figure 3. </w:t>
      </w:r>
      <w:r w:rsidR="008E4B53" w:rsidRPr="006D38BF">
        <w:rPr>
          <w:rFonts w:cs="Arial"/>
          <w:b/>
          <w:bCs/>
        </w:rPr>
        <w:t xml:space="preserve">Weekly BBB Improvement and Correlation of the Locomotion Improvement to the Lesion Size. </w:t>
      </w:r>
      <w:r w:rsidR="008E4B53" w:rsidRPr="006D38BF">
        <w:rPr>
          <w:rFonts w:cs="Arial"/>
        </w:rPr>
        <w:t>(</w:t>
      </w:r>
      <w:r w:rsidR="008E4B53" w:rsidRPr="006D38BF">
        <w:rPr>
          <w:rFonts w:cs="Arial"/>
          <w:b/>
          <w:bCs/>
        </w:rPr>
        <w:t>A</w:t>
      </w:r>
      <w:r w:rsidR="008E4B53" w:rsidRPr="006D38BF">
        <w:rPr>
          <w:rFonts w:cs="Arial"/>
        </w:rPr>
        <w:t xml:space="preserve">) </w:t>
      </w:r>
      <w:r w:rsidR="006E682D" w:rsidRPr="006D38BF">
        <w:rPr>
          <w:rFonts w:cs="Arial"/>
        </w:rPr>
        <w:t xml:space="preserve">Quantification of </w:t>
      </w:r>
      <w:r w:rsidR="006E682D" w:rsidRPr="006D38BF">
        <w:rPr>
          <w:rFonts w:cs="Times New Roman"/>
        </w:rPr>
        <w:t>ΔBBB scores for each experimental week post SCI shows a slightly higher (</w:t>
      </w:r>
      <w:r w:rsidR="006E682D" w:rsidRPr="006D38BF">
        <w:rPr>
          <w:rFonts w:cs="Times New Roman"/>
          <w:i/>
          <w:iCs/>
        </w:rPr>
        <w:t xml:space="preserve">p </w:t>
      </w:r>
      <w:r w:rsidR="006E682D" w:rsidRPr="006D38BF">
        <w:rPr>
          <w:rFonts w:cs="Times New Roman"/>
        </w:rPr>
        <w:t xml:space="preserve">&gt; 0.05) weekly ΔBBB in the </w:t>
      </w:r>
      <w:proofErr w:type="spellStart"/>
      <w:r w:rsidR="006E682D" w:rsidRPr="006D38BF">
        <w:rPr>
          <w:rFonts w:cs="Times New Roman"/>
        </w:rPr>
        <w:t>CnF</w:t>
      </w:r>
      <w:proofErr w:type="spellEnd"/>
      <w:r w:rsidR="006E682D" w:rsidRPr="006D38BF">
        <w:rPr>
          <w:rFonts w:cs="Times New Roman"/>
        </w:rPr>
        <w:t xml:space="preserve">-DBS group in all experimental timepoints except for the first and the last week. In both groups no significant differences were found within the same experimental phase (recovery: wks1-2; rehabilitative training: </w:t>
      </w:r>
      <w:proofErr w:type="spellStart"/>
      <w:r w:rsidR="006E682D" w:rsidRPr="006D38BF">
        <w:rPr>
          <w:rFonts w:cs="Times New Roman"/>
        </w:rPr>
        <w:t>wks</w:t>
      </w:r>
      <w:proofErr w:type="spellEnd"/>
      <w:r w:rsidR="006E682D" w:rsidRPr="006D38BF">
        <w:rPr>
          <w:rFonts w:cs="Times New Roman"/>
        </w:rPr>
        <w:t xml:space="preserve">: 3-6; retention: </w:t>
      </w:r>
      <w:proofErr w:type="spellStart"/>
      <w:r w:rsidR="006E682D" w:rsidRPr="006D38BF">
        <w:rPr>
          <w:rFonts w:cs="Times New Roman"/>
        </w:rPr>
        <w:t>wks</w:t>
      </w:r>
      <w:proofErr w:type="spellEnd"/>
      <w:r w:rsidR="006E682D" w:rsidRPr="006D38BF">
        <w:rPr>
          <w:rFonts w:cs="Times New Roman"/>
        </w:rPr>
        <w:t xml:space="preserve"> 7-9). </w:t>
      </w:r>
      <w:r w:rsidR="006625DC" w:rsidRPr="006D38BF">
        <w:rPr>
          <w:rFonts w:eastAsia="Times New Roman"/>
          <w:lang w:val="en"/>
        </w:rPr>
        <w:t xml:space="preserve">However, a significant decrease in ΔBBB score was found between selected weeks from the recovery and training phase when compared to the retention phase in both groups. </w:t>
      </w:r>
      <w:proofErr w:type="spellStart"/>
      <w:r w:rsidR="006625DC" w:rsidRPr="006D38BF">
        <w:rPr>
          <w:rFonts w:cs="Arial"/>
        </w:rPr>
        <w:t>Šidák’s</w:t>
      </w:r>
      <w:proofErr w:type="spellEnd"/>
      <w:r w:rsidR="006625DC" w:rsidRPr="006D38BF">
        <w:rPr>
          <w:rFonts w:cs="Arial"/>
        </w:rPr>
        <w:t xml:space="preserve"> multiple comparison post hoc test following two-way ANOVA. </w:t>
      </w:r>
      <w:proofErr w:type="spellStart"/>
      <w:r w:rsidR="006625DC" w:rsidRPr="006D38BF">
        <w:rPr>
          <w:rFonts w:cs="Arial"/>
        </w:rPr>
        <w:t>wpi</w:t>
      </w:r>
      <w:proofErr w:type="spellEnd"/>
      <w:r w:rsidR="006625DC" w:rsidRPr="006D38BF">
        <w:rPr>
          <w:rFonts w:cs="Arial"/>
        </w:rPr>
        <w:t xml:space="preserve"> = weeks post injury. (</w:t>
      </w:r>
      <w:r w:rsidR="006625DC" w:rsidRPr="006D38BF">
        <w:rPr>
          <w:rFonts w:cs="Arial"/>
          <w:b/>
          <w:bCs/>
        </w:rPr>
        <w:t>B-E</w:t>
      </w:r>
      <w:r w:rsidR="006625DC" w:rsidRPr="006D38BF">
        <w:rPr>
          <w:rFonts w:cs="Arial"/>
        </w:rPr>
        <w:t xml:space="preserve">) Simple linear regressions in the correlation between </w:t>
      </w:r>
      <w:r w:rsidR="006625DC" w:rsidRPr="006D38BF">
        <w:rPr>
          <w:rFonts w:cs="Times New Roman"/>
        </w:rPr>
        <w:t xml:space="preserve">ΔBBB of the different experimental phases and the percentage of white matter (WM) sparing reveals a beneficial effect in </w:t>
      </w:r>
      <w:proofErr w:type="spellStart"/>
      <w:r w:rsidR="006625DC" w:rsidRPr="006D38BF">
        <w:rPr>
          <w:rFonts w:cs="Times New Roman"/>
        </w:rPr>
        <w:t>CnF</w:t>
      </w:r>
      <w:proofErr w:type="spellEnd"/>
      <w:r w:rsidR="006625DC" w:rsidRPr="006D38BF">
        <w:rPr>
          <w:rFonts w:cs="Times New Roman"/>
        </w:rPr>
        <w:t xml:space="preserve">-DBS supported animals when compared to non-stimulated control animals with similar lesion sizes. Importantly, this effect is only present during and after </w:t>
      </w:r>
      <w:proofErr w:type="spellStart"/>
      <w:r w:rsidR="006625DC" w:rsidRPr="006D38BF">
        <w:rPr>
          <w:rFonts w:cs="Times New Roman"/>
        </w:rPr>
        <w:t>CnF</w:t>
      </w:r>
      <w:proofErr w:type="spellEnd"/>
      <w:r w:rsidR="006625DC" w:rsidRPr="006D38BF">
        <w:rPr>
          <w:rFonts w:cs="Times New Roman"/>
        </w:rPr>
        <w:t xml:space="preserve">-DBS supported rehabilitative training, while no difference between the two groups was found during the two weeks of spontaneous recovery after SCI induction. </w:t>
      </w:r>
    </w:p>
    <w:tbl>
      <w:tblPr>
        <w:tblW w:w="2080" w:type="dxa"/>
        <w:tblCellMar>
          <w:left w:w="0" w:type="dxa"/>
          <w:right w:w="0" w:type="dxa"/>
        </w:tblCellMar>
        <w:tblLook w:val="04A0" w:firstRow="1" w:lastRow="0" w:firstColumn="1" w:lastColumn="0" w:noHBand="0" w:noVBand="1"/>
      </w:tblPr>
      <w:tblGrid>
        <w:gridCol w:w="2080"/>
      </w:tblGrid>
      <w:tr w:rsidR="00B16F0E" w:rsidRPr="006D38BF" w14:paraId="3237A0D8" w14:textId="77777777" w:rsidTr="00B16F0E">
        <w:tc>
          <w:tcPr>
            <w:tcW w:w="2080" w:type="dxa"/>
            <w:tcBorders>
              <w:top w:val="nil"/>
              <w:left w:val="nil"/>
              <w:bottom w:val="nil"/>
              <w:right w:val="nil"/>
            </w:tcBorders>
            <w:shd w:val="clear" w:color="auto" w:fill="auto"/>
            <w:noWrap/>
            <w:tcMar>
              <w:top w:w="15" w:type="dxa"/>
              <w:left w:w="15" w:type="dxa"/>
              <w:bottom w:w="0" w:type="dxa"/>
              <w:right w:w="15" w:type="dxa"/>
            </w:tcMar>
            <w:vAlign w:val="bottom"/>
          </w:tcPr>
          <w:p w14:paraId="3B4DC97D" w14:textId="15992934" w:rsidR="00B16F0E" w:rsidRPr="006D38BF" w:rsidRDefault="00B16F0E">
            <w:pPr>
              <w:spacing w:before="0" w:after="0"/>
              <w:jc w:val="right"/>
              <w:rPr>
                <w:rFonts w:ascii="Arial" w:hAnsi="Arial" w:cs="Arial"/>
                <w:sz w:val="20"/>
                <w:szCs w:val="20"/>
              </w:rPr>
            </w:pPr>
          </w:p>
        </w:tc>
      </w:tr>
    </w:tbl>
    <w:p w14:paraId="0D1BD020" w14:textId="33A89113" w:rsidR="00B16F0E" w:rsidRPr="006D38BF" w:rsidRDefault="00B16F0E">
      <w:pPr>
        <w:spacing w:before="0" w:after="200" w:line="276" w:lineRule="auto"/>
      </w:pPr>
    </w:p>
    <w:p w14:paraId="64D245E4" w14:textId="77777777" w:rsidR="00B16F0E" w:rsidRPr="006D38BF" w:rsidRDefault="00B16F0E">
      <w:pPr>
        <w:spacing w:before="0" w:after="200" w:line="276" w:lineRule="auto"/>
      </w:pPr>
      <w:r w:rsidRPr="006D38BF">
        <w:br w:type="page"/>
      </w:r>
    </w:p>
    <w:p w14:paraId="55FB8DB8" w14:textId="61A01ADD" w:rsidR="00B477E0" w:rsidRPr="006D38BF" w:rsidRDefault="006854F1" w:rsidP="00F171DB">
      <w:pPr>
        <w:spacing w:before="240"/>
        <w:jc w:val="both"/>
      </w:pPr>
      <w:r w:rsidRPr="006D38BF">
        <w:rPr>
          <w:rFonts w:cs="Arial"/>
          <w:b/>
          <w:bCs/>
        </w:rPr>
        <w:lastRenderedPageBreak/>
        <w:t xml:space="preserve">Supplementary Figure </w:t>
      </w:r>
      <w:r w:rsidR="00B16F0E" w:rsidRPr="006D38BF">
        <w:rPr>
          <w:rFonts w:cs="Arial"/>
          <w:b/>
          <w:bCs/>
        </w:rPr>
        <w:t>4</w:t>
      </w:r>
      <w:r w:rsidRPr="006D38BF">
        <w:rPr>
          <w:rFonts w:cs="Arial"/>
          <w:b/>
          <w:bCs/>
        </w:rPr>
        <w:t xml:space="preserve">. Reticulospinal Fiber Localization in the Lumbar Spinal Cord and Reconstruction of Electrode Implantation Site. </w:t>
      </w:r>
      <w:r w:rsidRPr="006D38BF">
        <w:rPr>
          <w:rFonts w:cs="Arial"/>
        </w:rPr>
        <w:t>(</w:t>
      </w:r>
      <w:r w:rsidRPr="006D38BF">
        <w:rPr>
          <w:rFonts w:cs="Arial"/>
          <w:b/>
          <w:bCs/>
        </w:rPr>
        <w:t>A-</w:t>
      </w:r>
      <w:r w:rsidR="00F171DB" w:rsidRPr="006D38BF">
        <w:rPr>
          <w:rFonts w:cs="Arial"/>
          <w:b/>
          <w:bCs/>
        </w:rPr>
        <w:t>B, E-F</w:t>
      </w:r>
      <w:r w:rsidRPr="006D38BF">
        <w:rPr>
          <w:rFonts w:cs="Arial"/>
        </w:rPr>
        <w:t>) Fiber density heatmaps of gray matter at spinal level</w:t>
      </w:r>
      <w:r w:rsidR="00F171DB" w:rsidRPr="006D38BF">
        <w:rPr>
          <w:rFonts w:cs="Arial"/>
        </w:rPr>
        <w:t>s</w:t>
      </w:r>
      <w:r w:rsidRPr="006D38BF">
        <w:rPr>
          <w:rFonts w:cs="Arial"/>
        </w:rPr>
        <w:t xml:space="preserve"> L2 </w:t>
      </w:r>
      <w:r w:rsidRPr="006D38BF">
        <w:rPr>
          <w:noProof/>
        </w:rPr>
        <w:drawing>
          <wp:anchor distT="0" distB="0" distL="114300" distR="114300" simplePos="0" relativeHeight="251658240" behindDoc="1" locked="0" layoutInCell="1" allowOverlap="1" wp14:anchorId="04C91663" wp14:editId="1FBCF507">
            <wp:simplePos x="0" y="0"/>
            <wp:positionH relativeFrom="column">
              <wp:posOffset>-4445</wp:posOffset>
            </wp:positionH>
            <wp:positionV relativeFrom="paragraph">
              <wp:posOffset>1270</wp:posOffset>
            </wp:positionV>
            <wp:extent cx="6200775" cy="7372350"/>
            <wp:effectExtent l="0" t="0" r="9525" b="0"/>
            <wp:wrapTight wrapText="bothSides">
              <wp:wrapPolygon edited="0">
                <wp:start x="0" y="0"/>
                <wp:lineTo x="0" y="21544"/>
                <wp:lineTo x="21567" y="21544"/>
                <wp:lineTo x="21567" y="0"/>
                <wp:lineTo x="0" y="0"/>
              </wp:wrapPolygon>
            </wp:wrapTight>
            <wp:docPr id="173928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0775" cy="7372350"/>
                    </a:xfrm>
                    <a:prstGeom prst="rect">
                      <a:avLst/>
                    </a:prstGeom>
                    <a:noFill/>
                    <a:ln>
                      <a:noFill/>
                    </a:ln>
                  </pic:spPr>
                </pic:pic>
              </a:graphicData>
            </a:graphic>
          </wp:anchor>
        </w:drawing>
      </w:r>
      <w:r w:rsidR="00F171DB" w:rsidRPr="006D38BF">
        <w:rPr>
          <w:rFonts w:cs="Arial"/>
        </w:rPr>
        <w:t>(</w:t>
      </w:r>
      <w:r w:rsidR="00F171DB" w:rsidRPr="006D38BF">
        <w:rPr>
          <w:rFonts w:cs="Arial"/>
          <w:b/>
          <w:bCs/>
        </w:rPr>
        <w:t>A-B</w:t>
      </w:r>
      <w:r w:rsidR="00F171DB" w:rsidRPr="006D38BF">
        <w:rPr>
          <w:rFonts w:cs="Arial"/>
        </w:rPr>
        <w:t>) and L5 (</w:t>
      </w:r>
      <w:r w:rsidR="00F171DB" w:rsidRPr="006D38BF">
        <w:rPr>
          <w:rFonts w:cs="Arial"/>
          <w:b/>
          <w:bCs/>
        </w:rPr>
        <w:t>E-F</w:t>
      </w:r>
      <w:r w:rsidR="00F171DB" w:rsidRPr="006D38BF">
        <w:rPr>
          <w:rFonts w:cs="Arial"/>
        </w:rPr>
        <w:t>) of an animal showing aberrant sprouting in the dorsal horn (</w:t>
      </w:r>
      <w:proofErr w:type="gramStart"/>
      <w:r w:rsidR="00F171DB" w:rsidRPr="006D38BF">
        <w:rPr>
          <w:rFonts w:cs="Arial"/>
          <w:b/>
          <w:bCs/>
        </w:rPr>
        <w:t>A,E</w:t>
      </w:r>
      <w:proofErr w:type="gramEnd"/>
      <w:r w:rsidR="00F171DB" w:rsidRPr="006D38BF">
        <w:rPr>
          <w:rFonts w:cs="Arial"/>
        </w:rPr>
        <w:t>) and an animal showing only few traced NRG-fibers in the dorsal horn (</w:t>
      </w:r>
      <w:r w:rsidR="00F171DB" w:rsidRPr="006D38BF">
        <w:rPr>
          <w:rFonts w:cs="Arial"/>
          <w:b/>
          <w:bCs/>
        </w:rPr>
        <w:t>B,F</w:t>
      </w:r>
      <w:r w:rsidR="00F171DB" w:rsidRPr="006D38BF">
        <w:rPr>
          <w:rFonts w:cs="Arial"/>
        </w:rPr>
        <w:t>). (</w:t>
      </w:r>
      <w:r w:rsidR="00F171DB" w:rsidRPr="006D38BF">
        <w:rPr>
          <w:rFonts w:cs="Arial"/>
          <w:b/>
          <w:bCs/>
        </w:rPr>
        <w:t>C-D, G-H</w:t>
      </w:r>
      <w:r w:rsidR="00F171DB" w:rsidRPr="006D38BF">
        <w:rPr>
          <w:rFonts w:cs="Arial"/>
        </w:rPr>
        <w:t>) Quantification of traced NRG-fiber density at lumbar spinal levels L2 (</w:t>
      </w:r>
      <w:r w:rsidR="00F171DB" w:rsidRPr="006D38BF">
        <w:rPr>
          <w:rFonts w:cs="Arial"/>
          <w:b/>
          <w:bCs/>
        </w:rPr>
        <w:t>C-D</w:t>
      </w:r>
      <w:r w:rsidR="00F171DB" w:rsidRPr="006D38BF">
        <w:rPr>
          <w:rFonts w:cs="Arial"/>
        </w:rPr>
        <w:t>) and L5 (</w:t>
      </w:r>
      <w:r w:rsidR="00F171DB" w:rsidRPr="006D38BF">
        <w:rPr>
          <w:rFonts w:cs="Arial"/>
          <w:b/>
          <w:bCs/>
        </w:rPr>
        <w:t>G-H</w:t>
      </w:r>
      <w:r w:rsidR="00F171DB" w:rsidRPr="006D38BF">
        <w:rPr>
          <w:rFonts w:cs="Arial"/>
        </w:rPr>
        <w:t xml:space="preserve">) for the </w:t>
      </w:r>
      <w:r w:rsidR="00F171DB" w:rsidRPr="006D38BF">
        <w:rPr>
          <w:rFonts w:cs="Arial"/>
        </w:rPr>
        <w:lastRenderedPageBreak/>
        <w:t>dorsal horn (</w:t>
      </w:r>
      <w:proofErr w:type="gramStart"/>
      <w:r w:rsidR="00F171DB" w:rsidRPr="006D38BF">
        <w:rPr>
          <w:rFonts w:cs="Arial"/>
          <w:b/>
          <w:bCs/>
        </w:rPr>
        <w:t>C,G</w:t>
      </w:r>
      <w:proofErr w:type="gramEnd"/>
      <w:r w:rsidR="00F171DB" w:rsidRPr="006D38BF">
        <w:rPr>
          <w:rFonts w:cs="Arial"/>
        </w:rPr>
        <w:t>) and the ventral horn (</w:t>
      </w:r>
      <w:r w:rsidR="00F171DB" w:rsidRPr="006D38BF">
        <w:rPr>
          <w:rFonts w:cs="Arial"/>
          <w:b/>
          <w:bCs/>
        </w:rPr>
        <w:t>D,H</w:t>
      </w:r>
      <w:r w:rsidR="00F171DB" w:rsidRPr="006D38BF">
        <w:rPr>
          <w:rFonts w:cs="Arial"/>
        </w:rPr>
        <w:t xml:space="preserve">). </w:t>
      </w:r>
      <w:r w:rsidR="00B477E0" w:rsidRPr="006D38BF">
        <w:rPr>
          <w:rFonts w:cs="Arial"/>
        </w:rPr>
        <w:t>Welch’s t-test. * (</w:t>
      </w:r>
      <w:r w:rsidR="00B477E0" w:rsidRPr="006D38BF">
        <w:rPr>
          <w:rFonts w:cs="Arial"/>
          <w:i/>
          <w:iCs/>
        </w:rPr>
        <w:t xml:space="preserve">p &lt; </w:t>
      </w:r>
      <w:r w:rsidR="00B477E0" w:rsidRPr="006D38BF">
        <w:rPr>
          <w:rFonts w:cs="Arial"/>
        </w:rPr>
        <w:t>0.05), ** (</w:t>
      </w:r>
      <w:r w:rsidR="00B477E0" w:rsidRPr="006D38BF">
        <w:rPr>
          <w:rFonts w:cs="Arial"/>
          <w:i/>
          <w:iCs/>
        </w:rPr>
        <w:t>p</w:t>
      </w:r>
      <w:r w:rsidR="00B477E0" w:rsidRPr="006D38BF">
        <w:rPr>
          <w:rFonts w:cs="Arial"/>
        </w:rPr>
        <w:t xml:space="preserve"> &lt; 0.01), *** (</w:t>
      </w:r>
      <w:r w:rsidR="00B477E0" w:rsidRPr="006D38BF">
        <w:rPr>
          <w:rFonts w:cs="Arial"/>
          <w:i/>
          <w:iCs/>
        </w:rPr>
        <w:t xml:space="preserve">p </w:t>
      </w:r>
      <w:r w:rsidR="00B477E0" w:rsidRPr="006D38BF">
        <w:rPr>
          <w:rFonts w:cs="Arial"/>
        </w:rPr>
        <w:t xml:space="preserve">&lt;0.001). Data are represented as means </w:t>
      </w:r>
      <w:r w:rsidR="00B477E0" w:rsidRPr="006D38BF">
        <w:rPr>
          <w:rFonts w:cs="Times New Roman"/>
        </w:rPr>
        <w:t>±</w:t>
      </w:r>
      <w:r w:rsidR="00B477E0" w:rsidRPr="006D38BF">
        <w:rPr>
          <w:rFonts w:cs="Arial"/>
        </w:rPr>
        <w:t>SD, scatter represents individual animals.</w:t>
      </w:r>
      <w:r w:rsidR="00061B77" w:rsidRPr="006D38BF">
        <w:rPr>
          <w:rFonts w:cs="Arial"/>
        </w:rPr>
        <w:t xml:space="preserve"> (</w:t>
      </w:r>
      <w:r w:rsidR="00061B77" w:rsidRPr="006D38BF">
        <w:rPr>
          <w:rFonts w:cs="Arial"/>
          <w:b/>
          <w:bCs/>
        </w:rPr>
        <w:t>I-N</w:t>
      </w:r>
      <w:r w:rsidR="00061B77" w:rsidRPr="006D38BF">
        <w:rPr>
          <w:rFonts w:cs="Arial"/>
        </w:rPr>
        <w:t>) 3D reconstructions of three animals of the control group (</w:t>
      </w:r>
      <w:r w:rsidR="00061B77" w:rsidRPr="006D38BF">
        <w:rPr>
          <w:rFonts w:cs="Arial"/>
          <w:b/>
          <w:bCs/>
        </w:rPr>
        <w:t>I-K</w:t>
      </w:r>
      <w:r w:rsidR="00061B77" w:rsidRPr="006D38BF">
        <w:rPr>
          <w:rFonts w:cs="Arial"/>
        </w:rPr>
        <w:t xml:space="preserve">) and </w:t>
      </w:r>
      <w:proofErr w:type="spellStart"/>
      <w:r w:rsidR="00061B77" w:rsidRPr="006D38BF">
        <w:rPr>
          <w:rFonts w:cs="Arial"/>
        </w:rPr>
        <w:t>CnF</w:t>
      </w:r>
      <w:proofErr w:type="spellEnd"/>
      <w:r w:rsidR="00061B77" w:rsidRPr="006D38BF">
        <w:rPr>
          <w:rFonts w:cs="Arial"/>
        </w:rPr>
        <w:t>-DBS group (</w:t>
      </w:r>
      <w:r w:rsidR="00061B77" w:rsidRPr="006D38BF">
        <w:rPr>
          <w:rFonts w:cs="Arial"/>
          <w:b/>
          <w:bCs/>
        </w:rPr>
        <w:t>L-N</w:t>
      </w:r>
      <w:r w:rsidR="00061B77" w:rsidRPr="006D38BF">
        <w:rPr>
          <w:rFonts w:cs="Arial"/>
        </w:rPr>
        <w:t xml:space="preserve">) verifying correct electrode localization targeting the </w:t>
      </w:r>
      <w:proofErr w:type="spellStart"/>
      <w:r w:rsidR="00061B77" w:rsidRPr="006D38BF">
        <w:rPr>
          <w:rFonts w:cs="Arial"/>
        </w:rPr>
        <w:t>CnF</w:t>
      </w:r>
      <w:proofErr w:type="spellEnd"/>
      <w:r w:rsidR="00061B77" w:rsidRPr="006D38BF">
        <w:rPr>
          <w:rFonts w:cs="Arial"/>
        </w:rPr>
        <w:t xml:space="preserve"> (</w:t>
      </w:r>
      <w:proofErr w:type="spellStart"/>
      <w:r w:rsidR="00061B77" w:rsidRPr="006D38BF">
        <w:rPr>
          <w:rFonts w:cs="Arial"/>
        </w:rPr>
        <w:t>Nts</w:t>
      </w:r>
      <w:proofErr w:type="spellEnd"/>
      <w:r w:rsidR="00061B77" w:rsidRPr="006D38BF">
        <w:rPr>
          <w:rFonts w:cs="Arial"/>
        </w:rPr>
        <w:t>+, blue), rather than the PPN (</w:t>
      </w:r>
      <w:proofErr w:type="spellStart"/>
      <w:r w:rsidR="00061B77" w:rsidRPr="006D38BF">
        <w:rPr>
          <w:rFonts w:cs="Arial"/>
        </w:rPr>
        <w:t>ChAT</w:t>
      </w:r>
      <w:proofErr w:type="spellEnd"/>
      <w:r w:rsidR="00061B77" w:rsidRPr="006D38BF">
        <w:rPr>
          <w:rFonts w:cs="Arial"/>
        </w:rPr>
        <w:t xml:space="preserve">+, yellow). </w:t>
      </w:r>
      <w:r w:rsidR="00B477E0" w:rsidRPr="006D38BF">
        <w:rPr>
          <w:rFonts w:cs="Arial"/>
          <w:lang w:val="fr-CH"/>
        </w:rPr>
        <w:t>Scale bar: 1 mm</w:t>
      </w:r>
      <w:r w:rsidR="00936CC7" w:rsidRPr="006D38BF">
        <w:rPr>
          <w:rFonts w:cs="Arial"/>
          <w:lang w:val="fr-CH"/>
        </w:rPr>
        <w:t xml:space="preserve">. </w:t>
      </w:r>
    </w:p>
    <w:sectPr w:rsidR="00B477E0" w:rsidRPr="006D38BF" w:rsidSect="004C4A5F">
      <w:headerReference w:type="even" r:id="rId16"/>
      <w:footerReference w:type="even" r:id="rId17"/>
      <w:footerReference w:type="default" r:id="rId18"/>
      <w:headerReference w:type="first" r:id="rId19"/>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44487A" w14:textId="77777777" w:rsidR="004C4A5F" w:rsidRDefault="004C4A5F" w:rsidP="00117666">
      <w:pPr>
        <w:spacing w:after="0"/>
      </w:pPr>
      <w:r>
        <w:separator/>
      </w:r>
    </w:p>
  </w:endnote>
  <w:endnote w:type="continuationSeparator" w:id="0">
    <w:p w14:paraId="1A95C4BE" w14:textId="77777777" w:rsidR="004C4A5F" w:rsidRDefault="004C4A5F"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4AB28" w14:textId="77777777" w:rsidR="001D4C07" w:rsidRPr="00577C4C" w:rsidRDefault="00C52A7B">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00A152CD" wp14:editId="47F23114">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4D054D26" w14:textId="77777777" w:rsidR="001D4C0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0A152CD"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filled="f" stroked="f" strokeweight=".5pt">
              <v:textbox style="mso-fit-shape-to-text:t">
                <w:txbxContent>
                  <w:p w14:paraId="4D054D26" w14:textId="77777777" w:rsidR="001D4C0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2B4A57">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2FF27" w14:textId="77777777" w:rsidR="001D4C07" w:rsidRPr="00577C4C" w:rsidRDefault="00C52A7B">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3151A55C" wp14:editId="2441783D">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85E15EB" w14:textId="77777777" w:rsidR="001D4C0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151A55C"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filled="f" stroked="f" strokeweight=".5pt">
              <v:textbox style="mso-fit-shape-to-text:t">
                <w:txbxContent>
                  <w:p w14:paraId="085E15EB" w14:textId="77777777" w:rsidR="001D4C07"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994A3D">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F2806" w14:textId="77777777" w:rsidR="004C4A5F" w:rsidRDefault="004C4A5F" w:rsidP="00117666">
      <w:pPr>
        <w:spacing w:after="0"/>
      </w:pPr>
      <w:r>
        <w:separator/>
      </w:r>
    </w:p>
  </w:footnote>
  <w:footnote w:type="continuationSeparator" w:id="0">
    <w:p w14:paraId="509FD157" w14:textId="77777777" w:rsidR="004C4A5F" w:rsidRDefault="004C4A5F"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EDBA" w14:textId="77777777" w:rsidR="001D4C07"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11A5B" w14:textId="77777777" w:rsidR="001D4C07" w:rsidRDefault="0093429D" w:rsidP="0093429D">
    <w:r w:rsidRPr="005A1D84">
      <w:rPr>
        <w:b/>
        <w:noProof/>
        <w:color w:val="A6A6A6" w:themeColor="background1" w:themeShade="A6"/>
        <w:lang w:val="en-GB" w:eastAsia="en-GB"/>
      </w:rPr>
      <w:drawing>
        <wp:inline distT="0" distB="0" distL="0" distR="0" wp14:anchorId="7EAE9060" wp14:editId="09E5B96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16cid:durableId="1821115517">
    <w:abstractNumId w:val="0"/>
  </w:num>
  <w:num w:numId="2" w16cid:durableId="1683165481">
    <w:abstractNumId w:val="4"/>
  </w:num>
  <w:num w:numId="3" w16cid:durableId="615480040">
    <w:abstractNumId w:val="1"/>
  </w:num>
  <w:num w:numId="4" w16cid:durableId="1566183234">
    <w:abstractNumId w:val="5"/>
  </w:num>
  <w:num w:numId="5" w16cid:durableId="1807702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59223692">
    <w:abstractNumId w:val="3"/>
  </w:num>
  <w:num w:numId="7" w16cid:durableId="1359550598">
    <w:abstractNumId w:val="6"/>
  </w:num>
  <w:num w:numId="8" w16cid:durableId="1559510671">
    <w:abstractNumId w:val="6"/>
  </w:num>
  <w:num w:numId="9" w16cid:durableId="1734543462">
    <w:abstractNumId w:val="6"/>
  </w:num>
  <w:num w:numId="10" w16cid:durableId="708839681">
    <w:abstractNumId w:val="6"/>
  </w:num>
  <w:num w:numId="11" w16cid:durableId="2046978920">
    <w:abstractNumId w:val="6"/>
  </w:num>
  <w:num w:numId="12" w16cid:durableId="2124614653">
    <w:abstractNumId w:val="6"/>
  </w:num>
  <w:num w:numId="13" w16cid:durableId="150105246">
    <w:abstractNumId w:val="3"/>
  </w:num>
  <w:num w:numId="14" w16cid:durableId="515769853">
    <w:abstractNumId w:val="2"/>
  </w:num>
  <w:num w:numId="15" w16cid:durableId="1753046014">
    <w:abstractNumId w:val="2"/>
  </w:num>
  <w:num w:numId="16" w16cid:durableId="665939894">
    <w:abstractNumId w:val="2"/>
  </w:num>
  <w:num w:numId="17" w16cid:durableId="2078749421">
    <w:abstractNumId w:val="2"/>
  </w:num>
  <w:num w:numId="18" w16cid:durableId="825047625">
    <w:abstractNumId w:val="2"/>
  </w:num>
  <w:num w:numId="19" w16cid:durableId="8038104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3D24"/>
    <w:rsid w:val="0001436A"/>
    <w:rsid w:val="00034304"/>
    <w:rsid w:val="00035434"/>
    <w:rsid w:val="00052A14"/>
    <w:rsid w:val="00061B77"/>
    <w:rsid w:val="00077D53"/>
    <w:rsid w:val="00105FD9"/>
    <w:rsid w:val="00117666"/>
    <w:rsid w:val="001549D3"/>
    <w:rsid w:val="00160065"/>
    <w:rsid w:val="00177D84"/>
    <w:rsid w:val="001A45BF"/>
    <w:rsid w:val="001D4C07"/>
    <w:rsid w:val="00267D18"/>
    <w:rsid w:val="002868E2"/>
    <w:rsid w:val="002869C3"/>
    <w:rsid w:val="002936E4"/>
    <w:rsid w:val="002B4A57"/>
    <w:rsid w:val="002C74CA"/>
    <w:rsid w:val="003544FB"/>
    <w:rsid w:val="003777EF"/>
    <w:rsid w:val="003D2D47"/>
    <w:rsid w:val="003D2F2D"/>
    <w:rsid w:val="00401590"/>
    <w:rsid w:val="00447801"/>
    <w:rsid w:val="00452E9C"/>
    <w:rsid w:val="004735C8"/>
    <w:rsid w:val="004961FF"/>
    <w:rsid w:val="004A6B56"/>
    <w:rsid w:val="004C4A5F"/>
    <w:rsid w:val="00517A89"/>
    <w:rsid w:val="005250F2"/>
    <w:rsid w:val="00593EEA"/>
    <w:rsid w:val="005A5EEE"/>
    <w:rsid w:val="005F428A"/>
    <w:rsid w:val="006123D1"/>
    <w:rsid w:val="006375C7"/>
    <w:rsid w:val="00654E8F"/>
    <w:rsid w:val="00660D05"/>
    <w:rsid w:val="006625DC"/>
    <w:rsid w:val="006820B1"/>
    <w:rsid w:val="006854F1"/>
    <w:rsid w:val="006B7D14"/>
    <w:rsid w:val="006D38BF"/>
    <w:rsid w:val="006E682D"/>
    <w:rsid w:val="00701727"/>
    <w:rsid w:val="0070566C"/>
    <w:rsid w:val="00714C50"/>
    <w:rsid w:val="00725A7D"/>
    <w:rsid w:val="007501BE"/>
    <w:rsid w:val="007621C7"/>
    <w:rsid w:val="00790BB3"/>
    <w:rsid w:val="007C206C"/>
    <w:rsid w:val="00803D24"/>
    <w:rsid w:val="00817DD6"/>
    <w:rsid w:val="00885156"/>
    <w:rsid w:val="008E4B53"/>
    <w:rsid w:val="009151AA"/>
    <w:rsid w:val="0093429D"/>
    <w:rsid w:val="00936CC7"/>
    <w:rsid w:val="00943573"/>
    <w:rsid w:val="00970F7D"/>
    <w:rsid w:val="00994A3D"/>
    <w:rsid w:val="009C2B12"/>
    <w:rsid w:val="009C70F3"/>
    <w:rsid w:val="00A174D9"/>
    <w:rsid w:val="00A569CD"/>
    <w:rsid w:val="00A64647"/>
    <w:rsid w:val="00AB5EE2"/>
    <w:rsid w:val="00AB6715"/>
    <w:rsid w:val="00B1671E"/>
    <w:rsid w:val="00B16F0E"/>
    <w:rsid w:val="00B25EB8"/>
    <w:rsid w:val="00B354E1"/>
    <w:rsid w:val="00B37F4D"/>
    <w:rsid w:val="00B477E0"/>
    <w:rsid w:val="00B75267"/>
    <w:rsid w:val="00C52A7B"/>
    <w:rsid w:val="00C56BAF"/>
    <w:rsid w:val="00C679AA"/>
    <w:rsid w:val="00C75972"/>
    <w:rsid w:val="00C926FE"/>
    <w:rsid w:val="00CC0A3A"/>
    <w:rsid w:val="00CD066B"/>
    <w:rsid w:val="00CE4FEE"/>
    <w:rsid w:val="00D403FB"/>
    <w:rsid w:val="00D56C1A"/>
    <w:rsid w:val="00DB59C3"/>
    <w:rsid w:val="00DC259A"/>
    <w:rsid w:val="00DE23E8"/>
    <w:rsid w:val="00E52377"/>
    <w:rsid w:val="00E64E17"/>
    <w:rsid w:val="00E866C9"/>
    <w:rsid w:val="00EA3D3C"/>
    <w:rsid w:val="00F171DB"/>
    <w:rsid w:val="00F46900"/>
    <w:rsid w:val="00F61D89"/>
    <w:rsid w:val="00F62EE2"/>
    <w:rsid w:val="00F83C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487BD"/>
  <w15:docId w15:val="{133E554D-C33E-435D-A5BC-605DF70AE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styleId="Revision">
    <w:name w:val="Revision"/>
    <w:hidden/>
    <w:uiPriority w:val="99"/>
    <w:semiHidden/>
    <w:rsid w:val="00803D2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44210">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FRONDOC-1086935359-10119</_dlc_DocId>
    <_dlc_DocIdUrl xmlns="26005759-6815-4540-b8ea-913958d74f23">
      <Url>https://frontiersin.sharepoint.com/Publishing/PubOps/Production/_layouts/15/DocIdRedir.aspx?ID=FRONDOC-1086935359-10119</Url>
      <Description>FRONDOC-1086935359-10119</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885ac53139f20652f850277d10459b85">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b20dbcea35cbef169bcf39aab5233ab6"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B2E0E22-D442-4EBE-AAA2-EDC8871E7B41}">
  <ds:schemaRefs>
    <ds:schemaRef ds:uri="http://schemas.microsoft.com/office/2006/metadata/properties"/>
    <ds:schemaRef ds:uri="http://schemas.microsoft.com/office/infopath/2007/PartnerControls"/>
    <ds:schemaRef ds:uri="26005759-6815-4540-b8ea-913958d74f23"/>
    <ds:schemaRef ds:uri="970c08f3-bdc0-46be-888b-e62464d9f78c"/>
  </ds:schemaRefs>
</ds:datastoreItem>
</file>

<file path=customXml/itemProps2.xml><?xml version="1.0" encoding="utf-8"?>
<ds:datastoreItem xmlns:ds="http://schemas.openxmlformats.org/officeDocument/2006/customXml" ds:itemID="{A3D4929F-83D0-432F-8F82-6D4423C25F5E}">
  <ds:schemaRefs>
    <ds:schemaRef ds:uri="http://schemas.microsoft.com/sharepoint/v3/contenttype/forms"/>
  </ds:schemaRefs>
</ds:datastoreItem>
</file>

<file path=customXml/itemProps3.xml><?xml version="1.0" encoding="utf-8"?>
<ds:datastoreItem xmlns:ds="http://schemas.openxmlformats.org/officeDocument/2006/customXml" ds:itemID="{DFF441E3-103C-4487-877D-08CD22337C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4314AF-3C36-4C2C-B599-40A76C6FFFC1}">
  <ds:schemaRefs>
    <ds:schemaRef ds:uri="http://schemas.openxmlformats.org/officeDocument/2006/bibliography"/>
  </ds:schemaRefs>
</ds:datastoreItem>
</file>

<file path=customXml/itemProps5.xml><?xml version="1.0" encoding="utf-8"?>
<ds:datastoreItem xmlns:ds="http://schemas.openxmlformats.org/officeDocument/2006/customXml" ds:itemID="{2558679B-78FB-42CD-A1EA-A99096AF556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5</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Frontiers</dc:creator>
  <cp:lastModifiedBy>Lorn Fraser</cp:lastModifiedBy>
  <cp:revision>13</cp:revision>
  <cp:lastPrinted>2024-02-08T15:34:00Z</cp:lastPrinted>
  <dcterms:created xsi:type="dcterms:W3CDTF">2023-12-08T10:29:00Z</dcterms:created>
  <dcterms:modified xsi:type="dcterms:W3CDTF">2024-03-22T10:07:00Z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f82bb101-9b00-462e-af01-9a0e7ec06274</vt:lpwstr>
  </property>
  <property fmtid="{D5CDD505-2E9C-101B-9397-08002B2CF9AE}" pid="4" name="Order">
    <vt:r8>1011900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y fmtid="{D5CDD505-2E9C-101B-9397-08002B2CF9AE}" pid="10" name="GrammarlyDocumentId">
    <vt:lpwstr>19edf89a715c7936066ccf387a23cf8769b514c0fe48c986a33cfabd978e7912</vt:lpwstr>
  </property>
</Properties>
</file>