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6004"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b/>
          <w:bCs/>
          <w:color w:val="000000"/>
          <w:kern w:val="0"/>
          <w14:ligatures w14:val="none"/>
        </w:rPr>
        <w:t>Supplementary Material</w:t>
      </w:r>
    </w:p>
    <w:p w14:paraId="391D5BC3" w14:textId="77777777" w:rsidR="009452B9" w:rsidRPr="009452B9" w:rsidRDefault="009452B9" w:rsidP="009452B9">
      <w:pPr>
        <w:rPr>
          <w:rFonts w:ascii="Times New Roman" w:eastAsia="Times New Roman" w:hAnsi="Times New Roman" w:cs="Times New Roman"/>
          <w:kern w:val="0"/>
          <w14:ligatures w14:val="none"/>
        </w:rPr>
      </w:pPr>
    </w:p>
    <w:p w14:paraId="3656074E"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u w:val="single"/>
          <w14:ligatures w14:val="none"/>
        </w:rPr>
        <w:t>Lucid Dream Definition and Example </w:t>
      </w:r>
    </w:p>
    <w:p w14:paraId="1D630F68" w14:textId="77777777" w:rsidR="009452B9" w:rsidRPr="009452B9" w:rsidRDefault="009452B9" w:rsidP="009452B9">
      <w:pPr>
        <w:rPr>
          <w:rFonts w:ascii="Times New Roman" w:eastAsia="Times New Roman" w:hAnsi="Times New Roman" w:cs="Times New Roman"/>
          <w:kern w:val="0"/>
          <w14:ligatures w14:val="none"/>
        </w:rPr>
      </w:pPr>
    </w:p>
    <w:p w14:paraId="7C52DAF9"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 xml:space="preserve">Lucid dreaming is a special sort of dream in which you know that you are dreaming while still in the dream. Typically, you tell yourself “I’m dreaming!” or “This is a dream!” This realization often (but not necessarily) leads to the ability to deliberately control one’s actions or to observe passively the course of the dream with full conscious awareness, </w:t>
      </w:r>
      <w:proofErr w:type="gramStart"/>
      <w:r w:rsidRPr="009452B9">
        <w:rPr>
          <w:rFonts w:ascii="Times New Roman" w:eastAsia="Times New Roman" w:hAnsi="Times New Roman" w:cs="Times New Roman"/>
          <w:color w:val="000000"/>
          <w:kern w:val="0"/>
          <w14:ligatures w14:val="none"/>
        </w:rPr>
        <w:t>similar to</w:t>
      </w:r>
      <w:proofErr w:type="gramEnd"/>
      <w:r w:rsidRPr="009452B9">
        <w:rPr>
          <w:rFonts w:ascii="Times New Roman" w:eastAsia="Times New Roman" w:hAnsi="Times New Roman" w:cs="Times New Roman"/>
          <w:color w:val="000000"/>
          <w:kern w:val="0"/>
          <w14:ligatures w14:val="none"/>
        </w:rPr>
        <w:t xml:space="preserve"> the awareness you have while awake.</w:t>
      </w:r>
    </w:p>
    <w:p w14:paraId="11A78CA1" w14:textId="77777777" w:rsidR="009452B9" w:rsidRPr="009452B9" w:rsidRDefault="009452B9" w:rsidP="009452B9">
      <w:pPr>
        <w:rPr>
          <w:rFonts w:ascii="Times New Roman" w:eastAsia="Times New Roman" w:hAnsi="Times New Roman" w:cs="Times New Roman"/>
          <w:kern w:val="0"/>
          <w14:ligatures w14:val="none"/>
        </w:rPr>
      </w:pPr>
    </w:p>
    <w:p w14:paraId="63CAADDD"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An example of a lucid dream is as follows: “It was snowing gently. I was alone on the rooftop of the world, climbing K2. As I made my way upward through the steeply drifting snow, I was astonished to notice my arms were bare: I was wearing a short-sleeved shirt, hardly proper dress for climbing the second-highest mountain in the world! I realized at once that the explanation was that I was dreaming! I was so delighted that I jumped off the mountain and began to fly away …” </w:t>
      </w:r>
    </w:p>
    <w:p w14:paraId="717CEC05" w14:textId="77777777" w:rsidR="009452B9" w:rsidRPr="009452B9" w:rsidRDefault="009452B9" w:rsidP="009452B9">
      <w:pPr>
        <w:rPr>
          <w:rFonts w:ascii="Times New Roman" w:eastAsia="Times New Roman" w:hAnsi="Times New Roman" w:cs="Times New Roman"/>
          <w:kern w:val="0"/>
          <w14:ligatures w14:val="none"/>
        </w:rPr>
      </w:pPr>
    </w:p>
    <w:p w14:paraId="60777BDE"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u w:val="single"/>
          <w14:ligatures w14:val="none"/>
        </w:rPr>
        <w:t>Trauma Exposure</w:t>
      </w:r>
    </w:p>
    <w:p w14:paraId="62D7DDD2" w14:textId="77777777" w:rsidR="009452B9" w:rsidRPr="009452B9" w:rsidRDefault="009452B9" w:rsidP="009452B9">
      <w:pPr>
        <w:rPr>
          <w:rFonts w:ascii="Times New Roman" w:eastAsia="Times New Roman" w:hAnsi="Times New Roman" w:cs="Times New Roman"/>
          <w:kern w:val="0"/>
          <w14:ligatures w14:val="none"/>
        </w:rPr>
      </w:pPr>
    </w:p>
    <w:p w14:paraId="0E65A9E4"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Regarding the following events, the percentages of participants that had exposure to a category of events were: 67% for natural disaster (e.g., earthquake), 56% for fire or explosion, 78% for transportation accident (e.g., car accident), 67% for serious accident, 22% for exposure to toxic substance, 89% for physical assault (e.g., beaten up), 44% for assault with a weapon, 78% for sexual assault, 78% for other unwanted or uncomfortable sexual experiences, 56% combat or exposure to a war-zone experience, 44% for captivity (e.g., prisoner of war), 78% for life-threatening illness or injury, 67% for severe human suffering, 78% for sudden violent death, 67% sudden accidental death, 33% for serious injury, harm, or death you caused to someone else, and 67% for any other very stressful event or experience. Scores listed above reflect either direct experience, witnessing, or hearing about each event to a degree that was traumatic to the individual.</w:t>
      </w:r>
    </w:p>
    <w:p w14:paraId="6D33592E" w14:textId="77777777" w:rsidR="009452B9" w:rsidRPr="009452B9" w:rsidRDefault="009452B9" w:rsidP="009452B9">
      <w:pPr>
        <w:rPr>
          <w:rFonts w:ascii="Times New Roman" w:eastAsia="Times New Roman" w:hAnsi="Times New Roman" w:cs="Times New Roman"/>
          <w:kern w:val="0"/>
          <w14:ligatures w14:val="none"/>
        </w:rPr>
      </w:pPr>
    </w:p>
    <w:p w14:paraId="65F1333E"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u w:val="single"/>
          <w14:ligatures w14:val="none"/>
        </w:rPr>
        <w:t>Medication and Supplement Usage</w:t>
      </w:r>
    </w:p>
    <w:p w14:paraId="7147C330"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FF"/>
          <w:kern w:val="0"/>
          <w14:ligatures w14:val="none"/>
        </w:rPr>
        <w:tab/>
      </w:r>
    </w:p>
    <w:p w14:paraId="6917F754"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 xml:space="preserve">The participants were not asked to alter their typical use of medications and supplements during the workshop. The following is a list of the self-reported medications and supplements used, with the number of participants reporting use indicated within parentheses: 5HTP (1), Antacids (2), </w:t>
      </w:r>
      <w:proofErr w:type="spellStart"/>
      <w:r w:rsidRPr="009452B9">
        <w:rPr>
          <w:rFonts w:ascii="Times New Roman" w:eastAsia="Times New Roman" w:hAnsi="Times New Roman" w:cs="Times New Roman"/>
          <w:color w:val="000000"/>
          <w:kern w:val="0"/>
          <w14:ligatures w14:val="none"/>
        </w:rPr>
        <w:t>Aprolazam</w:t>
      </w:r>
      <w:proofErr w:type="spellEnd"/>
      <w:r w:rsidRPr="009452B9">
        <w:rPr>
          <w:rFonts w:ascii="Times New Roman" w:eastAsia="Times New Roman" w:hAnsi="Times New Roman" w:cs="Times New Roman"/>
          <w:color w:val="000000"/>
          <w:kern w:val="0"/>
          <w14:ligatures w14:val="none"/>
        </w:rPr>
        <w:t xml:space="preserve"> (1), </w:t>
      </w:r>
      <w:proofErr w:type="spellStart"/>
      <w:r w:rsidRPr="009452B9">
        <w:rPr>
          <w:rFonts w:ascii="Times New Roman" w:eastAsia="Times New Roman" w:hAnsi="Times New Roman" w:cs="Times New Roman"/>
          <w:color w:val="000000"/>
          <w:kern w:val="0"/>
          <w14:ligatures w14:val="none"/>
        </w:rPr>
        <w:t>Armour</w:t>
      </w:r>
      <w:proofErr w:type="spellEnd"/>
      <w:r w:rsidRPr="009452B9">
        <w:rPr>
          <w:rFonts w:ascii="Times New Roman" w:eastAsia="Times New Roman" w:hAnsi="Times New Roman" w:cs="Times New Roman"/>
          <w:color w:val="000000"/>
          <w:kern w:val="0"/>
          <w14:ligatures w14:val="none"/>
        </w:rPr>
        <w:t xml:space="preserve"> Thyroid (3), BCAA's (1), Berberine (1), Bilberry extract (1), Blueberry Juice (1), Buspirone (1), Calcium (1), Clonazepam (1), Creatine (1), Liquid Minerals (1), Entresto (1), Escitalopram (1), Estradiol (1), Gabapentin (1), Hawthorne (1), Herbal Adrenal Supplement (1), Hydrochlorothiazide (1), Hydroxyzine (1), Ibuprofen (1), Levothyroxine (1), Lisinopril (1), Magnesium (3), Melatonin (1), Methadone (1), Metoprolol (1), Multivitamin (2),</w:t>
      </w:r>
    </w:p>
    <w:p w14:paraId="57784B20" w14:textId="77777777" w:rsidR="009452B9" w:rsidRPr="009452B9" w:rsidRDefault="009452B9" w:rsidP="009452B9">
      <w:pPr>
        <w:rPr>
          <w:rFonts w:ascii="Times New Roman" w:eastAsia="Times New Roman" w:hAnsi="Times New Roman" w:cs="Times New Roman"/>
          <w:kern w:val="0"/>
          <w14:ligatures w14:val="none"/>
        </w:rPr>
      </w:pPr>
      <w:proofErr w:type="spellStart"/>
      <w:r w:rsidRPr="009452B9">
        <w:rPr>
          <w:rFonts w:ascii="Times New Roman" w:eastAsia="Times New Roman" w:hAnsi="Times New Roman" w:cs="Times New Roman"/>
          <w:color w:val="000000"/>
          <w:kern w:val="0"/>
          <w14:ligatures w14:val="none"/>
        </w:rPr>
        <w:t>Niacinimide</w:t>
      </w:r>
      <w:proofErr w:type="spellEnd"/>
      <w:r w:rsidRPr="009452B9">
        <w:rPr>
          <w:rFonts w:ascii="Times New Roman" w:eastAsia="Times New Roman" w:hAnsi="Times New Roman" w:cs="Times New Roman"/>
          <w:color w:val="000000"/>
          <w:kern w:val="0"/>
          <w14:ligatures w14:val="none"/>
        </w:rPr>
        <w:t xml:space="preserve"> (1), Ocrevus (1), Omega Fish oil (1), Papaya Enzymes (1), Promethazine (1), Propranolol (2), Psilocybin </w:t>
      </w:r>
      <w:proofErr w:type="spellStart"/>
      <w:r w:rsidRPr="009452B9">
        <w:rPr>
          <w:rFonts w:ascii="Times New Roman" w:eastAsia="Times New Roman" w:hAnsi="Times New Roman" w:cs="Times New Roman"/>
          <w:color w:val="000000"/>
          <w:kern w:val="0"/>
          <w14:ligatures w14:val="none"/>
        </w:rPr>
        <w:t>microdose</w:t>
      </w:r>
      <w:proofErr w:type="spellEnd"/>
      <w:r w:rsidRPr="009452B9">
        <w:rPr>
          <w:rFonts w:ascii="Times New Roman" w:eastAsia="Times New Roman" w:hAnsi="Times New Roman" w:cs="Times New Roman"/>
          <w:color w:val="000000"/>
          <w:kern w:val="0"/>
          <w14:ligatures w14:val="none"/>
        </w:rPr>
        <w:t xml:space="preserve"> (1), Superfood Mushroom powder (2), Trazadone (2), Valarian (1), Valium (2), </w:t>
      </w:r>
      <w:proofErr w:type="spellStart"/>
      <w:r w:rsidRPr="009452B9">
        <w:rPr>
          <w:rFonts w:ascii="Times New Roman" w:eastAsia="Times New Roman" w:hAnsi="Times New Roman" w:cs="Times New Roman"/>
          <w:color w:val="000000"/>
          <w:kern w:val="0"/>
          <w14:ligatures w14:val="none"/>
        </w:rPr>
        <w:t>Venflaxine</w:t>
      </w:r>
      <w:proofErr w:type="spellEnd"/>
      <w:r w:rsidRPr="009452B9">
        <w:rPr>
          <w:rFonts w:ascii="Times New Roman" w:eastAsia="Times New Roman" w:hAnsi="Times New Roman" w:cs="Times New Roman"/>
          <w:color w:val="000000"/>
          <w:kern w:val="0"/>
          <w14:ligatures w14:val="none"/>
        </w:rPr>
        <w:t xml:space="preserve"> (1), Vitamin C (2), Vitamin D (2), Zinc (1). Many of the participants reported using more than one medication or supplement, and seven (7) reported using none.</w:t>
      </w:r>
    </w:p>
    <w:p w14:paraId="3CE6DCE6" w14:textId="77777777" w:rsidR="009452B9" w:rsidRPr="009452B9" w:rsidRDefault="009452B9" w:rsidP="009452B9">
      <w:pPr>
        <w:rPr>
          <w:rFonts w:ascii="Times New Roman" w:eastAsia="Times New Roman" w:hAnsi="Times New Roman" w:cs="Times New Roman"/>
          <w:kern w:val="0"/>
          <w14:ligatures w14:val="none"/>
        </w:rPr>
      </w:pPr>
    </w:p>
    <w:p w14:paraId="7FB527F6"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u w:val="single"/>
          <w14:ligatures w14:val="none"/>
        </w:rPr>
        <w:t>Additional References (Supplementary Materials)</w:t>
      </w:r>
    </w:p>
    <w:p w14:paraId="63CB0259" w14:textId="77777777" w:rsidR="009452B9" w:rsidRPr="009452B9" w:rsidRDefault="009452B9" w:rsidP="009452B9">
      <w:pPr>
        <w:rPr>
          <w:rFonts w:ascii="Times New Roman" w:eastAsia="Times New Roman" w:hAnsi="Times New Roman" w:cs="Times New Roman"/>
          <w:kern w:val="0"/>
          <w14:ligatures w14:val="none"/>
        </w:rPr>
      </w:pPr>
    </w:p>
    <w:p w14:paraId="7E260571"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 xml:space="preserve">Aron, A., Aron, E. N., &amp; Smollan, D. (1992). Inclusion of other in the </w:t>
      </w:r>
      <w:proofErr w:type="spellStart"/>
      <w:r w:rsidRPr="009452B9">
        <w:rPr>
          <w:rFonts w:ascii="Times New Roman" w:eastAsia="Times New Roman" w:hAnsi="Times New Roman" w:cs="Times New Roman"/>
          <w:color w:val="000000"/>
          <w:kern w:val="0"/>
          <w14:ligatures w14:val="none"/>
        </w:rPr>
        <w:t>self scale</w:t>
      </w:r>
      <w:proofErr w:type="spellEnd"/>
      <w:r w:rsidRPr="009452B9">
        <w:rPr>
          <w:rFonts w:ascii="Times New Roman" w:eastAsia="Times New Roman" w:hAnsi="Times New Roman" w:cs="Times New Roman"/>
          <w:color w:val="000000"/>
          <w:kern w:val="0"/>
          <w14:ligatures w14:val="none"/>
        </w:rPr>
        <w:t xml:space="preserve"> and the structure of interpersonal closeness. Journal of Personality and Social Psychology, 63(4), 596.</w:t>
      </w:r>
    </w:p>
    <w:p w14:paraId="13ABBC96" w14:textId="77777777" w:rsidR="009452B9" w:rsidRPr="009452B9" w:rsidRDefault="009452B9" w:rsidP="009452B9">
      <w:pPr>
        <w:rPr>
          <w:rFonts w:ascii="Times New Roman" w:eastAsia="Times New Roman" w:hAnsi="Times New Roman" w:cs="Times New Roman"/>
          <w:kern w:val="0"/>
          <w14:ligatures w14:val="none"/>
        </w:rPr>
      </w:pPr>
    </w:p>
    <w:p w14:paraId="3E6E759F" w14:textId="77777777" w:rsidR="009452B9" w:rsidRPr="009452B9" w:rsidRDefault="009452B9" w:rsidP="009452B9">
      <w:pPr>
        <w:rPr>
          <w:rFonts w:ascii="Times New Roman" w:eastAsia="Times New Roman" w:hAnsi="Times New Roman" w:cs="Times New Roman"/>
          <w:kern w:val="0"/>
          <w14:ligatures w14:val="none"/>
        </w:rPr>
      </w:pPr>
      <w:proofErr w:type="spellStart"/>
      <w:r w:rsidRPr="009452B9">
        <w:rPr>
          <w:rFonts w:ascii="Times New Roman" w:eastAsia="Times New Roman" w:hAnsi="Times New Roman" w:cs="Times New Roman"/>
          <w:color w:val="000000"/>
          <w:kern w:val="0"/>
          <w14:ligatures w14:val="none"/>
        </w:rPr>
        <w:t>Cappelleri</w:t>
      </w:r>
      <w:proofErr w:type="spellEnd"/>
      <w:r w:rsidRPr="009452B9">
        <w:rPr>
          <w:rFonts w:ascii="Times New Roman" w:eastAsia="Times New Roman" w:hAnsi="Times New Roman" w:cs="Times New Roman"/>
          <w:color w:val="000000"/>
          <w:kern w:val="0"/>
          <w14:ligatures w14:val="none"/>
        </w:rPr>
        <w:t xml:space="preserve">, J. C., </w:t>
      </w:r>
      <w:proofErr w:type="spellStart"/>
      <w:r w:rsidRPr="009452B9">
        <w:rPr>
          <w:rFonts w:ascii="Times New Roman" w:eastAsia="Times New Roman" w:hAnsi="Times New Roman" w:cs="Times New Roman"/>
          <w:color w:val="000000"/>
          <w:kern w:val="0"/>
          <w14:ligatures w14:val="none"/>
        </w:rPr>
        <w:t>Bushmakin</w:t>
      </w:r>
      <w:proofErr w:type="spellEnd"/>
      <w:r w:rsidRPr="009452B9">
        <w:rPr>
          <w:rFonts w:ascii="Times New Roman" w:eastAsia="Times New Roman" w:hAnsi="Times New Roman" w:cs="Times New Roman"/>
          <w:color w:val="000000"/>
          <w:kern w:val="0"/>
          <w14:ligatures w14:val="none"/>
        </w:rPr>
        <w:t xml:space="preserve">, A. G., McDermott, A. M., </w:t>
      </w:r>
      <w:proofErr w:type="spellStart"/>
      <w:r w:rsidRPr="009452B9">
        <w:rPr>
          <w:rFonts w:ascii="Times New Roman" w:eastAsia="Times New Roman" w:hAnsi="Times New Roman" w:cs="Times New Roman"/>
          <w:color w:val="000000"/>
          <w:kern w:val="0"/>
          <w14:ligatures w14:val="none"/>
        </w:rPr>
        <w:t>Sadosky</w:t>
      </w:r>
      <w:proofErr w:type="spellEnd"/>
      <w:r w:rsidRPr="009452B9">
        <w:rPr>
          <w:rFonts w:ascii="Times New Roman" w:eastAsia="Times New Roman" w:hAnsi="Times New Roman" w:cs="Times New Roman"/>
          <w:color w:val="000000"/>
          <w:kern w:val="0"/>
          <w14:ligatures w14:val="none"/>
        </w:rPr>
        <w:t>, A. B., Petrie, C. D., &amp; Martin, S. (2009). Psychometric properties of a single-item scale to assess sleep quality among individuals with fibromyalgia. Health and Quality of Life Outcomes, 7(1), 54. https://doi.org/10.1186/1477-7525-7-54</w:t>
      </w:r>
    </w:p>
    <w:p w14:paraId="2EA33845" w14:textId="77777777" w:rsidR="009452B9" w:rsidRPr="009452B9" w:rsidRDefault="009452B9" w:rsidP="009452B9">
      <w:pPr>
        <w:rPr>
          <w:rFonts w:ascii="Times New Roman" w:eastAsia="Times New Roman" w:hAnsi="Times New Roman" w:cs="Times New Roman"/>
          <w:kern w:val="0"/>
          <w14:ligatures w14:val="none"/>
        </w:rPr>
      </w:pPr>
    </w:p>
    <w:p w14:paraId="46B26AEF"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 xml:space="preserve">Cloninger, C. R., </w:t>
      </w:r>
      <w:proofErr w:type="spellStart"/>
      <w:r w:rsidRPr="009452B9">
        <w:rPr>
          <w:rFonts w:ascii="Times New Roman" w:eastAsia="Times New Roman" w:hAnsi="Times New Roman" w:cs="Times New Roman"/>
          <w:color w:val="000000"/>
          <w:kern w:val="0"/>
          <w14:ligatures w14:val="none"/>
        </w:rPr>
        <w:t>Przybeck</w:t>
      </w:r>
      <w:proofErr w:type="spellEnd"/>
      <w:r w:rsidRPr="009452B9">
        <w:rPr>
          <w:rFonts w:ascii="Times New Roman" w:eastAsia="Times New Roman" w:hAnsi="Times New Roman" w:cs="Times New Roman"/>
          <w:color w:val="000000"/>
          <w:kern w:val="0"/>
          <w14:ligatures w14:val="none"/>
        </w:rPr>
        <w:t xml:space="preserve">, T. R., </w:t>
      </w:r>
      <w:proofErr w:type="spellStart"/>
      <w:r w:rsidRPr="009452B9">
        <w:rPr>
          <w:rFonts w:ascii="Times New Roman" w:eastAsia="Times New Roman" w:hAnsi="Times New Roman" w:cs="Times New Roman"/>
          <w:color w:val="000000"/>
          <w:kern w:val="0"/>
          <w14:ligatures w14:val="none"/>
        </w:rPr>
        <w:t>Svrakic</w:t>
      </w:r>
      <w:proofErr w:type="spellEnd"/>
      <w:r w:rsidRPr="009452B9">
        <w:rPr>
          <w:rFonts w:ascii="Times New Roman" w:eastAsia="Times New Roman" w:hAnsi="Times New Roman" w:cs="Times New Roman"/>
          <w:color w:val="000000"/>
          <w:kern w:val="0"/>
          <w14:ligatures w14:val="none"/>
        </w:rPr>
        <w:t>, D. M., &amp; Wetzel, R. D. (1994). The Temperament and Character Inventory (TCI): A guide to its development and use. Center for Psychobiology of Personality, Washington University.</w:t>
      </w:r>
    </w:p>
    <w:p w14:paraId="45BD31AF" w14:textId="77777777" w:rsidR="009452B9" w:rsidRPr="009452B9" w:rsidRDefault="009452B9" w:rsidP="009452B9">
      <w:pPr>
        <w:rPr>
          <w:rFonts w:ascii="Times New Roman" w:eastAsia="Times New Roman" w:hAnsi="Times New Roman" w:cs="Times New Roman"/>
          <w:kern w:val="0"/>
          <w14:ligatures w14:val="none"/>
        </w:rPr>
      </w:pPr>
    </w:p>
    <w:p w14:paraId="0627DEC5"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Kelly, J., 2002. The Way of the Dreamcatcher: Spirit Lessons with Robert Lax: Poet, Peacemaker, Sage. The Acorn, 11(2), pp.43-44.</w:t>
      </w:r>
    </w:p>
    <w:p w14:paraId="4299D706" w14:textId="77777777" w:rsidR="009452B9" w:rsidRPr="009452B9" w:rsidRDefault="009452B9" w:rsidP="009452B9">
      <w:pPr>
        <w:rPr>
          <w:rFonts w:ascii="Times New Roman" w:eastAsia="Times New Roman" w:hAnsi="Times New Roman" w:cs="Times New Roman"/>
          <w:kern w:val="0"/>
          <w14:ligatures w14:val="none"/>
        </w:rPr>
      </w:pPr>
    </w:p>
    <w:p w14:paraId="22DAE882"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Nielsen, T., &amp; Powell, R. A. (2015). Dreams of the Rarebit Fiend: Food and diet as instigators of bizarre and disturbing dreams. Frontiers in Psychology, 6, 47. https://doi.org/10.3389/fpsyg.2015.00047</w:t>
      </w:r>
    </w:p>
    <w:p w14:paraId="43168936" w14:textId="77777777" w:rsidR="009452B9" w:rsidRPr="009452B9" w:rsidRDefault="009452B9" w:rsidP="009452B9">
      <w:pPr>
        <w:rPr>
          <w:rFonts w:ascii="Times New Roman" w:eastAsia="Times New Roman" w:hAnsi="Times New Roman" w:cs="Times New Roman"/>
          <w:kern w:val="0"/>
          <w14:ligatures w14:val="none"/>
        </w:rPr>
      </w:pPr>
    </w:p>
    <w:p w14:paraId="529AA91E" w14:textId="77777777" w:rsidR="009452B9" w:rsidRPr="009452B9" w:rsidRDefault="009452B9" w:rsidP="009452B9">
      <w:pPr>
        <w:rPr>
          <w:rFonts w:ascii="Times New Roman" w:eastAsia="Times New Roman" w:hAnsi="Times New Roman" w:cs="Times New Roman"/>
          <w:kern w:val="0"/>
          <w14:ligatures w14:val="none"/>
        </w:rPr>
      </w:pPr>
      <w:r w:rsidRPr="009452B9">
        <w:rPr>
          <w:rFonts w:ascii="Times New Roman" w:eastAsia="Times New Roman" w:hAnsi="Times New Roman" w:cs="Times New Roman"/>
          <w:color w:val="000000"/>
          <w:kern w:val="0"/>
          <w14:ligatures w14:val="none"/>
        </w:rPr>
        <w:t xml:space="preserve">Schultz, P. W., Shriver, C., </w:t>
      </w:r>
      <w:proofErr w:type="spellStart"/>
      <w:r w:rsidRPr="009452B9">
        <w:rPr>
          <w:rFonts w:ascii="Times New Roman" w:eastAsia="Times New Roman" w:hAnsi="Times New Roman" w:cs="Times New Roman"/>
          <w:color w:val="000000"/>
          <w:kern w:val="0"/>
          <w14:ligatures w14:val="none"/>
        </w:rPr>
        <w:t>Tabanico</w:t>
      </w:r>
      <w:proofErr w:type="spellEnd"/>
      <w:r w:rsidRPr="009452B9">
        <w:rPr>
          <w:rFonts w:ascii="Times New Roman" w:eastAsia="Times New Roman" w:hAnsi="Times New Roman" w:cs="Times New Roman"/>
          <w:color w:val="000000"/>
          <w:kern w:val="0"/>
          <w14:ligatures w14:val="none"/>
        </w:rPr>
        <w:t xml:space="preserve">, J. J., &amp; </w:t>
      </w:r>
      <w:proofErr w:type="spellStart"/>
      <w:r w:rsidRPr="009452B9">
        <w:rPr>
          <w:rFonts w:ascii="Times New Roman" w:eastAsia="Times New Roman" w:hAnsi="Times New Roman" w:cs="Times New Roman"/>
          <w:color w:val="000000"/>
          <w:kern w:val="0"/>
          <w14:ligatures w14:val="none"/>
        </w:rPr>
        <w:t>Khazian</w:t>
      </w:r>
      <w:proofErr w:type="spellEnd"/>
      <w:r w:rsidRPr="009452B9">
        <w:rPr>
          <w:rFonts w:ascii="Times New Roman" w:eastAsia="Times New Roman" w:hAnsi="Times New Roman" w:cs="Times New Roman"/>
          <w:color w:val="000000"/>
          <w:kern w:val="0"/>
          <w14:ligatures w14:val="none"/>
        </w:rPr>
        <w:t>, A. M. (2004). Implicit connections with nature. Journal of Environmental Psychology, 24(1), 31–42. https://doi.org/10.1016/S0272-4944(03)00022-7</w:t>
      </w:r>
    </w:p>
    <w:p w14:paraId="1256CF33" w14:textId="77777777" w:rsidR="009452B9" w:rsidRPr="009452B9" w:rsidRDefault="009452B9" w:rsidP="009452B9">
      <w:pPr>
        <w:rPr>
          <w:rFonts w:ascii="Times New Roman" w:eastAsia="Times New Roman" w:hAnsi="Times New Roman" w:cs="Times New Roman"/>
          <w:kern w:val="0"/>
          <w14:ligatures w14:val="none"/>
        </w:rPr>
      </w:pPr>
    </w:p>
    <w:p w14:paraId="5ED73079" w14:textId="77777777" w:rsidR="00C83FB5" w:rsidRDefault="00C83FB5"/>
    <w:sectPr w:rsidR="00C8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B9"/>
    <w:rsid w:val="00027DD3"/>
    <w:rsid w:val="004718EA"/>
    <w:rsid w:val="009452B9"/>
    <w:rsid w:val="00BB0180"/>
    <w:rsid w:val="00C83FB5"/>
    <w:rsid w:val="00CB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CB383A"/>
  <w15:chartTrackingRefBased/>
  <w15:docId w15:val="{34F2C421-7470-8B42-BF6D-8CD84405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2B9"/>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945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 Taddeo</dc:creator>
  <cp:keywords/>
  <dc:description/>
  <cp:lastModifiedBy>Sitara Taddeo</cp:lastModifiedBy>
  <cp:revision>1</cp:revision>
  <dcterms:created xsi:type="dcterms:W3CDTF">2024-01-08T22:17:00Z</dcterms:created>
  <dcterms:modified xsi:type="dcterms:W3CDTF">2024-01-08T22:19:00Z</dcterms:modified>
</cp:coreProperties>
</file>